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71D80" w14:textId="054AC66D" w:rsidR="00FD21F8" w:rsidRDefault="00762AF1" w:rsidP="00762AF1">
      <w:pPr>
        <w:pStyle w:val="Heading1"/>
        <w:rPr>
          <w:lang w:val="en-US"/>
        </w:rPr>
      </w:pPr>
      <w:r>
        <w:rPr>
          <w:lang w:val="en-US"/>
        </w:rPr>
        <w:t>Passive First order RC Filters</w:t>
      </w:r>
    </w:p>
    <w:p w14:paraId="385D3420" w14:textId="1F0CC672" w:rsidR="006B0D8C" w:rsidRPr="006B0D8C" w:rsidRDefault="006B0D8C" w:rsidP="006B0D8C">
      <w:pPr>
        <w:pStyle w:val="Heading2"/>
        <w:rPr>
          <w:lang w:val="en-US"/>
        </w:rPr>
      </w:pPr>
      <w:r>
        <w:rPr>
          <w:lang w:val="en-US"/>
        </w:rPr>
        <w:t>Low</w:t>
      </w:r>
      <w:r w:rsidR="00762AF1">
        <w:rPr>
          <w:lang w:val="en-US"/>
        </w:rPr>
        <w:t xml:space="preserve"> pass filter</w:t>
      </w:r>
    </w:p>
    <w:p w14:paraId="1AFF45FA" w14:textId="7E7DC5CA" w:rsidR="00762AF1" w:rsidRDefault="00762AF1" w:rsidP="00762AF1">
      <w:pPr>
        <w:pStyle w:val="Heading3"/>
        <w:rPr>
          <w:lang w:val="en-US"/>
        </w:rPr>
      </w:pPr>
      <w:r>
        <w:rPr>
          <w:lang w:val="en-US"/>
        </w:rPr>
        <w:t>Methodology</w:t>
      </w:r>
    </w:p>
    <w:p w14:paraId="3A19CDE5" w14:textId="3DD4193C" w:rsidR="006B0D8C" w:rsidRDefault="006B0D8C" w:rsidP="006B0D8C">
      <w:pPr>
        <w:rPr>
          <w:lang w:val="en-US"/>
        </w:rPr>
      </w:pPr>
      <w:r>
        <w:rPr>
          <w:noProof/>
        </w:rPr>
        <w:drawing>
          <wp:inline distT="0" distB="0" distL="0" distR="0" wp14:anchorId="4BDB6A91" wp14:editId="289D8374">
            <wp:extent cx="2629845" cy="12711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124" b="4872"/>
                    <a:stretch/>
                  </pic:blipFill>
                  <pic:spPr bwMode="auto">
                    <a:xfrm>
                      <a:off x="0" y="0"/>
                      <a:ext cx="2690121" cy="1300240"/>
                    </a:xfrm>
                    <a:prstGeom prst="rect">
                      <a:avLst/>
                    </a:prstGeom>
                    <a:ln>
                      <a:noFill/>
                    </a:ln>
                    <a:extLst>
                      <a:ext uri="{53640926-AAD7-44D8-BBD7-CCE9431645EC}">
                        <a14:shadowObscured xmlns:a14="http://schemas.microsoft.com/office/drawing/2010/main"/>
                      </a:ext>
                    </a:extLst>
                  </pic:spPr>
                </pic:pic>
              </a:graphicData>
            </a:graphic>
          </wp:inline>
        </w:drawing>
      </w:r>
    </w:p>
    <w:p w14:paraId="0CD8E2D3" w14:textId="7190F731" w:rsidR="006B0D8C" w:rsidRPr="006B0D8C" w:rsidRDefault="006B0D8C" w:rsidP="00C35A47">
      <w:pPr>
        <w:ind w:firstLine="720"/>
        <w:jc w:val="both"/>
        <w:rPr>
          <w:lang w:val="en-US"/>
        </w:rPr>
      </w:pPr>
      <w:r>
        <w:rPr>
          <w:lang w:val="en-US"/>
        </w:rPr>
        <w:t xml:space="preserve">Figure shows </w:t>
      </w:r>
      <w:r w:rsidR="000931AB">
        <w:rPr>
          <w:lang w:val="en-US"/>
        </w:rPr>
        <w:t>a passive RC low</w:t>
      </w:r>
      <w:r w:rsidR="004D6E19">
        <w:rPr>
          <w:lang w:val="en-US"/>
        </w:rPr>
        <w:t>-</w:t>
      </w:r>
      <w:r w:rsidR="000931AB">
        <w:rPr>
          <w:lang w:val="en-US"/>
        </w:rPr>
        <w:t>pass filter. The values of the components were chosen because they match with circuit #1 of the D3000 board, “filters”.</w:t>
      </w:r>
      <w:r w:rsidR="000434AE">
        <w:rPr>
          <w:lang w:val="en-US"/>
        </w:rPr>
        <w:t xml:space="preserve"> </w:t>
      </w:r>
      <w:r w:rsidR="000B0E76">
        <w:rPr>
          <w:lang w:val="en-US"/>
        </w:rPr>
        <w:t>The input signal generator was set to a sinusoid input of 20Vp-p while the frequency was increased. The</w:t>
      </w:r>
      <w:r w:rsidR="004D6E19">
        <w:rPr>
          <w:lang w:val="en-US"/>
        </w:rPr>
        <w:t xml:space="preserve"> cut off frequency was calculated, and frequency and phase sweeps were carried out on the filter.</w:t>
      </w:r>
      <w:r w:rsidR="00CD77B6">
        <w:rPr>
          <w:lang w:val="en-US"/>
        </w:rPr>
        <w:t xml:space="preserve"> </w:t>
      </w:r>
    </w:p>
    <w:p w14:paraId="397AB797" w14:textId="4D555187" w:rsidR="004259C7" w:rsidRPr="00BF4076" w:rsidRDefault="00762AF1" w:rsidP="004259C7">
      <w:pPr>
        <w:pStyle w:val="Heading3"/>
        <w:rPr>
          <w:lang w:val="en-US"/>
        </w:rPr>
      </w:pPr>
      <w:r>
        <w:rPr>
          <w:lang w:val="en-US"/>
        </w:rPr>
        <w:t>Results &amp; Analysis</w:t>
      </w:r>
    </w:p>
    <w:p w14:paraId="32DBA32D" w14:textId="43925CF3" w:rsidR="004259C7" w:rsidRDefault="004259C7" w:rsidP="004259C7">
      <w:pPr>
        <w:ind w:firstLine="720"/>
        <w:jc w:val="both"/>
        <w:rPr>
          <w:lang w:val="en-US"/>
        </w:rPr>
      </w:pPr>
      <w:r>
        <w:rPr>
          <w:lang w:val="en-US"/>
        </w:rPr>
        <w:t xml:space="preserve">Eqs. show the cut-off frequency for the low pass filter designed above. This is the frequency at which the gain starts to drop. </w:t>
      </w:r>
    </w:p>
    <w:tbl>
      <w:tblPr>
        <w:tblStyle w:val="TableGrid"/>
        <w:tblW w:w="0" w:type="auto"/>
        <w:tblLook w:val="04A0" w:firstRow="1" w:lastRow="0" w:firstColumn="1" w:lastColumn="0" w:noHBand="0" w:noVBand="1"/>
      </w:tblPr>
      <w:tblGrid>
        <w:gridCol w:w="8974"/>
        <w:gridCol w:w="376"/>
      </w:tblGrid>
      <w:tr w:rsidR="004259C7" w14:paraId="524A8938" w14:textId="77777777" w:rsidTr="004259C7">
        <w:tc>
          <w:tcPr>
            <w:tcW w:w="8974" w:type="dxa"/>
          </w:tcPr>
          <w:p w14:paraId="2F4684AA" w14:textId="38ACAF43" w:rsidR="004259C7" w:rsidRDefault="004259C7" w:rsidP="004259C7">
            <w:pPr>
              <w:rPr>
                <w:lang w:val="en-US"/>
              </w:rPr>
            </w:pPr>
            <m:oMathPara>
              <m:oMath>
                <m:r>
                  <w:rPr>
                    <w:rFonts w:ascii="Cambria Math" w:hAnsi="Cambria Math"/>
                    <w:lang w:val="en-US"/>
                  </w:rPr>
                  <m:t xml:space="preserve"> fc=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2πRC</m:t>
                    </m:r>
                  </m:den>
                </m:f>
              </m:oMath>
            </m:oMathPara>
          </w:p>
        </w:tc>
        <w:tc>
          <w:tcPr>
            <w:tcW w:w="376" w:type="dxa"/>
          </w:tcPr>
          <w:p w14:paraId="3F5C4832" w14:textId="5C1FDF5D" w:rsidR="004259C7" w:rsidRDefault="004259C7" w:rsidP="004259C7">
            <w:pPr>
              <w:rPr>
                <w:lang w:val="en-US"/>
              </w:rPr>
            </w:pPr>
            <w:r>
              <w:rPr>
                <w:lang w:val="en-US"/>
              </w:rPr>
              <w:t>()</w:t>
            </w:r>
          </w:p>
        </w:tc>
      </w:tr>
      <w:tr w:rsidR="004259C7" w14:paraId="4D9C299A" w14:textId="77777777" w:rsidTr="004259C7">
        <w:tc>
          <w:tcPr>
            <w:tcW w:w="8974" w:type="dxa"/>
          </w:tcPr>
          <w:p w14:paraId="621B30B4" w14:textId="09248719" w:rsidR="004259C7" w:rsidRDefault="004259C7" w:rsidP="00AF0017">
            <w:pPr>
              <w:rPr>
                <w:lang w:val="en-US"/>
              </w:rPr>
            </w:pPr>
            <m:oMathPara>
              <m:oMath>
                <m:r>
                  <w:rPr>
                    <w:rFonts w:ascii="Cambria Math" w:hAnsi="Cambria Math"/>
                    <w:lang w:val="en-US"/>
                  </w:rPr>
                  <m:t>fc=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2π×15000×(1×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en>
                </m:f>
              </m:oMath>
            </m:oMathPara>
          </w:p>
        </w:tc>
        <w:tc>
          <w:tcPr>
            <w:tcW w:w="376" w:type="dxa"/>
          </w:tcPr>
          <w:p w14:paraId="48285044" w14:textId="77777777" w:rsidR="004259C7" w:rsidRDefault="004259C7" w:rsidP="00AF0017">
            <w:pPr>
              <w:rPr>
                <w:lang w:val="en-US"/>
              </w:rPr>
            </w:pPr>
            <w:r>
              <w:rPr>
                <w:lang w:val="en-US"/>
              </w:rPr>
              <w:t>()</w:t>
            </w:r>
          </w:p>
        </w:tc>
      </w:tr>
      <w:tr w:rsidR="004259C7" w14:paraId="0300AB6B" w14:textId="77777777" w:rsidTr="004259C7">
        <w:tc>
          <w:tcPr>
            <w:tcW w:w="8974" w:type="dxa"/>
          </w:tcPr>
          <w:p w14:paraId="7CB12ECE" w14:textId="36DFE3BE" w:rsidR="004259C7" w:rsidRDefault="004259C7" w:rsidP="00AF0017">
            <w:pPr>
              <w:rPr>
                <w:lang w:val="en-US"/>
              </w:rPr>
            </w:pPr>
            <m:oMathPara>
              <m:oMath>
                <m:r>
                  <w:rPr>
                    <w:rFonts w:ascii="Cambria Math" w:hAnsi="Cambria Math"/>
                    <w:lang w:val="en-US"/>
                  </w:rPr>
                  <m:t>fc=10.61 kHz</m:t>
                </m:r>
              </m:oMath>
            </m:oMathPara>
          </w:p>
        </w:tc>
        <w:tc>
          <w:tcPr>
            <w:tcW w:w="376" w:type="dxa"/>
          </w:tcPr>
          <w:p w14:paraId="345D8694" w14:textId="77777777" w:rsidR="004259C7" w:rsidRDefault="004259C7" w:rsidP="00AF0017">
            <w:pPr>
              <w:rPr>
                <w:lang w:val="en-US"/>
              </w:rPr>
            </w:pPr>
            <w:r>
              <w:rPr>
                <w:lang w:val="en-US"/>
              </w:rPr>
              <w:t>()</w:t>
            </w:r>
          </w:p>
        </w:tc>
      </w:tr>
    </w:tbl>
    <w:p w14:paraId="7C009D56" w14:textId="49C8B2EF" w:rsidR="004259C7" w:rsidRDefault="00942DC2" w:rsidP="004259C7">
      <w:pPr>
        <w:rPr>
          <w:lang w:val="en-US"/>
        </w:rPr>
      </w:pPr>
      <w:r>
        <w:rPr>
          <w:noProof/>
        </w:rPr>
        <w:drawing>
          <wp:anchor distT="0" distB="0" distL="114300" distR="114300" simplePos="0" relativeHeight="251658240" behindDoc="0" locked="0" layoutInCell="1" allowOverlap="1" wp14:anchorId="4E1A2C44" wp14:editId="1CD6F729">
            <wp:simplePos x="0" y="0"/>
            <wp:positionH relativeFrom="column">
              <wp:posOffset>740410</wp:posOffset>
            </wp:positionH>
            <wp:positionV relativeFrom="paragraph">
              <wp:posOffset>132080</wp:posOffset>
            </wp:positionV>
            <wp:extent cx="4148455" cy="210375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8455" cy="2103755"/>
                    </a:xfrm>
                    <a:prstGeom prst="rect">
                      <a:avLst/>
                    </a:prstGeom>
                  </pic:spPr>
                </pic:pic>
              </a:graphicData>
            </a:graphic>
            <wp14:sizeRelH relativeFrom="margin">
              <wp14:pctWidth>0</wp14:pctWidth>
            </wp14:sizeRelH>
            <wp14:sizeRelV relativeFrom="margin">
              <wp14:pctHeight>0</wp14:pctHeight>
            </wp14:sizeRelV>
          </wp:anchor>
        </w:drawing>
      </w:r>
    </w:p>
    <w:p w14:paraId="7B01E861" w14:textId="6B9CF3EC" w:rsidR="00942DC2" w:rsidRDefault="00942DC2" w:rsidP="004259C7">
      <w:pPr>
        <w:rPr>
          <w:lang w:val="en-US"/>
        </w:rPr>
      </w:pPr>
    </w:p>
    <w:p w14:paraId="1E7276DA" w14:textId="77777777" w:rsidR="00942DC2" w:rsidRDefault="00942DC2" w:rsidP="004259C7">
      <w:pPr>
        <w:rPr>
          <w:lang w:val="en-US"/>
        </w:rPr>
      </w:pPr>
    </w:p>
    <w:p w14:paraId="2D891681" w14:textId="46F8E622" w:rsidR="00942DC2" w:rsidRDefault="00942DC2" w:rsidP="004259C7">
      <w:pPr>
        <w:rPr>
          <w:lang w:val="en-US"/>
        </w:rPr>
      </w:pPr>
    </w:p>
    <w:p w14:paraId="1CF1628A" w14:textId="77777777" w:rsidR="00942DC2" w:rsidRDefault="00942DC2" w:rsidP="004259C7">
      <w:pPr>
        <w:rPr>
          <w:lang w:val="en-US"/>
        </w:rPr>
      </w:pPr>
    </w:p>
    <w:p w14:paraId="0D702EC8" w14:textId="79CFED76" w:rsidR="005D09E1" w:rsidRDefault="005D09E1" w:rsidP="004259C7">
      <w:pPr>
        <w:rPr>
          <w:lang w:val="en-US"/>
        </w:rPr>
      </w:pPr>
    </w:p>
    <w:p w14:paraId="38D5BFD4" w14:textId="2B1A3BED" w:rsidR="00942DC2" w:rsidRDefault="00942DC2" w:rsidP="004259C7">
      <w:pPr>
        <w:rPr>
          <w:lang w:val="en-US"/>
        </w:rPr>
      </w:pPr>
    </w:p>
    <w:p w14:paraId="67D91ADA" w14:textId="77777777" w:rsidR="00942DC2" w:rsidRDefault="00942DC2" w:rsidP="004259C7">
      <w:pPr>
        <w:rPr>
          <w:lang w:val="en-US"/>
        </w:rPr>
      </w:pPr>
    </w:p>
    <w:p w14:paraId="0C97A073" w14:textId="17F9F29B" w:rsidR="00DF642E" w:rsidRDefault="00DF642E" w:rsidP="00CD77B6">
      <w:pPr>
        <w:jc w:val="both"/>
        <w:rPr>
          <w:lang w:val="en-US"/>
        </w:rPr>
      </w:pPr>
      <w:r>
        <w:rPr>
          <w:lang w:val="en-US"/>
        </w:rPr>
        <w:tab/>
        <w:t>Figure shows the frequency response of the filter. Cursor 1 was left in the pass-band area while cursor 2 was moved to the cut-off frequency. The calculation for the cut-off frequency is correct because it can be observed visually that the gain is starting to drop</w:t>
      </w:r>
      <w:r w:rsidR="00942DC2">
        <w:rPr>
          <w:lang w:val="en-US"/>
        </w:rPr>
        <w:t xml:space="preserve"> for frequencies &gt; 10.61kHz</w:t>
      </w:r>
      <w:r>
        <w:rPr>
          <w:lang w:val="en-US"/>
        </w:rPr>
        <w:t>, but also the cut-off frequency is known as the point where the gain drops by 70.7% or -3dB; shown by the “dy” line in the window.</w:t>
      </w:r>
    </w:p>
    <w:p w14:paraId="5EAFC5E8" w14:textId="4F408947" w:rsidR="00942DC2" w:rsidRDefault="00B44D64" w:rsidP="004259C7">
      <w:pPr>
        <w:rPr>
          <w:lang w:val="en-US"/>
        </w:rPr>
      </w:pPr>
      <w:r>
        <w:rPr>
          <w:noProof/>
        </w:rPr>
        <w:lastRenderedPageBreak/>
        <w:drawing>
          <wp:anchor distT="0" distB="0" distL="114300" distR="114300" simplePos="0" relativeHeight="251659264" behindDoc="0" locked="0" layoutInCell="1" allowOverlap="1" wp14:anchorId="79DF5476" wp14:editId="3FE1D0CC">
            <wp:simplePos x="0" y="0"/>
            <wp:positionH relativeFrom="column">
              <wp:posOffset>740589</wp:posOffset>
            </wp:positionH>
            <wp:positionV relativeFrom="paragraph">
              <wp:posOffset>567</wp:posOffset>
            </wp:positionV>
            <wp:extent cx="4141250" cy="2091862"/>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1250" cy="2091862"/>
                    </a:xfrm>
                    <a:prstGeom prst="rect">
                      <a:avLst/>
                    </a:prstGeom>
                  </pic:spPr>
                </pic:pic>
              </a:graphicData>
            </a:graphic>
          </wp:anchor>
        </w:drawing>
      </w:r>
    </w:p>
    <w:p w14:paraId="390B6C07" w14:textId="77777777" w:rsidR="00B44D64" w:rsidRDefault="00CD77B6" w:rsidP="00BF4076">
      <w:pPr>
        <w:jc w:val="both"/>
        <w:rPr>
          <w:lang w:val="en-US"/>
        </w:rPr>
      </w:pPr>
      <w:r>
        <w:rPr>
          <w:lang w:val="en-US"/>
        </w:rPr>
        <w:tab/>
      </w:r>
    </w:p>
    <w:p w14:paraId="4ACC491C" w14:textId="77777777" w:rsidR="00B44D64" w:rsidRDefault="00B44D64" w:rsidP="00BF4076">
      <w:pPr>
        <w:jc w:val="both"/>
        <w:rPr>
          <w:lang w:val="en-US"/>
        </w:rPr>
      </w:pPr>
    </w:p>
    <w:p w14:paraId="7E16F1D1" w14:textId="77777777" w:rsidR="00B44D64" w:rsidRDefault="00B44D64" w:rsidP="00BF4076">
      <w:pPr>
        <w:jc w:val="both"/>
        <w:rPr>
          <w:lang w:val="en-US"/>
        </w:rPr>
      </w:pPr>
    </w:p>
    <w:p w14:paraId="4A25CABE" w14:textId="77777777" w:rsidR="00B44D64" w:rsidRDefault="00B44D64" w:rsidP="00BF4076">
      <w:pPr>
        <w:jc w:val="both"/>
        <w:rPr>
          <w:lang w:val="en-US"/>
        </w:rPr>
      </w:pPr>
    </w:p>
    <w:p w14:paraId="6EEDF6AC" w14:textId="77777777" w:rsidR="00B44D64" w:rsidRDefault="00B44D64" w:rsidP="00BF4076">
      <w:pPr>
        <w:jc w:val="both"/>
        <w:rPr>
          <w:lang w:val="en-US"/>
        </w:rPr>
      </w:pPr>
    </w:p>
    <w:p w14:paraId="06BCD7AA" w14:textId="77777777" w:rsidR="00B44D64" w:rsidRDefault="00B44D64" w:rsidP="00BF4076">
      <w:pPr>
        <w:jc w:val="both"/>
        <w:rPr>
          <w:lang w:val="en-US"/>
        </w:rPr>
      </w:pPr>
    </w:p>
    <w:p w14:paraId="3E1B3491" w14:textId="77777777" w:rsidR="00B44D64" w:rsidRDefault="00B44D64" w:rsidP="00BF4076">
      <w:pPr>
        <w:jc w:val="both"/>
        <w:rPr>
          <w:lang w:val="en-US"/>
        </w:rPr>
      </w:pPr>
    </w:p>
    <w:p w14:paraId="2E11DDFC" w14:textId="34BC7E96" w:rsidR="006B0D8C" w:rsidRPr="006B0D8C" w:rsidRDefault="00CD77B6" w:rsidP="00B44D64">
      <w:pPr>
        <w:ind w:firstLine="576"/>
        <w:jc w:val="both"/>
        <w:rPr>
          <w:lang w:val="en-US"/>
        </w:rPr>
      </w:pPr>
      <w:r>
        <w:rPr>
          <w:lang w:val="en-US"/>
        </w:rPr>
        <w:t xml:space="preserve">Figure shows the phase response of the filter. As expected, at the cutoff frequency, the output sinusoid has a </w:t>
      </w:r>
      <w:r w:rsidR="00BF4076">
        <w:rPr>
          <w:lang w:val="en-US"/>
        </w:rPr>
        <w:t>-</w:t>
      </w:r>
      <w:r w:rsidR="000B0E76">
        <w:rPr>
          <w:lang w:val="en-US"/>
        </w:rPr>
        <w:t>45-degree</w:t>
      </w:r>
      <w:r>
        <w:rPr>
          <w:lang w:val="en-US"/>
        </w:rPr>
        <w:t xml:space="preserve"> phase shift with respect to the input sinusoid. </w:t>
      </w:r>
      <w:r w:rsidR="00BF4076">
        <w:rPr>
          <w:lang w:val="en-US"/>
        </w:rPr>
        <w:t>It is important to note that the initial phase angle is shown to be 0 and tends towards -90 degrees.</w:t>
      </w:r>
    </w:p>
    <w:p w14:paraId="6D2284D3" w14:textId="25AEE4B0" w:rsidR="00762AF1" w:rsidRDefault="006B0D8C" w:rsidP="00762AF1">
      <w:pPr>
        <w:pStyle w:val="Heading2"/>
        <w:rPr>
          <w:lang w:val="en-US"/>
        </w:rPr>
      </w:pPr>
      <w:r>
        <w:rPr>
          <w:lang w:val="en-US"/>
        </w:rPr>
        <w:t>High</w:t>
      </w:r>
      <w:r w:rsidR="00762AF1">
        <w:rPr>
          <w:lang w:val="en-US"/>
        </w:rPr>
        <w:t xml:space="preserve"> pass filter</w:t>
      </w:r>
    </w:p>
    <w:p w14:paraId="42FD4BC4" w14:textId="57867C92" w:rsidR="00762AF1" w:rsidRDefault="00762AF1" w:rsidP="00762AF1">
      <w:pPr>
        <w:pStyle w:val="Heading3"/>
        <w:rPr>
          <w:lang w:val="en-US"/>
        </w:rPr>
      </w:pPr>
      <w:r>
        <w:rPr>
          <w:lang w:val="en-US"/>
        </w:rPr>
        <w:t>Methodology</w:t>
      </w:r>
    </w:p>
    <w:p w14:paraId="5D65BF02" w14:textId="235DA4FE" w:rsidR="000434AE" w:rsidRDefault="000434AE" w:rsidP="000434AE">
      <w:pPr>
        <w:rPr>
          <w:lang w:val="en-US"/>
        </w:rPr>
      </w:pPr>
    </w:p>
    <w:p w14:paraId="5A8F6203" w14:textId="303B66DE" w:rsidR="000434AE" w:rsidRDefault="000434AE" w:rsidP="000434AE">
      <w:pPr>
        <w:rPr>
          <w:lang w:val="en-US"/>
        </w:rPr>
      </w:pPr>
      <w:r>
        <w:rPr>
          <w:noProof/>
        </w:rPr>
        <w:drawing>
          <wp:inline distT="0" distB="0" distL="0" distR="0" wp14:anchorId="3E729796" wp14:editId="4F8AF8F2">
            <wp:extent cx="3030367" cy="1807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71"/>
                    <a:stretch/>
                  </pic:blipFill>
                  <pic:spPr bwMode="auto">
                    <a:xfrm>
                      <a:off x="0" y="0"/>
                      <a:ext cx="3097909" cy="1848139"/>
                    </a:xfrm>
                    <a:prstGeom prst="rect">
                      <a:avLst/>
                    </a:prstGeom>
                    <a:ln>
                      <a:noFill/>
                    </a:ln>
                    <a:extLst>
                      <a:ext uri="{53640926-AAD7-44D8-BBD7-CCE9431645EC}">
                        <a14:shadowObscured xmlns:a14="http://schemas.microsoft.com/office/drawing/2010/main"/>
                      </a:ext>
                    </a:extLst>
                  </pic:spPr>
                </pic:pic>
              </a:graphicData>
            </a:graphic>
          </wp:inline>
        </w:drawing>
      </w:r>
    </w:p>
    <w:p w14:paraId="1627F549" w14:textId="24304856" w:rsidR="00BF4076" w:rsidRDefault="000B0E76" w:rsidP="00BF4076">
      <w:pPr>
        <w:ind w:firstLine="720"/>
        <w:jc w:val="both"/>
        <w:rPr>
          <w:lang w:val="en-US"/>
        </w:rPr>
      </w:pPr>
      <w:r>
        <w:rPr>
          <w:lang w:val="en-US"/>
        </w:rPr>
        <w:t xml:space="preserve">Figure shows a passive RC high-pass filter. The values of the components were chosen because they match with circuit #1 of the D3000 board, “filters”. The input signal generator was set to a sinusoid input of 20Vp-p while the frequency was increased. The cut off frequency was calculated, and frequency and phase sweeps were carried out on the filter. </w:t>
      </w:r>
    </w:p>
    <w:p w14:paraId="6B53E441" w14:textId="0C6889BA" w:rsidR="00BF4076" w:rsidRDefault="00BF4076" w:rsidP="00BF4076">
      <w:pPr>
        <w:ind w:firstLine="720"/>
        <w:jc w:val="both"/>
        <w:rPr>
          <w:lang w:val="en-US"/>
        </w:rPr>
      </w:pPr>
    </w:p>
    <w:p w14:paraId="21785EA4" w14:textId="21D38AA7" w:rsidR="00BF4076" w:rsidRDefault="00BF4076" w:rsidP="00BF4076">
      <w:pPr>
        <w:ind w:firstLine="720"/>
        <w:jc w:val="both"/>
        <w:rPr>
          <w:lang w:val="en-US"/>
        </w:rPr>
      </w:pPr>
    </w:p>
    <w:p w14:paraId="4B7AF0AC" w14:textId="466FE5AE" w:rsidR="00BF4076" w:rsidRDefault="00BF4076" w:rsidP="00BF4076">
      <w:pPr>
        <w:ind w:firstLine="720"/>
        <w:jc w:val="both"/>
        <w:rPr>
          <w:lang w:val="en-US"/>
        </w:rPr>
      </w:pPr>
    </w:p>
    <w:p w14:paraId="4DCB0CF7" w14:textId="01BD47E3" w:rsidR="00BF4076" w:rsidRDefault="00BF4076" w:rsidP="00BF4076">
      <w:pPr>
        <w:ind w:firstLine="720"/>
        <w:jc w:val="both"/>
        <w:rPr>
          <w:lang w:val="en-US"/>
        </w:rPr>
      </w:pPr>
    </w:p>
    <w:p w14:paraId="557B6F02" w14:textId="7B5E8B9F" w:rsidR="00BF4076" w:rsidRDefault="00BF4076" w:rsidP="00BF4076">
      <w:pPr>
        <w:ind w:firstLine="720"/>
        <w:jc w:val="both"/>
        <w:rPr>
          <w:lang w:val="en-US"/>
        </w:rPr>
      </w:pPr>
    </w:p>
    <w:p w14:paraId="751F592E" w14:textId="77777777" w:rsidR="00BF4076" w:rsidRPr="000434AE" w:rsidRDefault="00BF4076" w:rsidP="00BF4076">
      <w:pPr>
        <w:ind w:firstLine="720"/>
        <w:jc w:val="both"/>
        <w:rPr>
          <w:lang w:val="en-US"/>
        </w:rPr>
      </w:pPr>
    </w:p>
    <w:p w14:paraId="0A507AD1" w14:textId="77777777" w:rsidR="00762AF1" w:rsidRPr="00762AF1" w:rsidRDefault="00762AF1" w:rsidP="00762AF1">
      <w:pPr>
        <w:pStyle w:val="Heading3"/>
        <w:rPr>
          <w:lang w:val="en-US"/>
        </w:rPr>
      </w:pPr>
      <w:r>
        <w:rPr>
          <w:lang w:val="en-US"/>
        </w:rPr>
        <w:lastRenderedPageBreak/>
        <w:t>Results &amp; Analysis</w:t>
      </w:r>
    </w:p>
    <w:p w14:paraId="605BDED7" w14:textId="4AD214CA" w:rsidR="00762AF1" w:rsidRDefault="00762AF1" w:rsidP="000B0E76">
      <w:pPr>
        <w:rPr>
          <w:lang w:val="en-US"/>
        </w:rPr>
      </w:pPr>
    </w:p>
    <w:p w14:paraId="78745DD3" w14:textId="51DD6E5E" w:rsidR="000B0E76" w:rsidRDefault="000B0E76" w:rsidP="00942DC2">
      <w:pPr>
        <w:ind w:firstLine="432"/>
        <w:rPr>
          <w:lang w:val="en-US"/>
        </w:rPr>
      </w:pPr>
      <w:r>
        <w:rPr>
          <w:lang w:val="en-US"/>
        </w:rPr>
        <w:t>Since the resistor and capacitor values are the same</w:t>
      </w:r>
      <w:r w:rsidR="00942DC2">
        <w:rPr>
          <w:lang w:val="en-US"/>
        </w:rPr>
        <w:t>, this meant that the cut-off frequency was the same as the low-pass filter, 10.61kHz.</w:t>
      </w:r>
    </w:p>
    <w:p w14:paraId="39783AD1" w14:textId="13684FFC" w:rsidR="00942DC2" w:rsidRDefault="00942DC2" w:rsidP="00942DC2">
      <w:pPr>
        <w:ind w:firstLine="432"/>
        <w:rPr>
          <w:lang w:val="en-US"/>
        </w:rPr>
      </w:pPr>
      <w:r>
        <w:rPr>
          <w:noProof/>
        </w:rPr>
        <w:drawing>
          <wp:inline distT="0" distB="0" distL="0" distR="0" wp14:anchorId="5F3F613F" wp14:editId="3EA78FBA">
            <wp:extent cx="3740727" cy="1895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9424" cy="1904615"/>
                    </a:xfrm>
                    <a:prstGeom prst="rect">
                      <a:avLst/>
                    </a:prstGeom>
                  </pic:spPr>
                </pic:pic>
              </a:graphicData>
            </a:graphic>
          </wp:inline>
        </w:drawing>
      </w:r>
    </w:p>
    <w:p w14:paraId="00C634E1" w14:textId="14548D80" w:rsidR="00942DC2" w:rsidRDefault="00BF4076" w:rsidP="00942DC2">
      <w:pPr>
        <w:ind w:firstLine="432"/>
        <w:jc w:val="both"/>
        <w:rPr>
          <w:lang w:val="en-US"/>
        </w:rPr>
      </w:pPr>
      <w:r>
        <w:rPr>
          <w:lang w:val="en-US"/>
        </w:rPr>
        <w:t xml:space="preserve">Similarly, </w:t>
      </w:r>
      <w:r w:rsidR="00942DC2">
        <w:rPr>
          <w:lang w:val="en-US"/>
        </w:rPr>
        <w:t>the frequency response for the low-pass filter, cursor 1 was left in the pass-band area while cursor 2 was moved to the cut-off frequency. It can be observed visually that the gain is starting to drop for frequencies &lt; 10.61kHz, and as explained for the low-pass filter, it is also the point at which the gain is -3dB; shown by the “dy” line in the window.</w:t>
      </w:r>
    </w:p>
    <w:p w14:paraId="1807D1C8" w14:textId="48C484FA" w:rsidR="00942DC2" w:rsidRDefault="00BF4076" w:rsidP="00942DC2">
      <w:pPr>
        <w:ind w:firstLine="432"/>
        <w:rPr>
          <w:lang w:val="en-US"/>
        </w:rPr>
      </w:pPr>
      <w:r>
        <w:rPr>
          <w:noProof/>
        </w:rPr>
        <w:drawing>
          <wp:inline distT="0" distB="0" distL="0" distR="0" wp14:anchorId="362E3620" wp14:editId="16C8EEC9">
            <wp:extent cx="3706969" cy="1859029"/>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816" cy="1891550"/>
                    </a:xfrm>
                    <a:prstGeom prst="rect">
                      <a:avLst/>
                    </a:prstGeom>
                  </pic:spPr>
                </pic:pic>
              </a:graphicData>
            </a:graphic>
          </wp:inline>
        </w:drawing>
      </w:r>
    </w:p>
    <w:p w14:paraId="60CD2542" w14:textId="6F03DFF2" w:rsidR="00942DC2" w:rsidRDefault="00BF4076" w:rsidP="00BF4076">
      <w:pPr>
        <w:ind w:firstLine="432"/>
        <w:jc w:val="both"/>
        <w:rPr>
          <w:lang w:val="en-US"/>
        </w:rPr>
      </w:pPr>
      <w:r>
        <w:rPr>
          <w:lang w:val="en-US"/>
        </w:rPr>
        <w:t>Figure shows the phase response for the high pass filter. The shape is the same as the phase response for the low-pass filter, and like the low pass filter, the phase angle at the cut-off frequency is 45 degrees, as shown in the window. It was observed in the phase response of the low-pass filter that the initial phase angle was 0 and tended towards -90 degrees. However, it can be seen that for a high-pass filter the initial phase angle is 90 and tends towards 0 degrees.</w:t>
      </w:r>
    </w:p>
    <w:p w14:paraId="4ACC91AD" w14:textId="2B49D965" w:rsidR="00762AF1" w:rsidRDefault="00762AF1" w:rsidP="00762AF1">
      <w:pPr>
        <w:pStyle w:val="Heading1"/>
        <w:rPr>
          <w:lang w:val="en-US"/>
        </w:rPr>
      </w:pPr>
      <w:r>
        <w:rPr>
          <w:lang w:val="en-US"/>
        </w:rPr>
        <w:lastRenderedPageBreak/>
        <w:t>Active Second order Sallen-Key filters</w:t>
      </w:r>
    </w:p>
    <w:p w14:paraId="026E9C68" w14:textId="46C27E90" w:rsidR="00762AF1" w:rsidRDefault="00762AF1" w:rsidP="00762AF1">
      <w:pPr>
        <w:pStyle w:val="Heading2"/>
        <w:rPr>
          <w:lang w:val="en-US"/>
        </w:rPr>
      </w:pPr>
      <w:r>
        <w:rPr>
          <w:lang w:val="en-US"/>
        </w:rPr>
        <w:t>Low pass filter</w:t>
      </w:r>
    </w:p>
    <w:p w14:paraId="6872E299" w14:textId="755F0CEB" w:rsidR="00762AF1" w:rsidRDefault="00762AF1" w:rsidP="00762AF1">
      <w:pPr>
        <w:pStyle w:val="Heading3"/>
        <w:rPr>
          <w:lang w:val="en-US"/>
        </w:rPr>
      </w:pPr>
      <w:r>
        <w:rPr>
          <w:lang w:val="en-US"/>
        </w:rPr>
        <w:t>Methodology</w:t>
      </w:r>
    </w:p>
    <w:p w14:paraId="5A7F8DA7" w14:textId="1DC14D8A" w:rsidR="00C35A47" w:rsidRDefault="00C35A47" w:rsidP="00C35A47">
      <w:pPr>
        <w:rPr>
          <w:lang w:val="en-US"/>
        </w:rPr>
      </w:pPr>
      <w:r>
        <w:rPr>
          <w:noProof/>
        </w:rPr>
        <w:drawing>
          <wp:inline distT="0" distB="0" distL="0" distR="0" wp14:anchorId="133AB1EC" wp14:editId="0AB3E334">
            <wp:extent cx="3740727" cy="200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0568" cy="2018837"/>
                    </a:xfrm>
                    <a:prstGeom prst="rect">
                      <a:avLst/>
                    </a:prstGeom>
                  </pic:spPr>
                </pic:pic>
              </a:graphicData>
            </a:graphic>
          </wp:inline>
        </w:drawing>
      </w:r>
    </w:p>
    <w:p w14:paraId="0647BFDE" w14:textId="1006314D" w:rsidR="00976B65" w:rsidRPr="006B0D8C" w:rsidRDefault="00976B65" w:rsidP="00976B65">
      <w:pPr>
        <w:ind w:firstLine="720"/>
        <w:jc w:val="both"/>
        <w:rPr>
          <w:lang w:val="en-US"/>
        </w:rPr>
      </w:pPr>
      <w:r>
        <w:rPr>
          <w:lang w:val="en-US"/>
        </w:rPr>
        <w:t xml:space="preserve">Figure shows a second order Sallen-Key RC low-pass filter. The values of the components were chosen because they match with circuit #1 of the D3000 board, “filters”. The input signal generator was set to a sinusoid input of 2Vp-p while the frequency was increased. The cut off frequency was calculated, and frequency and phase sweeps were carried out on the filter. </w:t>
      </w:r>
    </w:p>
    <w:p w14:paraId="1A6BF6DB" w14:textId="23CD289B" w:rsidR="00762AF1" w:rsidRDefault="00762AF1" w:rsidP="00762AF1">
      <w:pPr>
        <w:pStyle w:val="Heading3"/>
        <w:rPr>
          <w:lang w:val="en-US"/>
        </w:rPr>
      </w:pPr>
      <w:r>
        <w:rPr>
          <w:lang w:val="en-US"/>
        </w:rPr>
        <w:t>Results &amp; Analysis</w:t>
      </w:r>
    </w:p>
    <w:p w14:paraId="699F8432" w14:textId="594C235F" w:rsidR="002F1381" w:rsidRDefault="002F1381" w:rsidP="002F1381">
      <w:pPr>
        <w:ind w:firstLine="432"/>
        <w:rPr>
          <w:lang w:val="en-US"/>
        </w:rPr>
      </w:pPr>
      <w:r>
        <w:rPr>
          <w:lang w:val="en-US"/>
        </w:rPr>
        <w:t>Once again,</w:t>
      </w:r>
      <w:r>
        <w:rPr>
          <w:lang w:val="en-US"/>
        </w:rPr>
        <w:t xml:space="preserve"> the resistor and capacitor values are the same</w:t>
      </w:r>
      <w:r>
        <w:rPr>
          <w:lang w:val="en-US"/>
        </w:rPr>
        <w:t xml:space="preserve"> </w:t>
      </w:r>
      <w:r>
        <w:rPr>
          <w:lang w:val="en-US"/>
        </w:rPr>
        <w:t>as the passive filters, this meant that the cut-off frequency was</w:t>
      </w:r>
      <w:r>
        <w:rPr>
          <w:lang w:val="en-US"/>
        </w:rPr>
        <w:t xml:space="preserve"> also</w:t>
      </w:r>
      <w:r>
        <w:rPr>
          <w:lang w:val="en-US"/>
        </w:rPr>
        <w:t xml:space="preserve"> 10.61kHz.</w:t>
      </w:r>
    </w:p>
    <w:p w14:paraId="109B9B07" w14:textId="00763BE5" w:rsidR="004D6E19" w:rsidRDefault="002F1381" w:rsidP="002F1381">
      <w:pPr>
        <w:ind w:firstLine="432"/>
        <w:rPr>
          <w:lang w:val="en-US"/>
        </w:rPr>
      </w:pPr>
      <w:r>
        <w:rPr>
          <w:lang w:val="en-US"/>
        </w:rPr>
        <w:t>The mid-band gain was determined by the gain of the non-inverting amplifier stage, shown by Eqs.</w:t>
      </w:r>
    </w:p>
    <w:tbl>
      <w:tblPr>
        <w:tblStyle w:val="TableGrid"/>
        <w:tblW w:w="0" w:type="auto"/>
        <w:tblLook w:val="04A0" w:firstRow="1" w:lastRow="0" w:firstColumn="1" w:lastColumn="0" w:noHBand="0" w:noVBand="1"/>
      </w:tblPr>
      <w:tblGrid>
        <w:gridCol w:w="8974"/>
        <w:gridCol w:w="376"/>
      </w:tblGrid>
      <w:tr w:rsidR="002F1381" w14:paraId="25188455" w14:textId="77777777" w:rsidTr="003A461A">
        <w:tc>
          <w:tcPr>
            <w:tcW w:w="8974" w:type="dxa"/>
          </w:tcPr>
          <w:p w14:paraId="56A298C1" w14:textId="073EF3D4" w:rsidR="002F1381" w:rsidRDefault="003A461A" w:rsidP="002F1381">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v(arithmetic)</m:t>
                    </m:r>
                  </m:sub>
                </m:sSub>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6</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5</m:t>
                        </m:r>
                      </m:sub>
                    </m:sSub>
                  </m:den>
                </m:f>
              </m:oMath>
            </m:oMathPara>
          </w:p>
        </w:tc>
        <w:tc>
          <w:tcPr>
            <w:tcW w:w="376" w:type="dxa"/>
          </w:tcPr>
          <w:p w14:paraId="36CB0200" w14:textId="075D177C" w:rsidR="002F1381" w:rsidRDefault="002F1381" w:rsidP="002F1381">
            <w:pPr>
              <w:rPr>
                <w:lang w:val="en-US"/>
              </w:rPr>
            </w:pPr>
            <w:r>
              <w:rPr>
                <w:lang w:val="en-US"/>
              </w:rPr>
              <w:t>()</w:t>
            </w:r>
          </w:p>
        </w:tc>
      </w:tr>
      <w:tr w:rsidR="002F1381" w14:paraId="06A83CD5" w14:textId="77777777" w:rsidTr="003A461A">
        <w:tc>
          <w:tcPr>
            <w:tcW w:w="8974" w:type="dxa"/>
          </w:tcPr>
          <w:p w14:paraId="38996B8C" w14:textId="4E7305D9" w:rsidR="002F1381" w:rsidRDefault="003A461A" w:rsidP="002F1381">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v(arithmetic)</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2200</m:t>
                    </m:r>
                  </m:num>
                  <m:den>
                    <m:r>
                      <w:rPr>
                        <w:rFonts w:ascii="Cambria Math" w:hAnsi="Cambria Math"/>
                        <w:lang w:val="en-US"/>
                      </w:rPr>
                      <m:t>3900</m:t>
                    </m:r>
                  </m:den>
                </m:f>
              </m:oMath>
            </m:oMathPara>
          </w:p>
        </w:tc>
        <w:tc>
          <w:tcPr>
            <w:tcW w:w="376" w:type="dxa"/>
          </w:tcPr>
          <w:p w14:paraId="70BFBC50" w14:textId="45B0384F" w:rsidR="002F1381" w:rsidRDefault="002F1381" w:rsidP="002F1381">
            <w:pPr>
              <w:rPr>
                <w:lang w:val="en-US"/>
              </w:rPr>
            </w:pPr>
            <w:r>
              <w:rPr>
                <w:lang w:val="en-US"/>
              </w:rPr>
              <w:t>()</w:t>
            </w:r>
          </w:p>
        </w:tc>
      </w:tr>
      <w:tr w:rsidR="003A461A" w14:paraId="40E1F26F" w14:textId="77777777" w:rsidTr="003A461A">
        <w:tc>
          <w:tcPr>
            <w:tcW w:w="8974" w:type="dxa"/>
          </w:tcPr>
          <w:p w14:paraId="7FFBA091" w14:textId="3464EDE1" w:rsidR="003A461A" w:rsidRDefault="003A461A" w:rsidP="00567E6A">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v(arithmetic)</m:t>
                    </m:r>
                  </m:sub>
                </m:sSub>
                <m:r>
                  <w:rPr>
                    <w:rFonts w:ascii="Cambria Math" w:hAnsi="Cambria Math"/>
                    <w:lang w:val="en-US"/>
                  </w:rPr>
                  <m:t>=</m:t>
                </m:r>
                <m:r>
                  <w:rPr>
                    <w:rFonts w:ascii="Cambria Math" w:hAnsi="Cambria Math"/>
                    <w:lang w:val="en-US"/>
                  </w:rPr>
                  <m:t>1.56</m:t>
                </m:r>
                <m:r>
                  <w:rPr>
                    <w:rFonts w:ascii="Cambria Math" w:hAnsi="Cambria Math"/>
                    <w:lang w:val="en-US"/>
                  </w:rPr>
                  <m:t>4</m:t>
                </m:r>
                <m:r>
                  <w:rPr>
                    <w:rFonts w:ascii="Cambria Math" w:hAnsi="Cambria Math"/>
                    <w:lang w:val="en-US"/>
                  </w:rPr>
                  <m:t xml:space="preserve"> V/V</m:t>
                </m:r>
              </m:oMath>
            </m:oMathPara>
          </w:p>
        </w:tc>
        <w:tc>
          <w:tcPr>
            <w:tcW w:w="376" w:type="dxa"/>
          </w:tcPr>
          <w:p w14:paraId="734BE01F" w14:textId="77777777" w:rsidR="003A461A" w:rsidRDefault="003A461A" w:rsidP="00567E6A">
            <w:pPr>
              <w:rPr>
                <w:lang w:val="en-US"/>
              </w:rPr>
            </w:pPr>
            <w:r>
              <w:rPr>
                <w:lang w:val="en-US"/>
              </w:rPr>
              <w:t>()</w:t>
            </w:r>
          </w:p>
        </w:tc>
      </w:tr>
    </w:tbl>
    <w:p w14:paraId="52E46A00" w14:textId="77A3F3FB" w:rsidR="002F1381" w:rsidRDefault="003A461A" w:rsidP="002F1381">
      <w:pPr>
        <w:ind w:firstLine="432"/>
        <w:rPr>
          <w:lang w:val="en-US"/>
        </w:rPr>
      </w:pPr>
      <w:r>
        <w:rPr>
          <w:lang w:val="en-US"/>
        </w:rPr>
        <w:t xml:space="preserve">The arithmetic gain was then converted into dB gain, </w:t>
      </w:r>
      <w:r w:rsidR="00A32233">
        <w:rPr>
          <w:lang w:val="en-US"/>
        </w:rPr>
        <w:t>this was</w:t>
      </w:r>
      <w:r>
        <w:rPr>
          <w:lang w:val="en-US"/>
        </w:rPr>
        <w:t xml:space="preserve"> the pass-band gain of the frequency response; given by Eqs.</w:t>
      </w:r>
    </w:p>
    <w:tbl>
      <w:tblPr>
        <w:tblStyle w:val="TableGrid"/>
        <w:tblW w:w="0" w:type="auto"/>
        <w:tblLook w:val="04A0" w:firstRow="1" w:lastRow="0" w:firstColumn="1" w:lastColumn="0" w:noHBand="0" w:noVBand="1"/>
      </w:tblPr>
      <w:tblGrid>
        <w:gridCol w:w="8974"/>
        <w:gridCol w:w="376"/>
      </w:tblGrid>
      <w:tr w:rsidR="003A461A" w14:paraId="36328588" w14:textId="77777777" w:rsidTr="00567E6A">
        <w:tc>
          <w:tcPr>
            <w:tcW w:w="8974" w:type="dxa"/>
          </w:tcPr>
          <w:p w14:paraId="57188760" w14:textId="002CC4D5" w:rsidR="003A461A" w:rsidRDefault="003A461A" w:rsidP="00567E6A">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r>
                      <w:rPr>
                        <w:rFonts w:ascii="Cambria Math" w:hAnsi="Cambria Math"/>
                        <w:lang w:val="en-US"/>
                      </w:rPr>
                      <m:t>dB</m:t>
                    </m:r>
                    <m:r>
                      <w:rPr>
                        <w:rFonts w:ascii="Cambria Math" w:hAnsi="Cambria Math"/>
                        <w:lang w:val="en-US"/>
                      </w:rPr>
                      <m:t>)</m:t>
                    </m:r>
                  </m:sub>
                </m:sSub>
                <m:r>
                  <w:rPr>
                    <w:rFonts w:ascii="Cambria Math" w:hAnsi="Cambria Math"/>
                    <w:lang w:val="en-US"/>
                  </w:rPr>
                  <m:t>=</m:t>
                </m:r>
                <m:r>
                  <w:rPr>
                    <w:rFonts w:ascii="Cambria Math" w:hAnsi="Cambria Math"/>
                    <w:lang w:val="en-US"/>
                  </w:rPr>
                  <m:t>20</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sub>
                    </m:sSub>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v(arithmetic)</m:t>
                        </m:r>
                      </m:sub>
                    </m:sSub>
                    <m:r>
                      <w:rPr>
                        <w:rFonts w:ascii="Cambria Math" w:hAnsi="Cambria Math"/>
                        <w:lang w:val="en-US"/>
                      </w:rPr>
                      <m:t>)</m:t>
                    </m:r>
                  </m:e>
                </m:func>
              </m:oMath>
            </m:oMathPara>
          </w:p>
        </w:tc>
        <w:tc>
          <w:tcPr>
            <w:tcW w:w="376" w:type="dxa"/>
          </w:tcPr>
          <w:p w14:paraId="630E49CF" w14:textId="77777777" w:rsidR="003A461A" w:rsidRDefault="003A461A" w:rsidP="00567E6A">
            <w:pPr>
              <w:rPr>
                <w:lang w:val="en-US"/>
              </w:rPr>
            </w:pPr>
            <w:r>
              <w:rPr>
                <w:lang w:val="en-US"/>
              </w:rPr>
              <w:t>()</w:t>
            </w:r>
          </w:p>
        </w:tc>
      </w:tr>
      <w:tr w:rsidR="00A32233" w14:paraId="71CF0A6E" w14:textId="77777777" w:rsidTr="00567E6A">
        <w:tc>
          <w:tcPr>
            <w:tcW w:w="8974" w:type="dxa"/>
          </w:tcPr>
          <w:p w14:paraId="4B398B7F" w14:textId="79E72AE1" w:rsidR="00A32233" w:rsidRDefault="00A32233" w:rsidP="00A32233">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v(dB)</m:t>
                    </m:r>
                  </m:sub>
                </m:sSub>
                <m:r>
                  <w:rPr>
                    <w:rFonts w:ascii="Cambria Math" w:hAnsi="Cambria Math"/>
                    <w:lang w:val="en-US"/>
                  </w:rPr>
                  <m:t>=20</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sub>
                    </m:sSub>
                  </m:fName>
                  <m:e>
                    <m:r>
                      <w:rPr>
                        <w:rFonts w:ascii="Cambria Math" w:hAnsi="Cambria Math"/>
                        <w:lang w:val="en-US"/>
                      </w:rPr>
                      <m:t>(</m:t>
                    </m:r>
                    <m:r>
                      <w:rPr>
                        <w:rFonts w:ascii="Cambria Math" w:hAnsi="Cambria Math"/>
                        <w:lang w:val="en-US"/>
                      </w:rPr>
                      <m:t>1.564</m:t>
                    </m:r>
                    <m:r>
                      <w:rPr>
                        <w:rFonts w:ascii="Cambria Math" w:hAnsi="Cambria Math"/>
                        <w:lang w:val="en-US"/>
                      </w:rPr>
                      <m:t>)</m:t>
                    </m:r>
                  </m:e>
                </m:func>
              </m:oMath>
            </m:oMathPara>
          </w:p>
        </w:tc>
        <w:tc>
          <w:tcPr>
            <w:tcW w:w="376" w:type="dxa"/>
          </w:tcPr>
          <w:p w14:paraId="79A95FD9" w14:textId="77777777" w:rsidR="00A32233" w:rsidRDefault="00A32233" w:rsidP="00A32233">
            <w:pPr>
              <w:rPr>
                <w:lang w:val="en-US"/>
              </w:rPr>
            </w:pPr>
            <w:r>
              <w:rPr>
                <w:lang w:val="en-US"/>
              </w:rPr>
              <w:t>()</w:t>
            </w:r>
          </w:p>
        </w:tc>
      </w:tr>
      <w:tr w:rsidR="00A32233" w14:paraId="30BDBC07" w14:textId="77777777" w:rsidTr="00567E6A">
        <w:tc>
          <w:tcPr>
            <w:tcW w:w="8974" w:type="dxa"/>
          </w:tcPr>
          <w:p w14:paraId="2ED00EE1" w14:textId="20BA8BED" w:rsidR="00A32233" w:rsidRDefault="00A32233" w:rsidP="00A32233">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v(dB)</m:t>
                    </m:r>
                  </m:sub>
                </m:sSub>
                <m:r>
                  <w:rPr>
                    <w:rFonts w:ascii="Cambria Math" w:hAnsi="Cambria Math"/>
                    <w:lang w:val="en-US"/>
                  </w:rPr>
                  <m:t>=</m:t>
                </m:r>
                <m:r>
                  <w:rPr>
                    <w:rFonts w:ascii="Cambria Math" w:hAnsi="Cambria Math"/>
                    <w:lang w:val="en-US"/>
                  </w:rPr>
                  <m:t xml:space="preserve">3.8853 </m:t>
                </m:r>
                <m:r>
                  <m:rPr>
                    <m:sty m:val="p"/>
                  </m:rPr>
                  <w:rPr>
                    <w:rFonts w:ascii="Cambria Math" w:hAnsi="Cambria Math"/>
                    <w:lang w:val="en-US"/>
                  </w:rPr>
                  <m:t>dB</m:t>
                </m:r>
              </m:oMath>
            </m:oMathPara>
          </w:p>
        </w:tc>
        <w:tc>
          <w:tcPr>
            <w:tcW w:w="376" w:type="dxa"/>
          </w:tcPr>
          <w:p w14:paraId="7ED79D62" w14:textId="77777777" w:rsidR="00A32233" w:rsidRDefault="00A32233" w:rsidP="00A32233">
            <w:pPr>
              <w:rPr>
                <w:lang w:val="en-US"/>
              </w:rPr>
            </w:pPr>
            <w:r>
              <w:rPr>
                <w:lang w:val="en-US"/>
              </w:rPr>
              <w:t>()</w:t>
            </w:r>
          </w:p>
        </w:tc>
      </w:tr>
    </w:tbl>
    <w:p w14:paraId="2E1420DC" w14:textId="2F96CBB4" w:rsidR="003A461A" w:rsidRDefault="003A461A" w:rsidP="002F1381">
      <w:pPr>
        <w:ind w:firstLine="432"/>
        <w:rPr>
          <w:lang w:val="en-US"/>
        </w:rPr>
      </w:pPr>
    </w:p>
    <w:p w14:paraId="4711929B" w14:textId="294D863D" w:rsidR="00A32233" w:rsidRDefault="00A32233" w:rsidP="002F1381">
      <w:pPr>
        <w:ind w:firstLine="432"/>
        <w:rPr>
          <w:lang w:val="en-US"/>
        </w:rPr>
      </w:pPr>
      <w:r>
        <w:rPr>
          <w:noProof/>
        </w:rPr>
        <w:lastRenderedPageBreak/>
        <w:drawing>
          <wp:inline distT="0" distB="0" distL="0" distR="0" wp14:anchorId="1E23A808" wp14:editId="365B2424">
            <wp:extent cx="5943600" cy="2759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9710"/>
                    </a:xfrm>
                    <a:prstGeom prst="rect">
                      <a:avLst/>
                    </a:prstGeom>
                  </pic:spPr>
                </pic:pic>
              </a:graphicData>
            </a:graphic>
          </wp:inline>
        </w:drawing>
      </w:r>
    </w:p>
    <w:p w14:paraId="35953411" w14:textId="77777777" w:rsidR="00A32233" w:rsidRDefault="00A32233" w:rsidP="00A32233">
      <w:pPr>
        <w:ind w:firstLine="432"/>
        <w:rPr>
          <w:lang w:val="en-US"/>
        </w:rPr>
      </w:pPr>
    </w:p>
    <w:p w14:paraId="5C3BB9E3" w14:textId="383AF871" w:rsidR="002F1381" w:rsidRDefault="00A32233" w:rsidP="00A32233">
      <w:pPr>
        <w:ind w:firstLine="432"/>
        <w:rPr>
          <w:lang w:val="en-US"/>
        </w:rPr>
      </w:pPr>
      <w:r>
        <w:rPr>
          <w:lang w:val="en-US"/>
        </w:rPr>
        <w:t>Figure shows the frequency response for the second order Sallen-Key low-pass filter. It is confirmed that the pass-band gain is 3.8853dB, as calculated.</w:t>
      </w:r>
    </w:p>
    <w:p w14:paraId="4959E6CF" w14:textId="76283DD1" w:rsidR="004B63B4" w:rsidRDefault="004B63B4" w:rsidP="00A32233">
      <w:pPr>
        <w:ind w:firstLine="432"/>
        <w:rPr>
          <w:lang w:val="en-US"/>
        </w:rPr>
      </w:pPr>
      <w:r>
        <w:rPr>
          <w:noProof/>
        </w:rPr>
        <w:drawing>
          <wp:inline distT="0" distB="0" distL="0" distR="0" wp14:anchorId="06289D91" wp14:editId="6E5CB8BE">
            <wp:extent cx="5943600" cy="2822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2575"/>
                    </a:xfrm>
                    <a:prstGeom prst="rect">
                      <a:avLst/>
                    </a:prstGeom>
                  </pic:spPr>
                </pic:pic>
              </a:graphicData>
            </a:graphic>
          </wp:inline>
        </w:drawing>
      </w:r>
    </w:p>
    <w:p w14:paraId="00D8713E" w14:textId="241F8E4F" w:rsidR="004B63B4" w:rsidRDefault="004B63B4" w:rsidP="00A32233">
      <w:pPr>
        <w:ind w:firstLine="432"/>
        <w:rPr>
          <w:lang w:val="en-US"/>
        </w:rPr>
      </w:pPr>
      <w:r>
        <w:rPr>
          <w:lang w:val="en-US"/>
        </w:rPr>
        <w:tab/>
        <w:t>Figure once again shows the frequency response for the same filter, cursor 1 has been placed at the cut-off frequency of 10.61kHz and cursor 2 has been placed one octave above, 21.22kHz. The slope should be -12dB/octave as it is a second order filter, however, it appears to have a slope of -9dB/octave.</w:t>
      </w:r>
    </w:p>
    <w:p w14:paraId="69A33B4C" w14:textId="77777777" w:rsidR="00FD3872" w:rsidRPr="004D6E19" w:rsidRDefault="00FD3872" w:rsidP="00A32233">
      <w:pPr>
        <w:ind w:firstLine="432"/>
        <w:rPr>
          <w:lang w:val="en-US"/>
        </w:rPr>
      </w:pPr>
    </w:p>
    <w:p w14:paraId="0A84005A" w14:textId="216C916F" w:rsidR="004D6E19" w:rsidRPr="004D6E19" w:rsidRDefault="00762AF1" w:rsidP="004D6E19">
      <w:pPr>
        <w:pStyle w:val="Heading2"/>
        <w:rPr>
          <w:lang w:val="en-US"/>
        </w:rPr>
      </w:pPr>
      <w:r>
        <w:rPr>
          <w:lang w:val="en-US"/>
        </w:rPr>
        <w:lastRenderedPageBreak/>
        <w:t>High pass filter</w:t>
      </w:r>
    </w:p>
    <w:p w14:paraId="3BA60BB3" w14:textId="5D14080B" w:rsidR="00762AF1" w:rsidRDefault="00762AF1" w:rsidP="00762AF1">
      <w:pPr>
        <w:pStyle w:val="Heading3"/>
        <w:rPr>
          <w:lang w:val="en-US"/>
        </w:rPr>
      </w:pPr>
      <w:r>
        <w:rPr>
          <w:lang w:val="en-US"/>
        </w:rPr>
        <w:t>Methodology</w:t>
      </w:r>
    </w:p>
    <w:p w14:paraId="07CEC5A1" w14:textId="7347C2C3" w:rsidR="00FD3872" w:rsidRDefault="00FD3872" w:rsidP="00FD3872">
      <w:pPr>
        <w:ind w:left="720"/>
        <w:rPr>
          <w:lang w:val="en-US"/>
        </w:rPr>
      </w:pPr>
      <w:r>
        <w:rPr>
          <w:noProof/>
        </w:rPr>
        <w:drawing>
          <wp:inline distT="0" distB="0" distL="0" distR="0" wp14:anchorId="23079B4B" wp14:editId="162B66F4">
            <wp:extent cx="3325090" cy="166645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31" cy="1669029"/>
                    </a:xfrm>
                    <a:prstGeom prst="rect">
                      <a:avLst/>
                    </a:prstGeom>
                  </pic:spPr>
                </pic:pic>
              </a:graphicData>
            </a:graphic>
          </wp:inline>
        </w:drawing>
      </w:r>
    </w:p>
    <w:p w14:paraId="2EE57446" w14:textId="70D85B36" w:rsidR="00FD3872" w:rsidRPr="004D6E19" w:rsidRDefault="00FD3872" w:rsidP="002B588C">
      <w:pPr>
        <w:ind w:left="720" w:firstLine="720"/>
        <w:jc w:val="both"/>
        <w:rPr>
          <w:lang w:val="en-US"/>
        </w:rPr>
      </w:pPr>
      <w:r>
        <w:rPr>
          <w:lang w:val="en-US"/>
        </w:rPr>
        <w:t xml:space="preserve">Figure shows a second order Sallen-Key </w:t>
      </w:r>
      <w:r w:rsidR="002B588C">
        <w:rPr>
          <w:lang w:val="en-US"/>
        </w:rPr>
        <w:t xml:space="preserve">high-pass </w:t>
      </w:r>
      <w:r>
        <w:rPr>
          <w:lang w:val="en-US"/>
        </w:rPr>
        <w:t xml:space="preserve">RC filter. </w:t>
      </w:r>
      <w:r w:rsidR="002B588C">
        <w:rPr>
          <w:lang w:val="en-US"/>
        </w:rPr>
        <w:t>It is almost identical to the low-pass variant except that it is a high pass filter meaning that the resistors and capacitors are switched. Once again, the frequency sweep was carried out. As the components are the same value, this means that the cut-off frequency and the mid-band gain are the same as on the Sallen-K</w:t>
      </w:r>
      <w:bookmarkStart w:id="0" w:name="_GoBack"/>
      <w:bookmarkEnd w:id="0"/>
      <w:r w:rsidR="002B588C">
        <w:rPr>
          <w:lang w:val="en-US"/>
        </w:rPr>
        <w:t>ey low-pass.</w:t>
      </w:r>
    </w:p>
    <w:p w14:paraId="6C1B9922" w14:textId="77777777" w:rsidR="00762AF1" w:rsidRPr="00762AF1" w:rsidRDefault="00762AF1" w:rsidP="00762AF1">
      <w:pPr>
        <w:pStyle w:val="Heading3"/>
        <w:rPr>
          <w:lang w:val="en-US"/>
        </w:rPr>
      </w:pPr>
      <w:r>
        <w:rPr>
          <w:lang w:val="en-US"/>
        </w:rPr>
        <w:t>Results &amp; Analysis</w:t>
      </w:r>
    </w:p>
    <w:p w14:paraId="3BAB2F81" w14:textId="3CB0F56D" w:rsidR="00762AF1" w:rsidRDefault="00762AF1" w:rsidP="00762AF1">
      <w:pPr>
        <w:pStyle w:val="Heading2"/>
        <w:rPr>
          <w:lang w:val="en-US"/>
        </w:rPr>
      </w:pPr>
      <w:r>
        <w:rPr>
          <w:lang w:val="en-US"/>
        </w:rPr>
        <w:t>low pass filter with mid-band gain of 3</w:t>
      </w:r>
    </w:p>
    <w:p w14:paraId="314A32F1" w14:textId="77777777" w:rsidR="00762AF1" w:rsidRDefault="00762AF1" w:rsidP="00762AF1">
      <w:pPr>
        <w:pStyle w:val="Heading3"/>
        <w:rPr>
          <w:lang w:val="en-US"/>
        </w:rPr>
      </w:pPr>
      <w:r>
        <w:rPr>
          <w:lang w:val="en-US"/>
        </w:rPr>
        <w:t>Methodology</w:t>
      </w:r>
    </w:p>
    <w:p w14:paraId="0691218B" w14:textId="77777777" w:rsidR="00762AF1" w:rsidRPr="00762AF1" w:rsidRDefault="00762AF1" w:rsidP="00762AF1">
      <w:pPr>
        <w:pStyle w:val="Heading3"/>
        <w:rPr>
          <w:lang w:val="en-US"/>
        </w:rPr>
      </w:pPr>
      <w:r>
        <w:rPr>
          <w:lang w:val="en-US"/>
        </w:rPr>
        <w:t>Results &amp; Analysis</w:t>
      </w:r>
    </w:p>
    <w:p w14:paraId="7A2096DA" w14:textId="4F481CF5" w:rsidR="00762AF1" w:rsidRDefault="00762AF1" w:rsidP="00762AF1">
      <w:pPr>
        <w:rPr>
          <w:lang w:val="en-US"/>
        </w:rPr>
      </w:pPr>
    </w:p>
    <w:p w14:paraId="1C8BD546" w14:textId="4474D48E" w:rsidR="00762AF1" w:rsidRDefault="00762AF1" w:rsidP="00762AF1">
      <w:pPr>
        <w:pStyle w:val="Heading1"/>
        <w:rPr>
          <w:lang w:val="en-US"/>
        </w:rPr>
      </w:pPr>
      <w:r>
        <w:rPr>
          <w:lang w:val="en-US"/>
        </w:rPr>
        <w:t>More complex filters</w:t>
      </w:r>
    </w:p>
    <w:p w14:paraId="315772E9" w14:textId="076C41AC" w:rsidR="00762AF1" w:rsidRDefault="00762AF1" w:rsidP="00762AF1">
      <w:pPr>
        <w:pStyle w:val="Heading2"/>
        <w:rPr>
          <w:lang w:val="en-US"/>
        </w:rPr>
      </w:pPr>
      <w:r>
        <w:rPr>
          <w:lang w:val="en-US"/>
        </w:rPr>
        <w:t>Fourth order low pass Sallen-key filter</w:t>
      </w:r>
    </w:p>
    <w:p w14:paraId="02E032FC" w14:textId="77777777" w:rsidR="00762AF1" w:rsidRDefault="00762AF1" w:rsidP="00762AF1">
      <w:pPr>
        <w:pStyle w:val="Heading3"/>
        <w:rPr>
          <w:lang w:val="en-US"/>
        </w:rPr>
      </w:pPr>
      <w:r>
        <w:rPr>
          <w:lang w:val="en-US"/>
        </w:rPr>
        <w:t>Methodology</w:t>
      </w:r>
    </w:p>
    <w:p w14:paraId="6E1094F5" w14:textId="77777777" w:rsidR="00762AF1" w:rsidRPr="00762AF1" w:rsidRDefault="00762AF1" w:rsidP="00762AF1">
      <w:pPr>
        <w:pStyle w:val="Heading3"/>
        <w:rPr>
          <w:lang w:val="en-US"/>
        </w:rPr>
      </w:pPr>
      <w:r>
        <w:rPr>
          <w:lang w:val="en-US"/>
        </w:rPr>
        <w:t>Results &amp; Analysis</w:t>
      </w:r>
    </w:p>
    <w:p w14:paraId="0D2F69AE" w14:textId="66976E63" w:rsidR="00762AF1" w:rsidRDefault="00762AF1" w:rsidP="00762AF1">
      <w:pPr>
        <w:pStyle w:val="Heading2"/>
        <w:rPr>
          <w:lang w:val="en-US"/>
        </w:rPr>
      </w:pPr>
      <w:r>
        <w:rPr>
          <w:lang w:val="en-US"/>
        </w:rPr>
        <w:t>Second order band-pass Sallen-key filter</w:t>
      </w:r>
    </w:p>
    <w:p w14:paraId="6EF5E730" w14:textId="77777777" w:rsidR="00762AF1" w:rsidRDefault="00762AF1" w:rsidP="00762AF1">
      <w:pPr>
        <w:pStyle w:val="Heading3"/>
        <w:rPr>
          <w:lang w:val="en-US"/>
        </w:rPr>
      </w:pPr>
      <w:r>
        <w:rPr>
          <w:lang w:val="en-US"/>
        </w:rPr>
        <w:t>Methodology</w:t>
      </w:r>
    </w:p>
    <w:p w14:paraId="6AB3185E" w14:textId="77777777" w:rsidR="00762AF1" w:rsidRPr="00762AF1" w:rsidRDefault="00762AF1" w:rsidP="00762AF1">
      <w:pPr>
        <w:pStyle w:val="Heading3"/>
        <w:rPr>
          <w:lang w:val="en-US"/>
        </w:rPr>
      </w:pPr>
      <w:r>
        <w:rPr>
          <w:lang w:val="en-US"/>
        </w:rPr>
        <w:t>Results &amp; Analysis</w:t>
      </w:r>
    </w:p>
    <w:p w14:paraId="73BAB8C5" w14:textId="048D763F" w:rsidR="00762AF1" w:rsidRDefault="00762AF1" w:rsidP="00762AF1">
      <w:pPr>
        <w:pStyle w:val="Heading2"/>
        <w:rPr>
          <w:lang w:val="en-US"/>
        </w:rPr>
      </w:pPr>
      <w:r>
        <w:rPr>
          <w:lang w:val="en-US"/>
        </w:rPr>
        <w:t>Second order band-reject Sallen-key filter</w:t>
      </w:r>
    </w:p>
    <w:p w14:paraId="41FE02D0" w14:textId="77777777" w:rsidR="0084164B" w:rsidRPr="0084164B" w:rsidRDefault="0084164B" w:rsidP="0084164B">
      <w:pPr>
        <w:rPr>
          <w:lang w:val="en-US"/>
        </w:rPr>
      </w:pPr>
    </w:p>
    <w:p w14:paraId="5D4F499D" w14:textId="77777777" w:rsidR="00762AF1" w:rsidRDefault="00762AF1" w:rsidP="00762AF1">
      <w:pPr>
        <w:pStyle w:val="Heading3"/>
        <w:rPr>
          <w:lang w:val="en-US"/>
        </w:rPr>
      </w:pPr>
      <w:r>
        <w:rPr>
          <w:lang w:val="en-US"/>
        </w:rPr>
        <w:t>Methodology</w:t>
      </w:r>
    </w:p>
    <w:p w14:paraId="45C7E32D" w14:textId="77777777" w:rsidR="00762AF1" w:rsidRPr="00762AF1" w:rsidRDefault="00762AF1" w:rsidP="00762AF1">
      <w:pPr>
        <w:pStyle w:val="Heading3"/>
        <w:rPr>
          <w:lang w:val="en-US"/>
        </w:rPr>
      </w:pPr>
      <w:r>
        <w:rPr>
          <w:lang w:val="en-US"/>
        </w:rPr>
        <w:t>Results &amp; Analysis</w:t>
      </w:r>
    </w:p>
    <w:p w14:paraId="510B15FD" w14:textId="77777777" w:rsidR="00762AF1" w:rsidRPr="00762AF1" w:rsidRDefault="00762AF1" w:rsidP="00762AF1">
      <w:pPr>
        <w:rPr>
          <w:lang w:val="en-US"/>
        </w:rPr>
      </w:pPr>
    </w:p>
    <w:sectPr w:rsidR="00762AF1" w:rsidRPr="00762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E564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8"/>
    <w:rsid w:val="000434AE"/>
    <w:rsid w:val="000931AB"/>
    <w:rsid w:val="000B0E76"/>
    <w:rsid w:val="00187C81"/>
    <w:rsid w:val="001F44A9"/>
    <w:rsid w:val="002B588C"/>
    <w:rsid w:val="002F1381"/>
    <w:rsid w:val="003A461A"/>
    <w:rsid w:val="004259C7"/>
    <w:rsid w:val="004B63B4"/>
    <w:rsid w:val="004D6E19"/>
    <w:rsid w:val="005D09E1"/>
    <w:rsid w:val="006B0D8C"/>
    <w:rsid w:val="00762AF1"/>
    <w:rsid w:val="00785885"/>
    <w:rsid w:val="007F1E2E"/>
    <w:rsid w:val="0084164B"/>
    <w:rsid w:val="00942DC2"/>
    <w:rsid w:val="00976B65"/>
    <w:rsid w:val="00A32233"/>
    <w:rsid w:val="00B44D64"/>
    <w:rsid w:val="00BF1393"/>
    <w:rsid w:val="00BF4076"/>
    <w:rsid w:val="00C35A47"/>
    <w:rsid w:val="00CD77B6"/>
    <w:rsid w:val="00DF642E"/>
    <w:rsid w:val="00FB317C"/>
    <w:rsid w:val="00FD21F8"/>
    <w:rsid w:val="00FD3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9FD6"/>
  <w15:chartTrackingRefBased/>
  <w15:docId w15:val="{9A3E7243-AD09-43FE-8A72-A294FB03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F8"/>
    <w:rPr>
      <w:rFonts w:ascii="Times New Roman" w:hAnsi="Times New Roman" w:cs="Times New Roman"/>
      <w:sz w:val="24"/>
      <w:szCs w:val="24"/>
    </w:rPr>
  </w:style>
  <w:style w:type="paragraph" w:styleId="Heading1">
    <w:name w:val="heading 1"/>
    <w:basedOn w:val="Normal"/>
    <w:next w:val="Normal"/>
    <w:link w:val="Heading1Char"/>
    <w:uiPriority w:val="9"/>
    <w:qFormat/>
    <w:rsid w:val="00FD21F8"/>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FD21F8"/>
    <w:pPr>
      <w:keepNext/>
      <w:keepLines/>
      <w:numPr>
        <w:ilvl w:val="1"/>
        <w:numId w:val="1"/>
      </w:numPr>
      <w:spacing w:before="40" w:after="0"/>
      <w:outlineLvl w:val="1"/>
    </w:pPr>
    <w:rPr>
      <w:rFonts w:eastAsiaTheme="majorEastAsia"/>
      <w:sz w:val="26"/>
      <w:szCs w:val="26"/>
    </w:rPr>
  </w:style>
  <w:style w:type="paragraph" w:styleId="Heading3">
    <w:name w:val="heading 3"/>
    <w:basedOn w:val="Normal"/>
    <w:next w:val="Normal"/>
    <w:link w:val="Heading3Char"/>
    <w:uiPriority w:val="9"/>
    <w:unhideWhenUsed/>
    <w:qFormat/>
    <w:rsid w:val="00FD21F8"/>
    <w:pPr>
      <w:keepNext/>
      <w:keepLines/>
      <w:numPr>
        <w:ilvl w:val="2"/>
        <w:numId w:val="1"/>
      </w:numPr>
      <w:spacing w:before="40" w:after="0"/>
      <w:outlineLvl w:val="2"/>
    </w:pPr>
    <w:rPr>
      <w:rFonts w:eastAsiaTheme="majorEastAsia"/>
    </w:rPr>
  </w:style>
  <w:style w:type="paragraph" w:styleId="Heading4">
    <w:name w:val="heading 4"/>
    <w:basedOn w:val="Normal"/>
    <w:next w:val="Normal"/>
    <w:link w:val="Heading4Char"/>
    <w:uiPriority w:val="9"/>
    <w:semiHidden/>
    <w:unhideWhenUsed/>
    <w:qFormat/>
    <w:rsid w:val="00762A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A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2A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2A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2A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A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F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FD21F8"/>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FD21F8"/>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semiHidden/>
    <w:rsid w:val="00762AF1"/>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762AF1"/>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62AF1"/>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62AF1"/>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62A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AF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2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5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FD25BDE14C9E4DB7D69B63DF92C53D" ma:contentTypeVersion="10" ma:contentTypeDescription="Create a new document." ma:contentTypeScope="" ma:versionID="dc04b6a48a34e1bd2dc9873ca77b7f5f">
  <xsd:schema xmlns:xsd="http://www.w3.org/2001/XMLSchema" xmlns:xs="http://www.w3.org/2001/XMLSchema" xmlns:p="http://schemas.microsoft.com/office/2006/metadata/properties" xmlns:ns3="af7d81f0-00a1-465e-86d9-209fa0b79258" xmlns:ns4="2743dc29-67c1-463d-89f8-48534c57abd2" targetNamespace="http://schemas.microsoft.com/office/2006/metadata/properties" ma:root="true" ma:fieldsID="b8d2bd6650fa778c294215c3ce3dd5f5" ns3:_="" ns4:_="">
    <xsd:import namespace="af7d81f0-00a1-465e-86d9-209fa0b79258"/>
    <xsd:import namespace="2743dc29-67c1-463d-89f8-48534c57ab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d81f0-00a1-465e-86d9-209fa0b79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43dc29-67c1-463d-89f8-48534c57abd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E7AE00-2EFF-4D51-93BB-F2E165461186}">
  <ds:schemaRefs>
    <ds:schemaRef ds:uri="http://schemas.microsoft.com/office/infopath/2007/PartnerControls"/>
    <ds:schemaRef ds:uri="af7d81f0-00a1-465e-86d9-209fa0b79258"/>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743dc29-67c1-463d-89f8-48534c57abd2"/>
    <ds:schemaRef ds:uri="http://www.w3.org/XML/1998/namespace"/>
    <ds:schemaRef ds:uri="http://purl.org/dc/dcmitype/"/>
  </ds:schemaRefs>
</ds:datastoreItem>
</file>

<file path=customXml/itemProps2.xml><?xml version="1.0" encoding="utf-8"?>
<ds:datastoreItem xmlns:ds="http://schemas.openxmlformats.org/officeDocument/2006/customXml" ds:itemID="{0C379BB1-D2A7-4D6F-B3B4-D594269AB72D}">
  <ds:schemaRefs>
    <ds:schemaRef ds:uri="http://schemas.microsoft.com/sharepoint/v3/contenttype/forms"/>
  </ds:schemaRefs>
</ds:datastoreItem>
</file>

<file path=customXml/itemProps3.xml><?xml version="1.0" encoding="utf-8"?>
<ds:datastoreItem xmlns:ds="http://schemas.openxmlformats.org/officeDocument/2006/customXml" ds:itemID="{09AD0635-8B28-4D68-B573-F28007FD6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d81f0-00a1-465e-86d9-209fa0b79258"/>
    <ds:schemaRef ds:uri="2743dc29-67c1-463d-89f8-48534c57a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Ceballos</dc:creator>
  <cp:keywords/>
  <dc:description/>
  <cp:lastModifiedBy>Mateo Ceballos</cp:lastModifiedBy>
  <cp:revision>4</cp:revision>
  <dcterms:created xsi:type="dcterms:W3CDTF">2020-03-02T00:20:00Z</dcterms:created>
  <dcterms:modified xsi:type="dcterms:W3CDTF">2020-03-02T14:17:00Z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0x0101008FFD25BDE14C9E4DB7D69B63DF92C53D</vt:lpwstr>
  </property>
</Properties>
</file>