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51FB8" w14:textId="77777777" w:rsidR="00D0618B" w:rsidRPr="000855ED" w:rsidRDefault="00D0618B" w:rsidP="00D0618B"/>
    <w:p w14:paraId="2A4EBF45" w14:textId="77777777" w:rsidR="00D0618B" w:rsidRPr="00B30449" w:rsidRDefault="00D0618B" w:rsidP="00D0618B">
      <w:pPr>
        <w:jc w:val="center"/>
        <w:rPr>
          <w:b/>
          <w:sz w:val="20"/>
          <w:szCs w:val="20"/>
        </w:rPr>
      </w:pPr>
      <w:r w:rsidRPr="00B30449">
        <w:rPr>
          <w:b/>
          <w:sz w:val="20"/>
          <w:szCs w:val="20"/>
        </w:rPr>
        <w:t>NOTAS A LOS ESTADOS CONTABLES</w:t>
      </w:r>
    </w:p>
    <w:p w14:paraId="2A0C8359" w14:textId="77777777" w:rsidR="00D0618B" w:rsidRPr="000855ED" w:rsidRDefault="00D0618B" w:rsidP="00D0618B">
      <w:pPr>
        <w:jc w:val="center"/>
        <w:rPr>
          <w:b/>
          <w:sz w:val="18"/>
          <w:szCs w:val="18"/>
        </w:rPr>
      </w:pPr>
      <w:r w:rsidRPr="000855ED">
        <w:rPr>
          <w:b/>
          <w:sz w:val="18"/>
          <w:szCs w:val="18"/>
        </w:rPr>
        <w:t xml:space="preserve">Por el ejercicio finalizado el </w:t>
      </w:r>
      <w:proofErr w:type="spellStart"/>
      <w:r w:rsidRPr="000855ED">
        <w:rPr>
          <w:b/>
          <w:sz w:val="18"/>
          <w:szCs w:val="18"/>
        </w:rPr>
        <w:t>dd</w:t>
      </w:r>
      <w:proofErr w:type="spellEnd"/>
      <w:r w:rsidRPr="000855ED">
        <w:rPr>
          <w:b/>
          <w:sz w:val="18"/>
          <w:szCs w:val="18"/>
        </w:rPr>
        <w:t>/mm/</w:t>
      </w:r>
      <w:proofErr w:type="spellStart"/>
      <w:r w:rsidRPr="000855ED">
        <w:rPr>
          <w:b/>
          <w:sz w:val="18"/>
          <w:szCs w:val="18"/>
        </w:rPr>
        <w:t>aaaa</w:t>
      </w:r>
      <w:proofErr w:type="spellEnd"/>
      <w:r w:rsidRPr="000855ED">
        <w:rPr>
          <w:b/>
          <w:sz w:val="18"/>
          <w:szCs w:val="18"/>
        </w:rPr>
        <w:t xml:space="preserve"> comparativo</w:t>
      </w:r>
      <w:r>
        <w:rPr>
          <w:b/>
          <w:sz w:val="18"/>
          <w:szCs w:val="18"/>
        </w:rPr>
        <w:t xml:space="preserve"> en pesos,</w:t>
      </w:r>
      <w:r w:rsidRPr="000855ED">
        <w:rPr>
          <w:b/>
          <w:sz w:val="18"/>
          <w:szCs w:val="18"/>
        </w:rPr>
        <w:t xml:space="preserve"> con el ejercicio anterior. En moneda homogénea</w:t>
      </w:r>
    </w:p>
    <w:p w14:paraId="3D17B989" w14:textId="77777777" w:rsidR="00D0618B" w:rsidRPr="00B30449" w:rsidRDefault="00D0618B" w:rsidP="00D0618B">
      <w:pPr>
        <w:pBdr>
          <w:top w:val="nil"/>
          <w:left w:val="nil"/>
          <w:bottom w:val="nil"/>
          <w:right w:val="nil"/>
          <w:between w:val="nil"/>
        </w:pBdr>
        <w:jc w:val="both"/>
        <w:rPr>
          <w:color w:val="000000"/>
          <w:sz w:val="20"/>
          <w:szCs w:val="20"/>
        </w:rPr>
      </w:pPr>
    </w:p>
    <w:p w14:paraId="52358C31" w14:textId="77777777" w:rsidR="00D0618B" w:rsidRPr="000855ED" w:rsidRDefault="00D0618B" w:rsidP="00D0618B">
      <w:pPr>
        <w:pStyle w:val="Prrafodelista"/>
        <w:numPr>
          <w:ilvl w:val="0"/>
          <w:numId w:val="1"/>
        </w:numPr>
        <w:pBdr>
          <w:top w:val="nil"/>
          <w:left w:val="nil"/>
          <w:bottom w:val="nil"/>
          <w:right w:val="nil"/>
          <w:between w:val="nil"/>
        </w:pBdr>
        <w:ind w:left="357" w:hanging="357"/>
        <w:jc w:val="both"/>
        <w:rPr>
          <w:rFonts w:eastAsia="Trebuchet MS"/>
          <w:b/>
          <w:color w:val="000000"/>
          <w:sz w:val="20"/>
          <w:szCs w:val="20"/>
        </w:rPr>
      </w:pPr>
      <w:r w:rsidRPr="000855ED">
        <w:rPr>
          <w:rFonts w:eastAsia="Trebuchet MS"/>
          <w:b/>
          <w:color w:val="000000"/>
          <w:sz w:val="20"/>
          <w:szCs w:val="20"/>
        </w:rPr>
        <w:t>Notas generales</w:t>
      </w:r>
    </w:p>
    <w:p w14:paraId="6B502251" w14:textId="77777777" w:rsidR="00D0618B" w:rsidRPr="00B30449" w:rsidRDefault="00D0618B" w:rsidP="00D0618B">
      <w:pPr>
        <w:pBdr>
          <w:top w:val="nil"/>
          <w:left w:val="nil"/>
          <w:bottom w:val="nil"/>
          <w:right w:val="nil"/>
          <w:between w:val="nil"/>
        </w:pBdr>
        <w:spacing w:before="22"/>
        <w:jc w:val="both"/>
        <w:rPr>
          <w:color w:val="000000"/>
          <w:sz w:val="20"/>
          <w:szCs w:val="20"/>
        </w:rPr>
      </w:pPr>
    </w:p>
    <w:p w14:paraId="7C417A8D" w14:textId="77777777" w:rsidR="00D0618B" w:rsidRPr="00B30449" w:rsidRDefault="00D0618B" w:rsidP="00D0618B">
      <w:pPr>
        <w:pStyle w:val="Prrafodelista"/>
        <w:numPr>
          <w:ilvl w:val="1"/>
          <w:numId w:val="1"/>
        </w:numPr>
        <w:pBdr>
          <w:top w:val="nil"/>
          <w:left w:val="nil"/>
          <w:bottom w:val="nil"/>
          <w:right w:val="nil"/>
          <w:between w:val="nil"/>
        </w:pBdr>
        <w:ind w:left="720" w:hanging="720"/>
        <w:jc w:val="both"/>
        <w:rPr>
          <w:b/>
          <w:color w:val="000000"/>
          <w:sz w:val="20"/>
          <w:szCs w:val="20"/>
        </w:rPr>
      </w:pPr>
      <w:r w:rsidRPr="000855ED">
        <w:rPr>
          <w:b/>
          <w:bCs/>
          <w:iCs/>
          <w:color w:val="000000"/>
          <w:sz w:val="20"/>
          <w:szCs w:val="20"/>
        </w:rPr>
        <w:t xml:space="preserve">Bases de preparación </w:t>
      </w:r>
      <w:r w:rsidRPr="000855ED">
        <w:rPr>
          <w:b/>
          <w:color w:val="000000"/>
          <w:sz w:val="20"/>
          <w:szCs w:val="20"/>
        </w:rPr>
        <w:t>de los estados</w:t>
      </w:r>
      <w:r w:rsidRPr="00B30449">
        <w:rPr>
          <w:b/>
          <w:color w:val="000000"/>
          <w:sz w:val="20"/>
          <w:szCs w:val="20"/>
        </w:rPr>
        <w:t xml:space="preserve"> contables</w:t>
      </w:r>
      <w:r w:rsidRPr="00BC2385">
        <w:rPr>
          <w:rStyle w:val="Refdenotaalpie"/>
          <w:b/>
          <w:color w:val="FF0000"/>
          <w:sz w:val="20"/>
          <w:szCs w:val="20"/>
        </w:rPr>
        <w:footnoteReference w:id="1"/>
      </w:r>
    </w:p>
    <w:p w14:paraId="7707809C" w14:textId="77777777" w:rsidR="00D0618B" w:rsidRPr="00B30449" w:rsidRDefault="00D0618B" w:rsidP="00D0618B">
      <w:pPr>
        <w:pStyle w:val="Textoindependienteprimerasangra2"/>
        <w:spacing w:before="120" w:after="120"/>
        <w:ind w:left="284" w:firstLine="0"/>
        <w:jc w:val="both"/>
        <w:rPr>
          <w:sz w:val="20"/>
          <w:szCs w:val="20"/>
        </w:rPr>
      </w:pPr>
      <w:r w:rsidRPr="00B30449">
        <w:rPr>
          <w:sz w:val="20"/>
          <w:szCs w:val="20"/>
        </w:rPr>
        <w:t>Los presentes estados c</w:t>
      </w:r>
      <w:r w:rsidRPr="007D17FC">
        <w:rPr>
          <w:sz w:val="20"/>
          <w:szCs w:val="20"/>
        </w:rPr>
        <w:t xml:space="preserve">ontables </w:t>
      </w:r>
      <w:r w:rsidRPr="007D17FC">
        <w:rPr>
          <w:rFonts w:eastAsia="Times New Roman" w:cstheme="minorHAnsi"/>
          <w:sz w:val="20"/>
          <w:szCs w:val="20"/>
        </w:rPr>
        <w:t>están expresados en pesos en moneda homogénea de cierre (Nota</w:t>
      </w:r>
      <w:r>
        <w:rPr>
          <w:rFonts w:eastAsia="Times New Roman" w:cstheme="minorHAnsi"/>
          <w:sz w:val="20"/>
          <w:szCs w:val="20"/>
        </w:rPr>
        <w:t xml:space="preserve"> 1.3</w:t>
      </w:r>
      <w:r w:rsidRPr="007D17FC">
        <w:rPr>
          <w:rFonts w:eastAsia="Times New Roman" w:cstheme="minorHAnsi"/>
          <w:sz w:val="20"/>
          <w:szCs w:val="20"/>
        </w:rPr>
        <w:t xml:space="preserve">) y </w:t>
      </w:r>
      <w:r w:rsidRPr="007D17FC">
        <w:rPr>
          <w:sz w:val="20"/>
          <w:szCs w:val="20"/>
        </w:rPr>
        <w:t>han</w:t>
      </w:r>
      <w:r w:rsidRPr="00B30449">
        <w:rPr>
          <w:sz w:val="20"/>
          <w:szCs w:val="20"/>
        </w:rPr>
        <w:t xml:space="preserve"> sido preparados de conformidad con la Resolución Técnica </w:t>
      </w:r>
      <w:proofErr w:type="spellStart"/>
      <w:r w:rsidRPr="00B30449">
        <w:rPr>
          <w:sz w:val="20"/>
          <w:szCs w:val="20"/>
        </w:rPr>
        <w:t>N°</w:t>
      </w:r>
      <w:proofErr w:type="spellEnd"/>
      <w:r w:rsidRPr="00B30449">
        <w:rPr>
          <w:sz w:val="20"/>
          <w:szCs w:val="20"/>
        </w:rPr>
        <w:t xml:space="preserve"> 54</w:t>
      </w:r>
      <w:r>
        <w:rPr>
          <w:sz w:val="20"/>
          <w:szCs w:val="20"/>
        </w:rPr>
        <w:t xml:space="preserve"> - T.O. RT 59 -, (RT 54)</w:t>
      </w:r>
      <w:r w:rsidRPr="006B74B6">
        <w:rPr>
          <w:sz w:val="20"/>
          <w:szCs w:val="20"/>
        </w:rPr>
        <w:t>, emitida por</w:t>
      </w:r>
      <w:r w:rsidRPr="00B30449">
        <w:rPr>
          <w:sz w:val="20"/>
          <w:szCs w:val="20"/>
        </w:rPr>
        <w:t xml:space="preserve"> la Federación Argentina de Consejos Profesionales de Ciencias Económicas (FACPCE), adoptada por la Resolución P. </w:t>
      </w:r>
      <w:proofErr w:type="spellStart"/>
      <w:r w:rsidRPr="00B30449">
        <w:rPr>
          <w:sz w:val="20"/>
          <w:szCs w:val="20"/>
        </w:rPr>
        <w:t>N°</w:t>
      </w:r>
      <w:proofErr w:type="spellEnd"/>
      <w:r w:rsidRPr="00B30449">
        <w:rPr>
          <w:sz w:val="20"/>
          <w:szCs w:val="20"/>
        </w:rPr>
        <w:t xml:space="preserve"> 460/2024 del Consejo Profesional de Ciencias Económicas de la Ciudad Autónoma de Buenos Aires (CPCECABA).</w:t>
      </w:r>
    </w:p>
    <w:p w14:paraId="75DDD795" w14:textId="77777777" w:rsidR="00D0618B" w:rsidRPr="007D17FC" w:rsidRDefault="00D0618B" w:rsidP="00D0618B">
      <w:pPr>
        <w:pStyle w:val="Textoindependienteprimerasangra2"/>
        <w:spacing w:before="120" w:after="120"/>
        <w:ind w:left="284" w:firstLine="0"/>
        <w:jc w:val="both"/>
        <w:rPr>
          <w:sz w:val="20"/>
          <w:szCs w:val="20"/>
        </w:rPr>
      </w:pPr>
      <w:r>
        <w:rPr>
          <w:sz w:val="20"/>
          <w:szCs w:val="20"/>
        </w:rPr>
        <w:t>Esta resolución fue aplicada</w:t>
      </w:r>
      <w:r w:rsidRPr="0084193E">
        <w:rPr>
          <w:rStyle w:val="Refdenotaalpie"/>
          <w:color w:val="FF0000"/>
          <w:sz w:val="20"/>
          <w:szCs w:val="20"/>
        </w:rPr>
        <w:footnoteReference w:id="2"/>
      </w:r>
      <w:r w:rsidRPr="0084193E">
        <w:rPr>
          <w:color w:val="FF0000"/>
          <w:sz w:val="20"/>
          <w:szCs w:val="20"/>
        </w:rPr>
        <w:t xml:space="preserve"> </w:t>
      </w:r>
      <w:r w:rsidRPr="007D17FC">
        <w:rPr>
          <w:color w:val="000000"/>
          <w:sz w:val="20"/>
          <w:szCs w:val="20"/>
        </w:rPr>
        <w:t>por la entidad</w:t>
      </w:r>
      <w:r>
        <w:rPr>
          <w:color w:val="000000"/>
          <w:sz w:val="20"/>
          <w:szCs w:val="20"/>
        </w:rPr>
        <w:t xml:space="preserve"> a partir del </w:t>
      </w:r>
      <w:proofErr w:type="spellStart"/>
      <w:r w:rsidRPr="00E40251">
        <w:rPr>
          <w:color w:val="000000"/>
          <w:sz w:val="20"/>
          <w:szCs w:val="20"/>
        </w:rPr>
        <w:t>dd</w:t>
      </w:r>
      <w:proofErr w:type="spellEnd"/>
      <w:r w:rsidRPr="00E40251">
        <w:rPr>
          <w:color w:val="000000"/>
          <w:sz w:val="20"/>
          <w:szCs w:val="20"/>
        </w:rPr>
        <w:t xml:space="preserve"> de mm de aaaa</w:t>
      </w:r>
      <w:r>
        <w:rPr>
          <w:color w:val="FF0000"/>
          <w:sz w:val="20"/>
          <w:szCs w:val="20"/>
          <w:vertAlign w:val="superscript"/>
        </w:rPr>
        <w:t>23</w:t>
      </w:r>
      <w:r w:rsidRPr="007D17FC">
        <w:rPr>
          <w:color w:val="000000"/>
          <w:sz w:val="20"/>
          <w:szCs w:val="20"/>
        </w:rPr>
        <w:t>,</w:t>
      </w:r>
      <w:r w:rsidRPr="007D17FC">
        <w:rPr>
          <w:sz w:val="20"/>
          <w:szCs w:val="20"/>
        </w:rPr>
        <w:t xml:space="preserve"> utilizando el enfoque retroactivo simplificado</w:t>
      </w:r>
      <w:r w:rsidRPr="0084193E">
        <w:rPr>
          <w:color w:val="FF0000"/>
          <w:sz w:val="20"/>
          <w:szCs w:val="20"/>
          <w:vertAlign w:val="superscript"/>
        </w:rPr>
        <w:footnoteReference w:id="3"/>
      </w:r>
      <w:r w:rsidRPr="0084193E">
        <w:rPr>
          <w:color w:val="FF0000"/>
          <w:sz w:val="20"/>
          <w:szCs w:val="20"/>
        </w:rPr>
        <w:t>,</w:t>
      </w:r>
      <w:r w:rsidRPr="007D17FC">
        <w:rPr>
          <w:sz w:val="20"/>
          <w:szCs w:val="20"/>
        </w:rPr>
        <w:t xml:space="preserve"> por lo que la e</w:t>
      </w:r>
      <w:r>
        <w:rPr>
          <w:sz w:val="20"/>
          <w:szCs w:val="20"/>
        </w:rPr>
        <w:t>ntidad ha aplicado los cambios de</w:t>
      </w:r>
      <w:r w:rsidRPr="007D17FC">
        <w:rPr>
          <w:sz w:val="20"/>
          <w:szCs w:val="20"/>
        </w:rPr>
        <w:t xml:space="preserve"> la norma retroactivamente sólo readecuando las cifras comparativas incluidas en el estado de situación patrimonial y notas y anexos relacionados. </w:t>
      </w:r>
      <w:r w:rsidRPr="007D17FC">
        <w:rPr>
          <w:i/>
          <w:color w:val="FF0000"/>
          <w:sz w:val="20"/>
          <w:szCs w:val="20"/>
        </w:rPr>
        <w:t>(Corresponde en caso únicamente de que la aplicación de la NUA haya generado cambios de presentación, reconocimiento y</w:t>
      </w:r>
      <w:r>
        <w:rPr>
          <w:i/>
          <w:color w:val="FF0000"/>
          <w:sz w:val="20"/>
          <w:szCs w:val="20"/>
        </w:rPr>
        <w:t>/o</w:t>
      </w:r>
      <w:r w:rsidRPr="007D17FC">
        <w:rPr>
          <w:i/>
          <w:color w:val="FF0000"/>
          <w:sz w:val="20"/>
          <w:szCs w:val="20"/>
        </w:rPr>
        <w:t xml:space="preserve"> medición).</w:t>
      </w:r>
    </w:p>
    <w:p w14:paraId="5AA45328" w14:textId="77777777" w:rsidR="00D0618B" w:rsidRDefault="00D0618B" w:rsidP="00D0618B">
      <w:pPr>
        <w:pStyle w:val="Textoindependienteprimerasangra2"/>
        <w:spacing w:before="120" w:after="120"/>
        <w:ind w:left="284" w:firstLine="0"/>
        <w:jc w:val="both"/>
        <w:rPr>
          <w:i/>
          <w:color w:val="FF0000"/>
          <w:sz w:val="20"/>
          <w:szCs w:val="20"/>
        </w:rPr>
      </w:pPr>
      <w:r w:rsidRPr="002A5014">
        <w:rPr>
          <w:sz w:val="20"/>
          <w:szCs w:val="20"/>
        </w:rPr>
        <w:t>La diferencia entre las cifras contables previas y las cifras iniciales nuevas resultantes de la aplicación inicial de la norma, se reconoce como un ajuste en los saldos iniciales que se presenten en el estado de evolución de patrimonio neto y en el estado de flujos de efectivo</w:t>
      </w:r>
      <w:r>
        <w:rPr>
          <w:sz w:val="20"/>
          <w:szCs w:val="20"/>
        </w:rPr>
        <w:t xml:space="preserve"> </w:t>
      </w:r>
      <w:r w:rsidRPr="002A5014">
        <w:rPr>
          <w:i/>
          <w:color w:val="FF0000"/>
          <w:sz w:val="20"/>
          <w:szCs w:val="20"/>
        </w:rPr>
        <w:t>(de corresponder)</w:t>
      </w:r>
      <w:r>
        <w:rPr>
          <w:sz w:val="20"/>
          <w:szCs w:val="20"/>
        </w:rPr>
        <w:t xml:space="preserve"> </w:t>
      </w:r>
      <w:r w:rsidRPr="002A5014">
        <w:rPr>
          <w:sz w:val="20"/>
          <w:szCs w:val="20"/>
        </w:rPr>
        <w:t>como “Modificaciones de resultados de ejercicios anteriores”</w:t>
      </w:r>
      <w:r w:rsidRPr="002A5014">
        <w:rPr>
          <w:i/>
          <w:sz w:val="20"/>
          <w:szCs w:val="20"/>
        </w:rPr>
        <w:t>.</w:t>
      </w:r>
      <w:r w:rsidRPr="002A5014">
        <w:rPr>
          <w:i/>
          <w:color w:val="FF0000"/>
          <w:sz w:val="20"/>
          <w:szCs w:val="20"/>
        </w:rPr>
        <w:t xml:space="preserve"> (Corresponde en caso únicamente de que la aplicación de la NUA genere cambios en los criterios de medición)</w:t>
      </w:r>
      <w:r>
        <w:rPr>
          <w:i/>
          <w:color w:val="FF0000"/>
          <w:sz w:val="20"/>
          <w:szCs w:val="20"/>
        </w:rPr>
        <w:t>.</w:t>
      </w:r>
    </w:p>
    <w:p w14:paraId="6D171240" w14:textId="77777777" w:rsidR="00D0618B" w:rsidRPr="002A5014" w:rsidRDefault="00D0618B" w:rsidP="00D0618B">
      <w:pPr>
        <w:pStyle w:val="Sangradetextonormal"/>
        <w:spacing w:before="120"/>
        <w:ind w:left="284"/>
        <w:jc w:val="both"/>
        <w:rPr>
          <w:i/>
          <w:color w:val="FF0000"/>
          <w:sz w:val="20"/>
          <w:szCs w:val="20"/>
        </w:rPr>
      </w:pPr>
      <w:r w:rsidRPr="002A5014">
        <w:rPr>
          <w:sz w:val="20"/>
          <w:szCs w:val="20"/>
        </w:rPr>
        <w:t>Los efectos de los cambios</w:t>
      </w:r>
      <w:r>
        <w:rPr>
          <w:sz w:val="20"/>
          <w:szCs w:val="20"/>
        </w:rPr>
        <w:t xml:space="preserve"> de medición</w:t>
      </w:r>
      <w:r w:rsidRPr="002A5014">
        <w:rPr>
          <w:sz w:val="20"/>
          <w:szCs w:val="20"/>
        </w:rPr>
        <w:t xml:space="preserve"> que originó la aplicación de la RT 54 sobre el ejercicio comparativo son los siguientes: </w:t>
      </w:r>
      <w:r w:rsidRPr="002A5014">
        <w:rPr>
          <w:i/>
          <w:color w:val="FF0000"/>
          <w:sz w:val="20"/>
          <w:szCs w:val="20"/>
        </w:rPr>
        <w:t>(Corresponde en caso únicamente de que la aplicación de la NUA genere cambios en los criterios de medición)</w:t>
      </w:r>
      <w:r>
        <w:rPr>
          <w:i/>
          <w:color w:val="FF0000"/>
          <w:sz w:val="20"/>
          <w:szCs w:val="20"/>
        </w:rPr>
        <w:t>.</w:t>
      </w:r>
    </w:p>
    <w:tbl>
      <w:tblPr>
        <w:tblW w:w="7655" w:type="dxa"/>
        <w:tblLayout w:type="fixed"/>
        <w:tblCellMar>
          <w:left w:w="0" w:type="dxa"/>
          <w:right w:w="0" w:type="dxa"/>
        </w:tblCellMar>
        <w:tblLook w:val="01E0" w:firstRow="1" w:lastRow="1" w:firstColumn="1" w:lastColumn="1" w:noHBand="0" w:noVBand="0"/>
      </w:tblPr>
      <w:tblGrid>
        <w:gridCol w:w="5830"/>
        <w:gridCol w:w="144"/>
        <w:gridCol w:w="1681"/>
      </w:tblGrid>
      <w:tr w:rsidR="00D0618B" w:rsidRPr="00FD5BB1" w14:paraId="571AD906" w14:textId="77777777" w:rsidTr="00935B4B">
        <w:tc>
          <w:tcPr>
            <w:tcW w:w="5830" w:type="dxa"/>
            <w:vAlign w:val="bottom"/>
          </w:tcPr>
          <w:p w14:paraId="29241098" w14:textId="77777777" w:rsidR="00D0618B" w:rsidRPr="00B30449" w:rsidRDefault="00D0618B" w:rsidP="00935B4B">
            <w:pPr>
              <w:pStyle w:val="Texto"/>
              <w:ind w:left="284"/>
              <w:rPr>
                <w:rFonts w:cs="Arial"/>
                <w:highlight w:val="yellow"/>
              </w:rPr>
            </w:pPr>
          </w:p>
        </w:tc>
        <w:tc>
          <w:tcPr>
            <w:tcW w:w="144" w:type="dxa"/>
            <w:vAlign w:val="bottom"/>
          </w:tcPr>
          <w:p w14:paraId="679D6E0F" w14:textId="77777777" w:rsidR="00D0618B" w:rsidRPr="00B30449" w:rsidRDefault="00D0618B" w:rsidP="00935B4B">
            <w:pPr>
              <w:ind w:left="284"/>
              <w:jc w:val="both"/>
              <w:rPr>
                <w:sz w:val="20"/>
                <w:szCs w:val="20"/>
                <w:highlight w:val="yellow"/>
              </w:rPr>
            </w:pPr>
            <w:r w:rsidRPr="00B30449">
              <w:rPr>
                <w:sz w:val="20"/>
                <w:szCs w:val="20"/>
                <w:highlight w:val="yellow"/>
              </w:rPr>
              <w:t xml:space="preserve"> </w:t>
            </w:r>
          </w:p>
        </w:tc>
        <w:tc>
          <w:tcPr>
            <w:tcW w:w="1681" w:type="dxa"/>
            <w:tcBorders>
              <w:bottom w:val="single" w:sz="4" w:space="0" w:color="auto"/>
            </w:tcBorders>
            <w:vAlign w:val="bottom"/>
          </w:tcPr>
          <w:p w14:paraId="1D94234C" w14:textId="77777777" w:rsidR="00D0618B" w:rsidRPr="00FD5BB1" w:rsidRDefault="00D0618B" w:rsidP="00935B4B">
            <w:pPr>
              <w:pStyle w:val="Texto"/>
              <w:tabs>
                <w:tab w:val="decimal" w:pos="1401"/>
              </w:tabs>
              <w:ind w:left="284"/>
              <w:rPr>
                <w:rFonts w:cs="Arial"/>
                <w:b/>
              </w:rPr>
            </w:pPr>
            <w:proofErr w:type="spellStart"/>
            <w:r w:rsidRPr="00FD5BB1">
              <w:rPr>
                <w:rFonts w:cs="Arial"/>
                <w:b/>
              </w:rPr>
              <w:t>dd</w:t>
            </w:r>
            <w:proofErr w:type="spellEnd"/>
            <w:r w:rsidRPr="00FD5BB1">
              <w:rPr>
                <w:rFonts w:cs="Arial"/>
                <w:b/>
              </w:rPr>
              <w:t>/mm/</w:t>
            </w:r>
            <w:proofErr w:type="spellStart"/>
            <w:r w:rsidRPr="00FD5BB1">
              <w:rPr>
                <w:rFonts w:cs="Arial"/>
                <w:b/>
              </w:rPr>
              <w:t>aaaa</w:t>
            </w:r>
            <w:proofErr w:type="spellEnd"/>
            <w:r w:rsidRPr="0084193E">
              <w:rPr>
                <w:rFonts w:cs="Arial"/>
                <w:b/>
                <w:color w:val="FF0000"/>
                <w:vertAlign w:val="superscript"/>
              </w:rPr>
              <w:footnoteReference w:id="4"/>
            </w:r>
            <w:r w:rsidRPr="0084193E">
              <w:rPr>
                <w:rFonts w:cs="Arial"/>
                <w:b/>
                <w:color w:val="FF0000"/>
              </w:rPr>
              <w:t xml:space="preserve"> </w:t>
            </w:r>
          </w:p>
        </w:tc>
      </w:tr>
      <w:tr w:rsidR="00D0618B" w:rsidRPr="00993EB9" w14:paraId="2B9C3C89" w14:textId="77777777" w:rsidTr="00935B4B">
        <w:tc>
          <w:tcPr>
            <w:tcW w:w="5830" w:type="dxa"/>
            <w:vAlign w:val="bottom"/>
          </w:tcPr>
          <w:p w14:paraId="3C04A0C8" w14:textId="77777777" w:rsidR="00D0618B" w:rsidRPr="00993EB9" w:rsidRDefault="00D0618B" w:rsidP="00935B4B">
            <w:pPr>
              <w:pStyle w:val="Texto"/>
              <w:ind w:left="284"/>
              <w:rPr>
                <w:rFonts w:cs="Arial"/>
                <w:b/>
              </w:rPr>
            </w:pPr>
            <w:r w:rsidRPr="00993EB9">
              <w:rPr>
                <w:b/>
              </w:rPr>
              <w:t>Patrimonio Neto según Normas anteriores</w:t>
            </w:r>
          </w:p>
        </w:tc>
        <w:tc>
          <w:tcPr>
            <w:tcW w:w="144" w:type="dxa"/>
            <w:vAlign w:val="bottom"/>
          </w:tcPr>
          <w:p w14:paraId="1898FE30" w14:textId="77777777" w:rsidR="00D0618B" w:rsidRPr="00993EB9" w:rsidRDefault="00D0618B" w:rsidP="00935B4B">
            <w:pPr>
              <w:ind w:left="284"/>
              <w:jc w:val="both"/>
              <w:rPr>
                <w:sz w:val="20"/>
                <w:szCs w:val="20"/>
              </w:rPr>
            </w:pPr>
          </w:p>
        </w:tc>
        <w:tc>
          <w:tcPr>
            <w:tcW w:w="1681" w:type="dxa"/>
            <w:tcBorders>
              <w:top w:val="single" w:sz="4" w:space="0" w:color="auto"/>
            </w:tcBorders>
            <w:vAlign w:val="bottom"/>
          </w:tcPr>
          <w:p w14:paraId="405C2FA2" w14:textId="77777777" w:rsidR="00D0618B" w:rsidRPr="00993EB9" w:rsidRDefault="00D0618B" w:rsidP="00935B4B">
            <w:pPr>
              <w:pStyle w:val="Texto"/>
              <w:tabs>
                <w:tab w:val="decimal" w:pos="1274"/>
              </w:tabs>
              <w:ind w:left="284"/>
              <w:rPr>
                <w:rFonts w:cs="Arial"/>
                <w:b/>
              </w:rPr>
            </w:pPr>
          </w:p>
        </w:tc>
      </w:tr>
      <w:tr w:rsidR="00D0618B" w:rsidRPr="00993EB9" w14:paraId="0869FEBF" w14:textId="77777777" w:rsidTr="00935B4B">
        <w:tc>
          <w:tcPr>
            <w:tcW w:w="5830" w:type="dxa"/>
            <w:vAlign w:val="bottom"/>
          </w:tcPr>
          <w:p w14:paraId="23CB0FB7" w14:textId="77777777" w:rsidR="00D0618B" w:rsidRPr="00993EB9" w:rsidRDefault="00D0618B" w:rsidP="00935B4B">
            <w:pPr>
              <w:pStyle w:val="Texto"/>
              <w:ind w:left="284"/>
              <w:rPr>
                <w:rFonts w:cs="Arial"/>
              </w:rPr>
            </w:pPr>
            <w:r>
              <w:rPr>
                <w:rFonts w:cs="Arial"/>
              </w:rPr>
              <w:t xml:space="preserve">Ajuste </w:t>
            </w:r>
            <w:r w:rsidRPr="00993EB9">
              <w:rPr>
                <w:rFonts w:cs="Arial"/>
              </w:rPr>
              <w:t xml:space="preserve">bienes </w:t>
            </w:r>
            <w:r>
              <w:rPr>
                <w:rFonts w:cs="Arial"/>
              </w:rPr>
              <w:t>para consumo o comercialización</w:t>
            </w:r>
            <w:r w:rsidRPr="00993EB9">
              <w:rPr>
                <w:rFonts w:cs="Arial"/>
              </w:rPr>
              <w:t xml:space="preserve"> (a)</w:t>
            </w:r>
          </w:p>
        </w:tc>
        <w:tc>
          <w:tcPr>
            <w:tcW w:w="144" w:type="dxa"/>
            <w:vAlign w:val="bottom"/>
          </w:tcPr>
          <w:p w14:paraId="40269EF2" w14:textId="77777777" w:rsidR="00D0618B" w:rsidRPr="00993EB9" w:rsidRDefault="00D0618B" w:rsidP="00935B4B">
            <w:pPr>
              <w:ind w:left="284"/>
              <w:jc w:val="both"/>
              <w:rPr>
                <w:sz w:val="20"/>
                <w:szCs w:val="20"/>
              </w:rPr>
            </w:pPr>
          </w:p>
        </w:tc>
        <w:tc>
          <w:tcPr>
            <w:tcW w:w="1681" w:type="dxa"/>
            <w:vAlign w:val="bottom"/>
          </w:tcPr>
          <w:p w14:paraId="24AC7DFC" w14:textId="77777777" w:rsidR="00D0618B" w:rsidRPr="00993EB9" w:rsidRDefault="00D0618B" w:rsidP="00935B4B">
            <w:pPr>
              <w:pStyle w:val="Texto"/>
              <w:tabs>
                <w:tab w:val="decimal" w:pos="1274"/>
              </w:tabs>
              <w:ind w:left="284"/>
              <w:rPr>
                <w:rFonts w:cs="Arial"/>
                <w:b/>
              </w:rPr>
            </w:pPr>
          </w:p>
        </w:tc>
      </w:tr>
      <w:tr w:rsidR="00D0618B" w:rsidRPr="00993EB9" w14:paraId="493F8B09" w14:textId="77777777" w:rsidTr="00935B4B">
        <w:tc>
          <w:tcPr>
            <w:tcW w:w="5830" w:type="dxa"/>
            <w:vAlign w:val="bottom"/>
          </w:tcPr>
          <w:p w14:paraId="655EA2D3" w14:textId="77777777" w:rsidR="00D0618B" w:rsidRPr="00993EB9" w:rsidRDefault="00D0618B" w:rsidP="00935B4B">
            <w:pPr>
              <w:pStyle w:val="Texto"/>
              <w:ind w:left="284"/>
              <w:rPr>
                <w:rFonts w:cs="Arial"/>
              </w:rPr>
            </w:pPr>
            <w:r w:rsidRPr="00993EB9">
              <w:rPr>
                <w:rFonts w:cs="Arial"/>
              </w:rPr>
              <w:t>………………………</w:t>
            </w:r>
            <w:r>
              <w:rPr>
                <w:rFonts w:cs="Arial"/>
              </w:rPr>
              <w:t>……</w:t>
            </w:r>
            <w:r w:rsidRPr="00993EB9">
              <w:rPr>
                <w:rFonts w:cs="Arial"/>
              </w:rPr>
              <w:t xml:space="preserve"> (b)</w:t>
            </w:r>
          </w:p>
        </w:tc>
        <w:tc>
          <w:tcPr>
            <w:tcW w:w="144" w:type="dxa"/>
            <w:vAlign w:val="bottom"/>
          </w:tcPr>
          <w:p w14:paraId="7A9976C1" w14:textId="77777777" w:rsidR="00D0618B" w:rsidRPr="00993EB9" w:rsidRDefault="00D0618B" w:rsidP="00935B4B">
            <w:pPr>
              <w:ind w:left="284"/>
              <w:jc w:val="both"/>
              <w:rPr>
                <w:sz w:val="20"/>
                <w:szCs w:val="20"/>
              </w:rPr>
            </w:pPr>
          </w:p>
        </w:tc>
        <w:tc>
          <w:tcPr>
            <w:tcW w:w="1681" w:type="dxa"/>
            <w:vAlign w:val="bottom"/>
          </w:tcPr>
          <w:p w14:paraId="6C6DBED9" w14:textId="77777777" w:rsidR="00D0618B" w:rsidRPr="00993EB9" w:rsidRDefault="00D0618B" w:rsidP="00935B4B">
            <w:pPr>
              <w:pStyle w:val="Texto"/>
              <w:tabs>
                <w:tab w:val="decimal" w:pos="1274"/>
              </w:tabs>
              <w:ind w:left="284"/>
              <w:rPr>
                <w:rFonts w:cs="Arial"/>
                <w:b/>
              </w:rPr>
            </w:pPr>
          </w:p>
        </w:tc>
      </w:tr>
      <w:tr w:rsidR="00D0618B" w:rsidRPr="00993EB9" w14:paraId="3F11C040" w14:textId="77777777" w:rsidTr="00935B4B">
        <w:tc>
          <w:tcPr>
            <w:tcW w:w="5830" w:type="dxa"/>
            <w:vAlign w:val="bottom"/>
          </w:tcPr>
          <w:p w14:paraId="25C5AA05" w14:textId="77777777" w:rsidR="00D0618B" w:rsidRPr="00993EB9" w:rsidRDefault="00D0618B" w:rsidP="00935B4B">
            <w:pPr>
              <w:pStyle w:val="Texto"/>
              <w:ind w:left="284"/>
              <w:rPr>
                <w:rFonts w:cs="Arial"/>
              </w:rPr>
            </w:pPr>
            <w:r w:rsidRPr="00993EB9">
              <w:rPr>
                <w:rFonts w:cs="Arial"/>
              </w:rPr>
              <w:t>………………………</w:t>
            </w:r>
            <w:proofErr w:type="gramStart"/>
            <w:r>
              <w:rPr>
                <w:rFonts w:cs="Arial"/>
              </w:rPr>
              <w:t>……</w:t>
            </w:r>
            <w:r w:rsidRPr="00993EB9">
              <w:rPr>
                <w:rFonts w:cs="Arial"/>
              </w:rPr>
              <w:t>.</w:t>
            </w:r>
            <w:proofErr w:type="gramEnd"/>
            <w:r w:rsidRPr="00993EB9">
              <w:rPr>
                <w:rFonts w:cs="Arial"/>
              </w:rPr>
              <w:t>(c)</w:t>
            </w:r>
          </w:p>
        </w:tc>
        <w:tc>
          <w:tcPr>
            <w:tcW w:w="144" w:type="dxa"/>
            <w:vAlign w:val="bottom"/>
          </w:tcPr>
          <w:p w14:paraId="2B183BD0" w14:textId="77777777" w:rsidR="00D0618B" w:rsidRPr="00993EB9" w:rsidRDefault="00D0618B" w:rsidP="00935B4B">
            <w:pPr>
              <w:ind w:left="284"/>
              <w:jc w:val="both"/>
              <w:rPr>
                <w:sz w:val="20"/>
                <w:szCs w:val="20"/>
              </w:rPr>
            </w:pPr>
          </w:p>
        </w:tc>
        <w:tc>
          <w:tcPr>
            <w:tcW w:w="1681" w:type="dxa"/>
            <w:vAlign w:val="bottom"/>
          </w:tcPr>
          <w:p w14:paraId="5BBB64AA" w14:textId="77777777" w:rsidR="00D0618B" w:rsidRPr="00993EB9" w:rsidRDefault="00D0618B" w:rsidP="00935B4B">
            <w:pPr>
              <w:pStyle w:val="Texto"/>
              <w:tabs>
                <w:tab w:val="decimal" w:pos="1274"/>
              </w:tabs>
              <w:ind w:left="284"/>
              <w:rPr>
                <w:rFonts w:cs="Arial"/>
                <w:b/>
              </w:rPr>
            </w:pPr>
          </w:p>
        </w:tc>
      </w:tr>
      <w:tr w:rsidR="00D0618B" w:rsidRPr="00993EB9" w14:paraId="54817A02" w14:textId="77777777" w:rsidTr="00935B4B">
        <w:tc>
          <w:tcPr>
            <w:tcW w:w="5830" w:type="dxa"/>
            <w:vAlign w:val="bottom"/>
          </w:tcPr>
          <w:p w14:paraId="27091FB5" w14:textId="77777777" w:rsidR="00D0618B" w:rsidRPr="00993EB9" w:rsidRDefault="00D0618B" w:rsidP="00935B4B">
            <w:pPr>
              <w:pStyle w:val="Texto"/>
              <w:ind w:left="284"/>
              <w:rPr>
                <w:rFonts w:cs="Arial"/>
                <w:b/>
              </w:rPr>
            </w:pPr>
            <w:r w:rsidRPr="00993EB9">
              <w:rPr>
                <w:b/>
              </w:rPr>
              <w:t xml:space="preserve">Patrimonio Neto según RT 54 </w:t>
            </w:r>
          </w:p>
        </w:tc>
        <w:tc>
          <w:tcPr>
            <w:tcW w:w="144" w:type="dxa"/>
            <w:vAlign w:val="bottom"/>
          </w:tcPr>
          <w:p w14:paraId="24122F08" w14:textId="77777777" w:rsidR="00D0618B" w:rsidRPr="00993EB9" w:rsidRDefault="00D0618B" w:rsidP="00935B4B">
            <w:pPr>
              <w:ind w:left="284"/>
              <w:jc w:val="both"/>
              <w:rPr>
                <w:sz w:val="20"/>
                <w:szCs w:val="20"/>
              </w:rPr>
            </w:pPr>
          </w:p>
        </w:tc>
        <w:tc>
          <w:tcPr>
            <w:tcW w:w="1681" w:type="dxa"/>
            <w:tcBorders>
              <w:top w:val="single" w:sz="4" w:space="0" w:color="auto"/>
              <w:bottom w:val="single" w:sz="4" w:space="0" w:color="auto"/>
            </w:tcBorders>
            <w:vAlign w:val="bottom"/>
          </w:tcPr>
          <w:p w14:paraId="68A31C4C" w14:textId="77777777" w:rsidR="00D0618B" w:rsidRPr="00993EB9" w:rsidRDefault="00D0618B" w:rsidP="00935B4B">
            <w:pPr>
              <w:pStyle w:val="Texto"/>
              <w:tabs>
                <w:tab w:val="decimal" w:pos="1274"/>
              </w:tabs>
              <w:ind w:left="284"/>
              <w:rPr>
                <w:rFonts w:cs="Arial"/>
                <w:b/>
              </w:rPr>
            </w:pPr>
          </w:p>
        </w:tc>
      </w:tr>
      <w:tr w:rsidR="00D0618B" w:rsidRPr="00993EB9" w14:paraId="18229723" w14:textId="77777777" w:rsidTr="00935B4B">
        <w:tc>
          <w:tcPr>
            <w:tcW w:w="5830" w:type="dxa"/>
            <w:vAlign w:val="bottom"/>
          </w:tcPr>
          <w:p w14:paraId="063275DF" w14:textId="77777777" w:rsidR="00D0618B" w:rsidRPr="00993EB9" w:rsidRDefault="00D0618B" w:rsidP="00935B4B">
            <w:pPr>
              <w:pStyle w:val="Texto"/>
              <w:ind w:left="284"/>
              <w:rPr>
                <w:rFonts w:cs="Arial"/>
                <w:b/>
              </w:rPr>
            </w:pPr>
          </w:p>
        </w:tc>
        <w:tc>
          <w:tcPr>
            <w:tcW w:w="144" w:type="dxa"/>
          </w:tcPr>
          <w:p w14:paraId="58E0A901" w14:textId="77777777" w:rsidR="00D0618B" w:rsidRPr="00993EB9" w:rsidRDefault="00D0618B" w:rsidP="00935B4B">
            <w:pPr>
              <w:ind w:left="284"/>
              <w:jc w:val="both"/>
              <w:rPr>
                <w:sz w:val="20"/>
                <w:szCs w:val="20"/>
              </w:rPr>
            </w:pPr>
          </w:p>
        </w:tc>
        <w:tc>
          <w:tcPr>
            <w:tcW w:w="1681" w:type="dxa"/>
            <w:tcBorders>
              <w:top w:val="single" w:sz="4" w:space="0" w:color="auto"/>
            </w:tcBorders>
          </w:tcPr>
          <w:p w14:paraId="3DC05FA8" w14:textId="77777777" w:rsidR="00D0618B" w:rsidRPr="00993EB9" w:rsidRDefault="00D0618B" w:rsidP="00935B4B">
            <w:pPr>
              <w:pStyle w:val="Texto"/>
              <w:tabs>
                <w:tab w:val="decimal" w:pos="1274"/>
              </w:tabs>
              <w:ind w:left="284"/>
              <w:rPr>
                <w:rFonts w:cs="Arial"/>
              </w:rPr>
            </w:pPr>
          </w:p>
        </w:tc>
      </w:tr>
    </w:tbl>
    <w:p w14:paraId="020CCACC" w14:textId="77777777" w:rsidR="00D0618B" w:rsidRPr="00977F38" w:rsidRDefault="00D0618B" w:rsidP="00D0618B">
      <w:pPr>
        <w:pStyle w:val="Prrafodelista"/>
        <w:numPr>
          <w:ilvl w:val="0"/>
          <w:numId w:val="4"/>
        </w:numPr>
        <w:spacing w:before="120" w:after="120"/>
        <w:ind w:left="284" w:firstLine="0"/>
        <w:jc w:val="both"/>
        <w:rPr>
          <w:rFonts w:eastAsia="Times New Roman" w:cstheme="minorHAnsi"/>
          <w:sz w:val="20"/>
          <w:szCs w:val="20"/>
        </w:rPr>
      </w:pPr>
      <w:r w:rsidRPr="00977F38">
        <w:rPr>
          <w:rFonts w:eastAsia="Times New Roman" w:cstheme="minorHAnsi"/>
          <w:sz w:val="20"/>
          <w:szCs w:val="20"/>
        </w:rPr>
        <w:t xml:space="preserve">Corresponde principalmente al efecto en el resultado por el cambio en el criterio de medición de los bienes de cambio, siendo que anteriormente se medían considerando el </w:t>
      </w:r>
      <w:proofErr w:type="gramStart"/>
      <w:r w:rsidRPr="00977F38">
        <w:rPr>
          <w:rFonts w:eastAsia="Times New Roman" w:cstheme="minorHAnsi"/>
          <w:sz w:val="20"/>
          <w:szCs w:val="20"/>
        </w:rPr>
        <w:t>…….</w:t>
      </w:r>
      <w:proofErr w:type="gramEnd"/>
      <w:r w:rsidRPr="00977F38">
        <w:rPr>
          <w:rFonts w:eastAsia="Times New Roman" w:cstheme="minorHAnsi"/>
          <w:sz w:val="20"/>
          <w:szCs w:val="20"/>
        </w:rPr>
        <w:t xml:space="preserve">. y bajo la RT 54 se optó por medirlos a </w:t>
      </w:r>
      <w:proofErr w:type="gramStart"/>
      <w:r w:rsidRPr="00977F38">
        <w:rPr>
          <w:rFonts w:eastAsia="Times New Roman" w:cstheme="minorHAnsi"/>
          <w:sz w:val="20"/>
          <w:szCs w:val="20"/>
        </w:rPr>
        <w:t>…….</w:t>
      </w:r>
      <w:proofErr w:type="gramEnd"/>
      <w:r w:rsidRPr="00977F38">
        <w:rPr>
          <w:rFonts w:eastAsia="Times New Roman" w:cstheme="minorHAnsi"/>
          <w:sz w:val="20"/>
          <w:szCs w:val="20"/>
        </w:rPr>
        <w:t>.</w:t>
      </w:r>
    </w:p>
    <w:p w14:paraId="3FCCA69D" w14:textId="77777777" w:rsidR="00D0618B" w:rsidRPr="00977F38" w:rsidRDefault="00D0618B" w:rsidP="00D0618B">
      <w:pPr>
        <w:pStyle w:val="Prrafodelista"/>
        <w:numPr>
          <w:ilvl w:val="0"/>
          <w:numId w:val="4"/>
        </w:numPr>
        <w:spacing w:before="120" w:after="120"/>
        <w:ind w:left="284" w:firstLine="0"/>
        <w:jc w:val="both"/>
        <w:rPr>
          <w:rFonts w:eastAsia="Times New Roman" w:cstheme="minorHAnsi"/>
          <w:sz w:val="20"/>
          <w:szCs w:val="20"/>
        </w:rPr>
      </w:pPr>
      <w:r w:rsidRPr="00977F38">
        <w:rPr>
          <w:rFonts w:eastAsia="Times New Roman" w:cstheme="minorHAnsi"/>
          <w:sz w:val="20"/>
          <w:szCs w:val="20"/>
        </w:rPr>
        <w:t>…………………………………</w:t>
      </w:r>
    </w:p>
    <w:p w14:paraId="292098D9" w14:textId="77777777" w:rsidR="00D0618B" w:rsidRPr="00993EB9" w:rsidRDefault="00D0618B" w:rsidP="00D0618B">
      <w:pPr>
        <w:pStyle w:val="Prrafodelista"/>
        <w:numPr>
          <w:ilvl w:val="0"/>
          <w:numId w:val="4"/>
        </w:numPr>
        <w:spacing w:before="120" w:after="120"/>
        <w:ind w:left="284" w:firstLine="0"/>
        <w:jc w:val="both"/>
        <w:rPr>
          <w:rFonts w:eastAsia="Times New Roman" w:cstheme="minorHAnsi"/>
          <w:sz w:val="20"/>
          <w:szCs w:val="20"/>
        </w:rPr>
      </w:pPr>
      <w:r w:rsidRPr="00993EB9">
        <w:rPr>
          <w:rFonts w:eastAsia="Times New Roman" w:cstheme="minorHAnsi"/>
          <w:sz w:val="20"/>
          <w:szCs w:val="20"/>
        </w:rPr>
        <w:t>…………………………………</w:t>
      </w:r>
    </w:p>
    <w:p w14:paraId="62949612" w14:textId="77777777" w:rsidR="00D0618B" w:rsidRPr="00B30449" w:rsidRDefault="00D0618B" w:rsidP="00D0618B">
      <w:pPr>
        <w:pStyle w:val="Prrafodelista"/>
        <w:spacing w:before="120" w:after="120"/>
        <w:ind w:left="284"/>
        <w:jc w:val="both"/>
        <w:rPr>
          <w:rFonts w:eastAsia="Times New Roman" w:cstheme="minorHAnsi"/>
          <w:i/>
          <w:color w:val="FF0000"/>
          <w:sz w:val="20"/>
          <w:szCs w:val="20"/>
          <w:highlight w:val="yellow"/>
        </w:rPr>
      </w:pPr>
    </w:p>
    <w:p w14:paraId="794E1730" w14:textId="77777777" w:rsidR="00D0618B" w:rsidRPr="00707BFB" w:rsidRDefault="00D0618B" w:rsidP="00D0618B">
      <w:pPr>
        <w:pStyle w:val="Textoindependienteprimerasangra2"/>
        <w:ind w:left="284" w:firstLine="0"/>
        <w:jc w:val="both"/>
        <w:rPr>
          <w:sz w:val="20"/>
          <w:szCs w:val="20"/>
        </w:rPr>
      </w:pPr>
      <w:r w:rsidRPr="00707BFB">
        <w:rPr>
          <w:sz w:val="20"/>
          <w:szCs w:val="20"/>
        </w:rPr>
        <w:t>Adicionalmente, se detallan las principales reclasificaciones de presentación originadas por la aplicación de la RT 54 en el Estado de situación patrimonial:</w:t>
      </w:r>
      <w:r>
        <w:rPr>
          <w:sz w:val="20"/>
          <w:szCs w:val="20"/>
        </w:rPr>
        <w:t xml:space="preserve"> </w:t>
      </w:r>
      <w:r w:rsidRPr="00993EB9">
        <w:rPr>
          <w:rFonts w:eastAsia="Times New Roman" w:cstheme="minorHAnsi"/>
          <w:i/>
          <w:color w:val="FF0000"/>
          <w:sz w:val="20"/>
          <w:szCs w:val="20"/>
        </w:rPr>
        <w:t>(Corresponde en caso únicamente de que la aplicación de la NUA genere cambios en los criterios de presentación)</w:t>
      </w:r>
    </w:p>
    <w:p w14:paraId="43DC86CC" w14:textId="77777777" w:rsidR="00D0618B" w:rsidRPr="00707BFB" w:rsidRDefault="00D0618B" w:rsidP="00D0618B">
      <w:pPr>
        <w:pStyle w:val="Lista3"/>
        <w:ind w:left="284" w:firstLine="0"/>
        <w:jc w:val="both"/>
        <w:rPr>
          <w:sz w:val="20"/>
          <w:szCs w:val="20"/>
        </w:rPr>
      </w:pPr>
      <w:r w:rsidRPr="00707BFB">
        <w:rPr>
          <w:sz w:val="20"/>
          <w:szCs w:val="20"/>
        </w:rPr>
        <w:t>a)</w:t>
      </w:r>
      <w:r w:rsidRPr="00707BFB">
        <w:rPr>
          <w:sz w:val="20"/>
          <w:szCs w:val="20"/>
        </w:rPr>
        <w:tab/>
        <w:t>El saldo de $---- correspondiente a créditos impositivos que se presentaba en el rubro “Otros créditos” del Estado de situación patrimonial, se reclasificó al rubro “Créditos impositivos”.</w:t>
      </w:r>
    </w:p>
    <w:p w14:paraId="7E2C0B69" w14:textId="77777777" w:rsidR="00D0618B" w:rsidRPr="00707BFB" w:rsidRDefault="00D0618B" w:rsidP="00D0618B">
      <w:pPr>
        <w:pStyle w:val="Lista4"/>
        <w:ind w:left="284" w:firstLine="0"/>
        <w:jc w:val="both"/>
        <w:rPr>
          <w:sz w:val="20"/>
          <w:szCs w:val="20"/>
        </w:rPr>
      </w:pPr>
      <w:proofErr w:type="gramStart"/>
      <w:r w:rsidRPr="00707BFB">
        <w:rPr>
          <w:sz w:val="20"/>
          <w:szCs w:val="20"/>
        </w:rPr>
        <w:lastRenderedPageBreak/>
        <w:t>b)…</w:t>
      </w:r>
      <w:proofErr w:type="gramEnd"/>
      <w:r w:rsidRPr="00707BFB">
        <w:rPr>
          <w:sz w:val="20"/>
          <w:szCs w:val="20"/>
        </w:rPr>
        <w:t>………………………………………………</w:t>
      </w:r>
    </w:p>
    <w:p w14:paraId="7ABEAA09" w14:textId="77777777" w:rsidR="00D0618B" w:rsidRDefault="00D0618B" w:rsidP="00D0618B">
      <w:pPr>
        <w:pStyle w:val="Lista4"/>
        <w:ind w:left="284" w:firstLine="0"/>
        <w:jc w:val="both"/>
        <w:rPr>
          <w:sz w:val="20"/>
          <w:szCs w:val="20"/>
        </w:rPr>
      </w:pPr>
      <w:r w:rsidRPr="00707BFB">
        <w:rPr>
          <w:sz w:val="20"/>
          <w:szCs w:val="20"/>
        </w:rPr>
        <w:t>c)…………………………………………………</w:t>
      </w:r>
    </w:p>
    <w:p w14:paraId="7F8E14E0" w14:textId="77777777" w:rsidR="00D0618B" w:rsidRDefault="00D0618B" w:rsidP="00D0618B">
      <w:pPr>
        <w:pStyle w:val="Lista4"/>
        <w:ind w:left="284" w:firstLine="0"/>
        <w:jc w:val="both"/>
        <w:rPr>
          <w:sz w:val="20"/>
          <w:szCs w:val="20"/>
        </w:rPr>
      </w:pPr>
    </w:p>
    <w:p w14:paraId="08C3CE17" w14:textId="77777777" w:rsidR="00D0618B" w:rsidRPr="00B30449" w:rsidRDefault="00D0618B" w:rsidP="00D0618B">
      <w:pPr>
        <w:pBdr>
          <w:top w:val="nil"/>
          <w:left w:val="nil"/>
          <w:bottom w:val="nil"/>
          <w:right w:val="nil"/>
          <w:between w:val="nil"/>
        </w:pBdr>
        <w:spacing w:before="22"/>
        <w:jc w:val="both"/>
        <w:rPr>
          <w:color w:val="000000"/>
          <w:sz w:val="20"/>
          <w:szCs w:val="20"/>
        </w:rPr>
      </w:pPr>
    </w:p>
    <w:p w14:paraId="5AC5ED72" w14:textId="77777777" w:rsidR="00D0618B" w:rsidRPr="00B30449" w:rsidRDefault="00D0618B" w:rsidP="00D0618B">
      <w:pPr>
        <w:pStyle w:val="Prrafodelista"/>
        <w:numPr>
          <w:ilvl w:val="1"/>
          <w:numId w:val="1"/>
        </w:numPr>
        <w:pBdr>
          <w:top w:val="nil"/>
          <w:left w:val="nil"/>
          <w:bottom w:val="nil"/>
          <w:right w:val="nil"/>
          <w:between w:val="nil"/>
        </w:pBdr>
        <w:ind w:left="357" w:hanging="357"/>
        <w:jc w:val="both"/>
        <w:rPr>
          <w:b/>
          <w:color w:val="000000"/>
          <w:sz w:val="20"/>
          <w:szCs w:val="20"/>
        </w:rPr>
      </w:pPr>
      <w:r w:rsidRPr="00B30449">
        <w:rPr>
          <w:b/>
          <w:color w:val="000000"/>
          <w:sz w:val="20"/>
          <w:szCs w:val="20"/>
        </w:rPr>
        <w:t>Clasificación de la entidad</w:t>
      </w:r>
    </w:p>
    <w:p w14:paraId="763304E1" w14:textId="77777777" w:rsidR="00D0618B" w:rsidRPr="00B30449" w:rsidRDefault="00D0618B" w:rsidP="00D0618B">
      <w:pPr>
        <w:pBdr>
          <w:top w:val="nil"/>
          <w:left w:val="nil"/>
          <w:bottom w:val="nil"/>
          <w:right w:val="nil"/>
          <w:between w:val="nil"/>
        </w:pBdr>
        <w:spacing w:before="22"/>
        <w:jc w:val="both"/>
        <w:rPr>
          <w:color w:val="000000"/>
          <w:sz w:val="20"/>
          <w:szCs w:val="20"/>
        </w:rPr>
      </w:pPr>
    </w:p>
    <w:p w14:paraId="1E4F1D1B" w14:textId="77777777" w:rsidR="00D0618B" w:rsidRDefault="00D0618B" w:rsidP="00D0618B">
      <w:pPr>
        <w:pStyle w:val="Textoindependienteprimerasangra2"/>
        <w:ind w:left="284" w:firstLine="66"/>
        <w:jc w:val="both"/>
        <w:rPr>
          <w:sz w:val="20"/>
          <w:szCs w:val="20"/>
        </w:rPr>
      </w:pPr>
      <w:r>
        <w:rPr>
          <w:sz w:val="20"/>
          <w:szCs w:val="20"/>
        </w:rPr>
        <w:t xml:space="preserve"> </w:t>
      </w:r>
      <w:r w:rsidRPr="00B30449">
        <w:rPr>
          <w:sz w:val="20"/>
          <w:szCs w:val="20"/>
        </w:rPr>
        <w:t>De acuerdo con lo establecido por la referida norma, la entidad reviste el carácter de entidad pequeña (EP).</w:t>
      </w:r>
    </w:p>
    <w:p w14:paraId="5C1C67E7" w14:textId="77777777" w:rsidR="00D0618B" w:rsidRPr="00B30449" w:rsidRDefault="00D0618B" w:rsidP="00D0618B">
      <w:pPr>
        <w:pStyle w:val="Textoindependienteprimerasangra2"/>
        <w:ind w:hanging="360"/>
        <w:jc w:val="both"/>
        <w:rPr>
          <w:sz w:val="20"/>
          <w:szCs w:val="20"/>
        </w:rPr>
      </w:pPr>
    </w:p>
    <w:p w14:paraId="48CAF39E" w14:textId="77777777" w:rsidR="00D0618B" w:rsidRPr="00B30449" w:rsidRDefault="00D0618B" w:rsidP="00D0618B">
      <w:pPr>
        <w:pStyle w:val="Prrafodelista"/>
        <w:numPr>
          <w:ilvl w:val="1"/>
          <w:numId w:val="1"/>
        </w:numPr>
        <w:pBdr>
          <w:top w:val="nil"/>
          <w:left w:val="nil"/>
          <w:bottom w:val="nil"/>
          <w:right w:val="nil"/>
          <w:between w:val="nil"/>
        </w:pBdr>
        <w:ind w:left="357" w:hanging="357"/>
        <w:jc w:val="both"/>
        <w:rPr>
          <w:b/>
          <w:color w:val="000000"/>
          <w:sz w:val="20"/>
          <w:szCs w:val="20"/>
        </w:rPr>
      </w:pPr>
      <w:r w:rsidRPr="00B30449">
        <w:rPr>
          <w:b/>
          <w:color w:val="000000"/>
          <w:sz w:val="20"/>
          <w:szCs w:val="20"/>
        </w:rPr>
        <w:t>Unidad de medida</w:t>
      </w:r>
    </w:p>
    <w:p w14:paraId="2CF0C10D" w14:textId="77777777" w:rsidR="00D0618B" w:rsidRDefault="00D0618B" w:rsidP="00D0618B">
      <w:pPr>
        <w:pStyle w:val="Textoindependienteprimerasangra2"/>
        <w:ind w:left="0" w:firstLine="0"/>
        <w:jc w:val="both"/>
        <w:rPr>
          <w:color w:val="000000"/>
          <w:sz w:val="20"/>
          <w:szCs w:val="20"/>
        </w:rPr>
      </w:pPr>
    </w:p>
    <w:p w14:paraId="2B2AE298" w14:textId="77777777" w:rsidR="00D0618B" w:rsidRDefault="00D0618B" w:rsidP="00D0618B">
      <w:pPr>
        <w:pStyle w:val="Textoindependienteprimerasangra2"/>
        <w:ind w:left="426" w:firstLine="0"/>
        <w:jc w:val="both"/>
        <w:rPr>
          <w:b/>
          <w:sz w:val="20"/>
          <w:szCs w:val="20"/>
        </w:rPr>
      </w:pPr>
      <w:r w:rsidRPr="00B30449">
        <w:rPr>
          <w:b/>
          <w:sz w:val="20"/>
          <w:szCs w:val="20"/>
        </w:rPr>
        <w:t>Información general</w:t>
      </w:r>
    </w:p>
    <w:p w14:paraId="2743B703" w14:textId="77777777" w:rsidR="00D0618B" w:rsidRPr="00B30449" w:rsidRDefault="00D0618B" w:rsidP="00D0618B">
      <w:pPr>
        <w:pStyle w:val="Textoindependienteprimerasangra2"/>
        <w:ind w:left="426" w:firstLine="0"/>
        <w:jc w:val="both"/>
        <w:rPr>
          <w:b/>
          <w:sz w:val="20"/>
          <w:szCs w:val="20"/>
        </w:rPr>
      </w:pPr>
    </w:p>
    <w:p w14:paraId="6BD0C71A" w14:textId="77777777" w:rsidR="00D0618B" w:rsidRPr="00B30449" w:rsidRDefault="00D0618B" w:rsidP="00D0618B">
      <w:pPr>
        <w:pStyle w:val="Textoindependienteprimerasangra2"/>
        <w:ind w:left="426" w:firstLine="0"/>
        <w:jc w:val="both"/>
        <w:rPr>
          <w:sz w:val="20"/>
          <w:szCs w:val="20"/>
        </w:rPr>
      </w:pPr>
      <w:r w:rsidRPr="00B30449">
        <w:rPr>
          <w:sz w:val="20"/>
          <w:szCs w:val="20"/>
        </w:rPr>
        <w:t>Los presentes estados contables han sido preparados en moneda homogénea</w:t>
      </w:r>
      <w:r>
        <w:rPr>
          <w:sz w:val="20"/>
          <w:szCs w:val="20"/>
        </w:rPr>
        <w:t xml:space="preserve"> a fecha de cierre del presente ejercicio</w:t>
      </w:r>
      <w:r w:rsidRPr="00335FE1">
        <w:rPr>
          <w:sz w:val="20"/>
          <w:szCs w:val="20"/>
        </w:rPr>
        <w:t xml:space="preserve">, </w:t>
      </w:r>
      <w:r w:rsidRPr="00B30449">
        <w:rPr>
          <w:sz w:val="20"/>
          <w:szCs w:val="20"/>
        </w:rPr>
        <w:t>reconociendo en forma integral los efectos de la inflación de conformidad con lo establecido en la RT 54, en virtud de haberse determinado la existencia de un contexto de alta inflación.</w:t>
      </w:r>
    </w:p>
    <w:p w14:paraId="4373288E" w14:textId="77777777" w:rsidR="00D0618B" w:rsidRDefault="00D0618B" w:rsidP="00D0618B">
      <w:pPr>
        <w:pStyle w:val="Textoindependienteprimerasangra2"/>
        <w:ind w:left="426" w:firstLine="0"/>
        <w:jc w:val="both"/>
        <w:rPr>
          <w:sz w:val="20"/>
          <w:szCs w:val="20"/>
        </w:rPr>
      </w:pPr>
      <w:r w:rsidRPr="00B30449">
        <w:rPr>
          <w:sz w:val="20"/>
          <w:szCs w:val="20"/>
        </w:rPr>
        <w:t>Con fines comparativos, se incluyen cifras patrimoniales al</w:t>
      </w:r>
      <w:r>
        <w:rPr>
          <w:sz w:val="20"/>
          <w:szCs w:val="20"/>
        </w:rPr>
        <w:t xml:space="preserve"> cierre del ejercicio anterior</w:t>
      </w:r>
      <w:r w:rsidRPr="003F6DFE">
        <w:rPr>
          <w:sz w:val="20"/>
          <w:szCs w:val="20"/>
        </w:rPr>
        <w:t xml:space="preserve"> </w:t>
      </w:r>
      <w:r w:rsidRPr="00B30449">
        <w:rPr>
          <w:sz w:val="20"/>
          <w:szCs w:val="20"/>
        </w:rPr>
        <w:t xml:space="preserve">y </w:t>
      </w:r>
      <w:r w:rsidRPr="00232447">
        <w:rPr>
          <w:sz w:val="20"/>
          <w:szCs w:val="20"/>
        </w:rPr>
        <w:t>de recursos y gastos, de</w:t>
      </w:r>
      <w:r w:rsidRPr="00B30449">
        <w:rPr>
          <w:sz w:val="20"/>
          <w:szCs w:val="20"/>
        </w:rPr>
        <w:t xml:space="preserve"> evolución del patrimonio neto y de flujos de efectivo, por el ejercicio económico finalizado en esa fecha</w:t>
      </w:r>
      <w:r>
        <w:rPr>
          <w:sz w:val="20"/>
          <w:szCs w:val="20"/>
        </w:rPr>
        <w:t xml:space="preserve"> (ver Nota 1.5)</w:t>
      </w:r>
      <w:r w:rsidRPr="00B30449">
        <w:rPr>
          <w:sz w:val="20"/>
          <w:szCs w:val="20"/>
        </w:rPr>
        <w:t>. Dichas cifras han sido expresadas en moneda de cierre del presente ejercicio, de acuerdo con lo señalado en el párrafo siguiente, a fin de permitir su comparabilidad y sin que el ajuste practicado modifique las decisiones tomadas con base en la información contable correspondiente al ejercicio comparativo.</w:t>
      </w:r>
    </w:p>
    <w:p w14:paraId="33E7B005" w14:textId="77777777" w:rsidR="00D0618B" w:rsidRDefault="00D0618B" w:rsidP="00D0618B">
      <w:pPr>
        <w:pStyle w:val="Textoindependienteprimerasangra2"/>
        <w:ind w:left="426" w:firstLine="0"/>
        <w:jc w:val="both"/>
        <w:rPr>
          <w:sz w:val="20"/>
          <w:szCs w:val="20"/>
        </w:rPr>
      </w:pPr>
    </w:p>
    <w:p w14:paraId="5A5880E3" w14:textId="77777777" w:rsidR="00D0618B" w:rsidRPr="00932B1D" w:rsidRDefault="00D0618B" w:rsidP="00D0618B">
      <w:pPr>
        <w:pStyle w:val="Textoindependienteprimerasangra2"/>
        <w:ind w:left="426" w:firstLine="0"/>
        <w:jc w:val="both"/>
        <w:rPr>
          <w:sz w:val="20"/>
          <w:szCs w:val="20"/>
        </w:rPr>
      </w:pPr>
      <w:r w:rsidRPr="00B30449">
        <w:rPr>
          <w:b/>
          <w:sz w:val="20"/>
          <w:szCs w:val="20"/>
        </w:rPr>
        <w:t>Descripción del proceso de expresión a moneda de cierre</w:t>
      </w:r>
    </w:p>
    <w:p w14:paraId="105572D6" w14:textId="77777777" w:rsidR="00D0618B" w:rsidRDefault="00D0618B" w:rsidP="00D0618B">
      <w:pPr>
        <w:pStyle w:val="Textoindependienteprimerasangra2"/>
        <w:ind w:left="426" w:firstLine="0"/>
        <w:jc w:val="both"/>
        <w:rPr>
          <w:sz w:val="20"/>
          <w:szCs w:val="20"/>
        </w:rPr>
      </w:pPr>
    </w:p>
    <w:p w14:paraId="39234493" w14:textId="77777777" w:rsidR="00D0618B" w:rsidRDefault="00D0618B" w:rsidP="00D0618B">
      <w:pPr>
        <w:pStyle w:val="Textoindependienteprimerasangra2"/>
        <w:ind w:left="426" w:firstLine="0"/>
        <w:jc w:val="both"/>
        <w:rPr>
          <w:sz w:val="20"/>
          <w:szCs w:val="20"/>
        </w:rPr>
      </w:pPr>
      <w:r w:rsidRPr="00B30449">
        <w:rPr>
          <w:sz w:val="20"/>
          <w:szCs w:val="20"/>
        </w:rPr>
        <w:t>A efectos de expresar las diferentes partidas y rubros que integran los estados contables, la entidad deberá, entre otras cosas:</w:t>
      </w:r>
    </w:p>
    <w:p w14:paraId="190A8429" w14:textId="77777777" w:rsidR="00D0618B" w:rsidRPr="00B30449" w:rsidRDefault="00D0618B" w:rsidP="00D0618B">
      <w:pPr>
        <w:pStyle w:val="Textoindependienteprimerasangra2"/>
        <w:ind w:left="426" w:firstLine="0"/>
        <w:jc w:val="both"/>
        <w:rPr>
          <w:sz w:val="20"/>
          <w:szCs w:val="20"/>
        </w:rPr>
      </w:pPr>
    </w:p>
    <w:p w14:paraId="437CDAAF" w14:textId="77777777" w:rsidR="00D0618B" w:rsidRPr="00B30449" w:rsidRDefault="00D0618B" w:rsidP="00D0618B">
      <w:pPr>
        <w:pStyle w:val="Prrafodelista"/>
        <w:numPr>
          <w:ilvl w:val="0"/>
          <w:numId w:val="2"/>
        </w:numPr>
        <w:pBdr>
          <w:top w:val="nil"/>
          <w:left w:val="nil"/>
          <w:bottom w:val="nil"/>
          <w:right w:val="nil"/>
          <w:between w:val="nil"/>
        </w:pBdr>
        <w:spacing w:before="120" w:after="120"/>
        <w:ind w:left="714" w:hanging="289"/>
        <w:contextualSpacing w:val="0"/>
        <w:jc w:val="both"/>
        <w:rPr>
          <w:color w:val="000000"/>
          <w:sz w:val="20"/>
          <w:szCs w:val="20"/>
        </w:rPr>
      </w:pPr>
      <w:r w:rsidRPr="00B30449">
        <w:rPr>
          <w:color w:val="000000"/>
          <w:sz w:val="20"/>
          <w:szCs w:val="20"/>
        </w:rPr>
        <w:t>Determinar el momento de origen de las partidas (o el momento de su último ajuste, según corresponda).</w:t>
      </w:r>
    </w:p>
    <w:p w14:paraId="27DE317C" w14:textId="77777777" w:rsidR="00D0618B" w:rsidRPr="00B30449" w:rsidRDefault="00D0618B" w:rsidP="00D0618B">
      <w:pPr>
        <w:pStyle w:val="Prrafodelista"/>
        <w:numPr>
          <w:ilvl w:val="0"/>
          <w:numId w:val="2"/>
        </w:numPr>
        <w:pBdr>
          <w:top w:val="nil"/>
          <w:left w:val="nil"/>
          <w:bottom w:val="nil"/>
          <w:right w:val="nil"/>
          <w:between w:val="nil"/>
        </w:pBdr>
        <w:spacing w:before="120" w:after="120"/>
        <w:ind w:left="709" w:hanging="283"/>
        <w:contextualSpacing w:val="0"/>
        <w:jc w:val="both"/>
        <w:rPr>
          <w:color w:val="000000"/>
          <w:sz w:val="20"/>
          <w:szCs w:val="20"/>
        </w:rPr>
      </w:pPr>
      <w:r w:rsidRPr="00B30449">
        <w:rPr>
          <w:color w:val="000000"/>
          <w:sz w:val="20"/>
          <w:szCs w:val="20"/>
        </w:rPr>
        <w:t xml:space="preserve">Calcular los coeficientes de ajuste </w:t>
      </w:r>
      <w:r w:rsidRPr="00335FE1">
        <w:rPr>
          <w:color w:val="000000"/>
          <w:sz w:val="20"/>
          <w:szCs w:val="20"/>
        </w:rPr>
        <w:t>aplicables. A tal efecto se utiliza el índice de precios FACPCE.</w:t>
      </w:r>
      <w:r w:rsidRPr="00B30449">
        <w:rPr>
          <w:color w:val="000000"/>
          <w:sz w:val="20"/>
          <w:szCs w:val="20"/>
        </w:rPr>
        <w:t xml:space="preserve"> La variación del índice utilizado para el ajuste de los estados contables ha sido </w:t>
      </w:r>
      <w:r w:rsidRPr="000A21F7">
        <w:rPr>
          <w:color w:val="000000"/>
          <w:sz w:val="20"/>
          <w:szCs w:val="20"/>
        </w:rPr>
        <w:t xml:space="preserve">del </w:t>
      </w:r>
      <w:proofErr w:type="spellStart"/>
      <w:proofErr w:type="gramStart"/>
      <w:r w:rsidRPr="000A21F7">
        <w:rPr>
          <w:b/>
          <w:color w:val="000000"/>
          <w:sz w:val="20"/>
          <w:szCs w:val="20"/>
        </w:rPr>
        <w:t>xx,xx</w:t>
      </w:r>
      <w:proofErr w:type="spellEnd"/>
      <w:proofErr w:type="gramEnd"/>
      <w:r w:rsidRPr="000A21F7">
        <w:rPr>
          <w:color w:val="000000"/>
          <w:sz w:val="20"/>
          <w:szCs w:val="20"/>
        </w:rPr>
        <w:t xml:space="preserve"> % en el ejercicio económico finalizado el </w:t>
      </w:r>
      <w:proofErr w:type="spellStart"/>
      <w:r w:rsidRPr="000A21F7">
        <w:rPr>
          <w:b/>
          <w:color w:val="000000"/>
          <w:sz w:val="20"/>
          <w:szCs w:val="20"/>
        </w:rPr>
        <w:t>dd</w:t>
      </w:r>
      <w:proofErr w:type="spellEnd"/>
      <w:r w:rsidRPr="000A21F7">
        <w:rPr>
          <w:b/>
          <w:color w:val="000000"/>
          <w:sz w:val="20"/>
          <w:szCs w:val="20"/>
        </w:rPr>
        <w:t>/mm/</w:t>
      </w:r>
      <w:proofErr w:type="spellStart"/>
      <w:r w:rsidRPr="000A21F7">
        <w:rPr>
          <w:b/>
          <w:color w:val="000000"/>
          <w:sz w:val="20"/>
          <w:szCs w:val="20"/>
        </w:rPr>
        <w:t>aaaa</w:t>
      </w:r>
      <w:proofErr w:type="spellEnd"/>
      <w:r w:rsidRPr="000A21F7">
        <w:rPr>
          <w:color w:val="000000"/>
          <w:sz w:val="20"/>
          <w:szCs w:val="20"/>
        </w:rPr>
        <w:t>.</w:t>
      </w:r>
    </w:p>
    <w:p w14:paraId="121D2795" w14:textId="77777777" w:rsidR="00D0618B" w:rsidRPr="00B30449" w:rsidRDefault="00D0618B" w:rsidP="00D0618B">
      <w:pPr>
        <w:pStyle w:val="Prrafodelista"/>
        <w:numPr>
          <w:ilvl w:val="0"/>
          <w:numId w:val="2"/>
        </w:numPr>
        <w:pBdr>
          <w:top w:val="nil"/>
          <w:left w:val="nil"/>
          <w:bottom w:val="nil"/>
          <w:right w:val="nil"/>
          <w:between w:val="nil"/>
        </w:pBdr>
        <w:spacing w:before="120" w:after="120"/>
        <w:ind w:left="714" w:hanging="289"/>
        <w:contextualSpacing w:val="0"/>
        <w:jc w:val="both"/>
        <w:rPr>
          <w:color w:val="000000"/>
          <w:sz w:val="20"/>
          <w:szCs w:val="20"/>
        </w:rPr>
      </w:pPr>
      <w:r w:rsidRPr="00B30449">
        <w:rPr>
          <w:color w:val="000000"/>
          <w:sz w:val="20"/>
          <w:szCs w:val="20"/>
        </w:rPr>
        <w:t>Aplicar los coeficientes de ajuste a los importes de las partidas anticuadas para expresarlas en moneda de cierre. A este respecto, las partidas que deberán ajustarse serán aquellas que no estén expresadas en moneda de cierre.</w:t>
      </w:r>
    </w:p>
    <w:p w14:paraId="03844830" w14:textId="77777777" w:rsidR="00D0618B" w:rsidRDefault="00D0618B" w:rsidP="00D0618B">
      <w:pPr>
        <w:pStyle w:val="Textoindependienteprimerasangra2"/>
        <w:ind w:left="0" w:firstLine="0"/>
        <w:jc w:val="both"/>
        <w:rPr>
          <w:color w:val="000000"/>
          <w:sz w:val="20"/>
          <w:szCs w:val="20"/>
        </w:rPr>
      </w:pPr>
    </w:p>
    <w:p w14:paraId="04D210BD" w14:textId="77777777" w:rsidR="00D0618B" w:rsidRPr="00B30449" w:rsidRDefault="00D0618B" w:rsidP="00D0618B">
      <w:pPr>
        <w:pStyle w:val="Textoindependienteprimerasangra2"/>
        <w:ind w:left="426" w:firstLine="0"/>
        <w:jc w:val="both"/>
        <w:rPr>
          <w:sz w:val="20"/>
          <w:szCs w:val="20"/>
        </w:rPr>
      </w:pPr>
      <w:r w:rsidRPr="00B30449">
        <w:rPr>
          <w:sz w:val="20"/>
          <w:szCs w:val="20"/>
        </w:rPr>
        <w:t xml:space="preserve">La aplicación del proceso de ajuste por inflación establecido en la RT 54 permite el reconocimiento de </w:t>
      </w:r>
      <w:r>
        <w:rPr>
          <w:sz w:val="20"/>
          <w:szCs w:val="20"/>
        </w:rPr>
        <w:t>los recursos y gastos</w:t>
      </w:r>
      <w:r w:rsidRPr="00B30449">
        <w:rPr>
          <w:sz w:val="20"/>
          <w:szCs w:val="20"/>
        </w:rPr>
        <w:t xml:space="preserve"> derivad</w:t>
      </w:r>
      <w:r>
        <w:rPr>
          <w:sz w:val="20"/>
          <w:szCs w:val="20"/>
        </w:rPr>
        <w:t>o</w:t>
      </w:r>
      <w:r w:rsidRPr="00B30449">
        <w:rPr>
          <w:sz w:val="20"/>
          <w:szCs w:val="20"/>
        </w:rPr>
        <w:t>s del mantenimiento de activos y pasivos expuestos a los cambios en el poder adquisitivo de la moneda a lo largo del ejercicio. Tales ganancias y pérdidas</w:t>
      </w:r>
      <w:r>
        <w:rPr>
          <w:sz w:val="20"/>
          <w:szCs w:val="20"/>
        </w:rPr>
        <w:t xml:space="preserve"> se exponen en el rubro “R</w:t>
      </w:r>
      <w:r w:rsidRPr="00B30449">
        <w:rPr>
          <w:sz w:val="20"/>
          <w:szCs w:val="20"/>
        </w:rPr>
        <w:t>esultados financieros y por tenencia (incluyendo el RECPAM)</w:t>
      </w:r>
      <w:r>
        <w:rPr>
          <w:sz w:val="20"/>
          <w:szCs w:val="20"/>
        </w:rPr>
        <w:t>”</w:t>
      </w:r>
      <w:r w:rsidRPr="00B30449">
        <w:rPr>
          <w:sz w:val="20"/>
          <w:szCs w:val="20"/>
        </w:rPr>
        <w:t xml:space="preserve"> del </w:t>
      </w:r>
      <w:r w:rsidRPr="00232447">
        <w:rPr>
          <w:sz w:val="20"/>
          <w:szCs w:val="20"/>
        </w:rPr>
        <w:t>Estado de Recursos y Gastos.</w:t>
      </w:r>
    </w:p>
    <w:p w14:paraId="09D8D816" w14:textId="77777777" w:rsidR="00D0618B" w:rsidRDefault="00D0618B" w:rsidP="00D0618B">
      <w:pPr>
        <w:pStyle w:val="Textoindependienteprimerasangra2"/>
        <w:ind w:left="426" w:firstLine="0"/>
        <w:jc w:val="both"/>
        <w:rPr>
          <w:sz w:val="20"/>
          <w:szCs w:val="20"/>
        </w:rPr>
      </w:pPr>
    </w:p>
    <w:p w14:paraId="5EE68B06" w14:textId="77777777" w:rsidR="00D0618B" w:rsidRPr="00B30449" w:rsidRDefault="00D0618B" w:rsidP="00D0618B">
      <w:pPr>
        <w:pStyle w:val="Textoindependienteprimerasangra2"/>
        <w:ind w:left="426" w:firstLine="0"/>
        <w:jc w:val="both"/>
        <w:rPr>
          <w:sz w:val="20"/>
          <w:szCs w:val="20"/>
        </w:rPr>
      </w:pPr>
      <w:r w:rsidRPr="00B30449">
        <w:rPr>
          <w:sz w:val="20"/>
          <w:szCs w:val="20"/>
        </w:rPr>
        <w:t>Para la preparación de los presentes estados contables, el órgano de administración de la entidad ha utilizado las siguientes simplificaciones dispuestas por la RT 54:</w:t>
      </w:r>
    </w:p>
    <w:p w14:paraId="4D704683" w14:textId="77777777" w:rsidR="00D0618B" w:rsidRPr="00D14B1B" w:rsidRDefault="00D0618B" w:rsidP="00D0618B">
      <w:pPr>
        <w:pStyle w:val="Prrafodelista"/>
        <w:numPr>
          <w:ilvl w:val="0"/>
          <w:numId w:val="3"/>
        </w:numPr>
        <w:pBdr>
          <w:top w:val="nil"/>
          <w:left w:val="nil"/>
          <w:bottom w:val="nil"/>
          <w:right w:val="nil"/>
          <w:between w:val="nil"/>
        </w:pBdr>
        <w:spacing w:before="120" w:after="120"/>
        <w:ind w:left="714" w:hanging="289"/>
        <w:contextualSpacing w:val="0"/>
        <w:jc w:val="both"/>
        <w:rPr>
          <w:color w:val="000000"/>
          <w:sz w:val="20"/>
          <w:szCs w:val="20"/>
        </w:rPr>
      </w:pPr>
      <w:r w:rsidRPr="00D14B1B">
        <w:rPr>
          <w:rFonts w:eastAsia="Times New Roman" w:cstheme="minorHAnsi"/>
          <w:sz w:val="20"/>
          <w:szCs w:val="20"/>
        </w:rPr>
        <w:t>No ha presentado la nota requerida por el párrafo 659 de la RT 54</w:t>
      </w:r>
      <w:r w:rsidRPr="00D14B1B">
        <w:rPr>
          <w:rFonts w:eastAsia="Times New Roman" w:cstheme="minorHAnsi"/>
          <w:i/>
          <w:color w:val="FF0000"/>
          <w:sz w:val="20"/>
          <w:szCs w:val="20"/>
        </w:rPr>
        <w:t>.</w:t>
      </w:r>
    </w:p>
    <w:p w14:paraId="674DE78E" w14:textId="77777777" w:rsidR="00D0618B" w:rsidRPr="00B30449" w:rsidRDefault="00D0618B" w:rsidP="00D0618B">
      <w:pPr>
        <w:pStyle w:val="Prrafodelista"/>
        <w:numPr>
          <w:ilvl w:val="0"/>
          <w:numId w:val="3"/>
        </w:numPr>
        <w:pBdr>
          <w:top w:val="nil"/>
          <w:left w:val="nil"/>
          <w:bottom w:val="nil"/>
          <w:right w:val="nil"/>
          <w:between w:val="nil"/>
        </w:pBdr>
        <w:spacing w:before="120" w:after="120"/>
        <w:ind w:left="714" w:hanging="289"/>
        <w:contextualSpacing w:val="0"/>
        <w:jc w:val="both"/>
        <w:rPr>
          <w:color w:val="000000"/>
          <w:sz w:val="20"/>
          <w:szCs w:val="20"/>
        </w:rPr>
      </w:pPr>
      <w:r w:rsidRPr="00B30449">
        <w:rPr>
          <w:color w:val="000000"/>
          <w:sz w:val="20"/>
          <w:szCs w:val="20"/>
        </w:rPr>
        <w:t xml:space="preserve">El estado de flujo de </w:t>
      </w:r>
      <w:r w:rsidRPr="003B7CBA">
        <w:rPr>
          <w:color w:val="000000"/>
          <w:sz w:val="20"/>
          <w:szCs w:val="20"/>
        </w:rPr>
        <w:t>efectivo ha sido presentado por el método directo, mostrando la información ajustada por inflación en forma sintética</w:t>
      </w:r>
      <w:r w:rsidRPr="003B7CBA">
        <w:rPr>
          <w:rFonts w:eastAsia="Times New Roman" w:cstheme="minorHAnsi"/>
          <w:sz w:val="20"/>
          <w:szCs w:val="20"/>
        </w:rPr>
        <w:t>.</w:t>
      </w:r>
    </w:p>
    <w:p w14:paraId="32B915DE" w14:textId="77777777" w:rsidR="00D0618B" w:rsidRPr="00B30449" w:rsidRDefault="00D0618B" w:rsidP="00D0618B">
      <w:pPr>
        <w:pStyle w:val="Prrafodelista"/>
        <w:numPr>
          <w:ilvl w:val="0"/>
          <w:numId w:val="3"/>
        </w:numPr>
        <w:pBdr>
          <w:top w:val="nil"/>
          <w:left w:val="nil"/>
          <w:bottom w:val="nil"/>
          <w:right w:val="nil"/>
          <w:between w:val="nil"/>
        </w:pBdr>
        <w:spacing w:before="120" w:after="120"/>
        <w:ind w:left="714" w:hanging="289"/>
        <w:contextualSpacing w:val="0"/>
        <w:jc w:val="both"/>
        <w:rPr>
          <w:color w:val="000000"/>
          <w:sz w:val="20"/>
          <w:szCs w:val="20"/>
        </w:rPr>
      </w:pPr>
      <w:r w:rsidRPr="00B30449">
        <w:rPr>
          <w:color w:val="000000"/>
          <w:sz w:val="20"/>
          <w:szCs w:val="20"/>
        </w:rPr>
        <w:t>Optó por presentar en una sola línea a los resultados financieros y por tenencia, incluyendo al resultado por exposición al cambio en el poder adquisitivo de la moneda (RECPAM), denominada “Resultados financieros y por tenencia (incluyendo al RECPAM)”.</w:t>
      </w:r>
    </w:p>
    <w:p w14:paraId="0188B2FB" w14:textId="77777777" w:rsidR="00D0618B" w:rsidRPr="00B30449" w:rsidRDefault="00D0618B" w:rsidP="00D0618B">
      <w:pPr>
        <w:pBdr>
          <w:top w:val="nil"/>
          <w:left w:val="nil"/>
          <w:bottom w:val="nil"/>
          <w:right w:val="nil"/>
          <w:between w:val="nil"/>
        </w:pBdr>
        <w:ind w:left="426"/>
        <w:jc w:val="both"/>
        <w:rPr>
          <w:color w:val="000000"/>
          <w:sz w:val="20"/>
          <w:szCs w:val="20"/>
        </w:rPr>
      </w:pPr>
    </w:p>
    <w:p w14:paraId="7446E5AD" w14:textId="77777777" w:rsidR="00D0618B" w:rsidRDefault="00D0618B" w:rsidP="00D0618B">
      <w:pPr>
        <w:pStyle w:val="Textoindependienteprimerasangra2"/>
        <w:ind w:left="426" w:firstLine="0"/>
        <w:jc w:val="both"/>
        <w:rPr>
          <w:sz w:val="20"/>
          <w:szCs w:val="20"/>
        </w:rPr>
      </w:pPr>
      <w:r w:rsidRPr="00B30449">
        <w:rPr>
          <w:sz w:val="20"/>
          <w:szCs w:val="20"/>
        </w:rPr>
        <w:t>Los presentes estados contables deben ser leídos e interpretados considerando las limitaciones que la utilización de las dispensas antes mencionadas podría provocar sobre la información en ellos contenida.</w:t>
      </w:r>
    </w:p>
    <w:p w14:paraId="5EE61B47" w14:textId="77777777" w:rsidR="00D0618B" w:rsidRPr="00B30449" w:rsidRDefault="00D0618B" w:rsidP="00D0618B">
      <w:pPr>
        <w:pStyle w:val="Textoindependienteprimerasangra2"/>
        <w:ind w:left="0" w:firstLine="0"/>
        <w:jc w:val="both"/>
        <w:rPr>
          <w:sz w:val="20"/>
          <w:szCs w:val="20"/>
        </w:rPr>
      </w:pPr>
    </w:p>
    <w:p w14:paraId="3CB15AB8" w14:textId="77777777" w:rsidR="00D0618B" w:rsidRPr="00932B1D" w:rsidRDefault="00D0618B" w:rsidP="00D0618B">
      <w:pPr>
        <w:pStyle w:val="Lista2"/>
        <w:numPr>
          <w:ilvl w:val="1"/>
          <w:numId w:val="1"/>
        </w:numPr>
        <w:ind w:left="426"/>
        <w:jc w:val="both"/>
        <w:rPr>
          <w:b/>
          <w:color w:val="000000"/>
          <w:sz w:val="20"/>
          <w:szCs w:val="20"/>
        </w:rPr>
      </w:pPr>
      <w:r w:rsidRPr="00932B1D">
        <w:rPr>
          <w:b/>
          <w:color w:val="000000"/>
          <w:sz w:val="20"/>
          <w:szCs w:val="20"/>
        </w:rPr>
        <w:t>Uso de estimaciones en la preparación de los presentes estados contables</w:t>
      </w:r>
    </w:p>
    <w:p w14:paraId="7AF21C35" w14:textId="77777777" w:rsidR="00D0618B" w:rsidRPr="00B30449" w:rsidRDefault="00D0618B" w:rsidP="00D0618B">
      <w:pPr>
        <w:pBdr>
          <w:top w:val="nil"/>
          <w:left w:val="nil"/>
          <w:bottom w:val="nil"/>
          <w:right w:val="nil"/>
          <w:between w:val="nil"/>
        </w:pBdr>
        <w:jc w:val="both"/>
        <w:rPr>
          <w:color w:val="000000"/>
          <w:sz w:val="20"/>
          <w:szCs w:val="20"/>
        </w:rPr>
      </w:pPr>
    </w:p>
    <w:p w14:paraId="35311584" w14:textId="77777777" w:rsidR="00D0618B" w:rsidRDefault="00D0618B" w:rsidP="00D0618B">
      <w:pPr>
        <w:pStyle w:val="Textoindependienteprimerasangra2"/>
        <w:ind w:left="426" w:firstLine="0"/>
        <w:jc w:val="both"/>
        <w:rPr>
          <w:sz w:val="20"/>
          <w:szCs w:val="20"/>
        </w:rPr>
      </w:pPr>
      <w:r w:rsidRPr="00B30449">
        <w:rPr>
          <w:sz w:val="20"/>
          <w:szCs w:val="20"/>
        </w:rPr>
        <w:t>La preparación de estados contables requiere que el órgano de administración de la entidad realice estimaciones y evaluaciones que afectan el monto de los activos y pasivos registrados y los activos y pasivos contingentes revelados a la fecha de cierre, como así también los ingresos y egresos registrados en el ejercicio. Los resultados reales futuros pueden diferir de las estimaciones y evaluaciones realizadas a la fecha de preparación de los presentes estados contables.</w:t>
      </w:r>
    </w:p>
    <w:p w14:paraId="371330F6" w14:textId="77777777" w:rsidR="00D0618B" w:rsidRPr="00B30449" w:rsidRDefault="00D0618B" w:rsidP="00D0618B">
      <w:pPr>
        <w:pStyle w:val="Textoindependienteprimerasangra2"/>
        <w:ind w:firstLine="0"/>
        <w:jc w:val="both"/>
        <w:rPr>
          <w:sz w:val="20"/>
          <w:szCs w:val="20"/>
        </w:rPr>
      </w:pPr>
    </w:p>
    <w:p w14:paraId="764A1632" w14:textId="77777777" w:rsidR="00D0618B" w:rsidRPr="00BC5438" w:rsidRDefault="00D0618B" w:rsidP="00D0618B">
      <w:pPr>
        <w:pStyle w:val="Lista2"/>
        <w:numPr>
          <w:ilvl w:val="1"/>
          <w:numId w:val="1"/>
        </w:numPr>
        <w:ind w:left="426"/>
        <w:jc w:val="both"/>
        <w:rPr>
          <w:b/>
          <w:color w:val="000000"/>
          <w:sz w:val="20"/>
          <w:szCs w:val="20"/>
        </w:rPr>
      </w:pPr>
      <w:r w:rsidRPr="00BC5438">
        <w:rPr>
          <w:b/>
          <w:color w:val="000000"/>
          <w:sz w:val="20"/>
          <w:szCs w:val="20"/>
        </w:rPr>
        <w:t>Información comparativa</w:t>
      </w:r>
    </w:p>
    <w:p w14:paraId="13426B49" w14:textId="77777777" w:rsidR="00D0618B" w:rsidRPr="00BC5438" w:rsidRDefault="00D0618B" w:rsidP="00D0618B">
      <w:pPr>
        <w:pBdr>
          <w:top w:val="nil"/>
          <w:left w:val="nil"/>
          <w:bottom w:val="nil"/>
          <w:right w:val="nil"/>
          <w:between w:val="nil"/>
        </w:pBdr>
        <w:jc w:val="both"/>
        <w:rPr>
          <w:color w:val="000000"/>
          <w:sz w:val="20"/>
          <w:szCs w:val="20"/>
        </w:rPr>
      </w:pPr>
    </w:p>
    <w:p w14:paraId="761A9161" w14:textId="77777777" w:rsidR="00D0618B" w:rsidRPr="00B30449" w:rsidRDefault="00D0618B" w:rsidP="00D0618B">
      <w:pPr>
        <w:pStyle w:val="Textoindependienteprimerasangra2"/>
        <w:ind w:left="426" w:firstLine="0"/>
        <w:jc w:val="both"/>
        <w:rPr>
          <w:sz w:val="20"/>
          <w:szCs w:val="20"/>
        </w:rPr>
      </w:pPr>
      <w:r w:rsidRPr="00BC5438">
        <w:rPr>
          <w:sz w:val="20"/>
          <w:szCs w:val="20"/>
        </w:rPr>
        <w:t>Se han reclasificado ciertas cifras patrimoniales, y realizado ciertos ajustes sobre ellas, como también nuevas revelaciones con motivo de los cambios en las políticas contables mencionadas en la Nota 1.</w:t>
      </w:r>
      <w:r w:rsidRPr="001047FD">
        <w:rPr>
          <w:sz w:val="20"/>
          <w:szCs w:val="20"/>
        </w:rPr>
        <w:t>1.</w:t>
      </w:r>
      <w:r w:rsidRPr="006476C4">
        <w:rPr>
          <w:i/>
          <w:color w:val="FF0000"/>
          <w:sz w:val="20"/>
          <w:szCs w:val="20"/>
        </w:rPr>
        <w:t xml:space="preserve">(Título opcional </w:t>
      </w:r>
      <w:r w:rsidRPr="00BC5438">
        <w:rPr>
          <w:i/>
          <w:color w:val="FF0000"/>
          <w:sz w:val="20"/>
          <w:szCs w:val="20"/>
        </w:rPr>
        <w:t>en caso únicamente de que la aplicación de la NUA haya generado cambios de presentación, reconocimiento y medición).</w:t>
      </w:r>
    </w:p>
    <w:p w14:paraId="7448297A" w14:textId="77777777" w:rsidR="00D0618B" w:rsidRPr="00B30449" w:rsidRDefault="00D0618B" w:rsidP="00D0618B">
      <w:pPr>
        <w:pBdr>
          <w:top w:val="nil"/>
          <w:left w:val="nil"/>
          <w:bottom w:val="nil"/>
          <w:right w:val="nil"/>
          <w:between w:val="nil"/>
        </w:pBdr>
        <w:jc w:val="both"/>
        <w:rPr>
          <w:rFonts w:eastAsia="Times New Roman" w:cstheme="minorHAnsi"/>
          <w:sz w:val="20"/>
          <w:szCs w:val="20"/>
        </w:rPr>
      </w:pPr>
    </w:p>
    <w:p w14:paraId="0F6C1540" w14:textId="77777777" w:rsidR="00D0618B" w:rsidRPr="00B30449" w:rsidRDefault="00D0618B" w:rsidP="00D0618B">
      <w:pPr>
        <w:pStyle w:val="Prrafodelista"/>
        <w:numPr>
          <w:ilvl w:val="0"/>
          <w:numId w:val="1"/>
        </w:numPr>
        <w:pBdr>
          <w:top w:val="nil"/>
          <w:left w:val="nil"/>
          <w:bottom w:val="nil"/>
          <w:right w:val="nil"/>
          <w:between w:val="nil"/>
        </w:pBdr>
        <w:ind w:left="426"/>
        <w:jc w:val="both"/>
        <w:rPr>
          <w:b/>
          <w:color w:val="FF0000"/>
          <w:sz w:val="20"/>
          <w:szCs w:val="20"/>
        </w:rPr>
      </w:pPr>
      <w:r w:rsidRPr="001047FD">
        <w:rPr>
          <w:b/>
          <w:color w:val="000000"/>
          <w:sz w:val="20"/>
          <w:szCs w:val="20"/>
        </w:rPr>
        <w:t>Políticas contables sobre criterios de medición</w:t>
      </w:r>
      <w:r w:rsidRPr="00B30449">
        <w:rPr>
          <w:b/>
          <w:color w:val="000000"/>
          <w:sz w:val="20"/>
          <w:szCs w:val="20"/>
        </w:rPr>
        <w:t xml:space="preserve"> contable </w:t>
      </w:r>
      <w:r w:rsidRPr="00B30449">
        <w:rPr>
          <w:color w:val="FF0000"/>
          <w:sz w:val="20"/>
          <w:szCs w:val="20"/>
        </w:rPr>
        <w:t>(</w:t>
      </w:r>
      <w:r w:rsidRPr="00B30449">
        <w:rPr>
          <w:i/>
          <w:color w:val="FF0000"/>
          <w:sz w:val="20"/>
          <w:szCs w:val="20"/>
        </w:rPr>
        <w:t>sólo sobre los rubros que tengan saldo en el ejercicio actual y/o comparativo</w:t>
      </w:r>
      <w:r w:rsidRPr="00B30449">
        <w:rPr>
          <w:color w:val="FF0000"/>
          <w:sz w:val="20"/>
          <w:szCs w:val="20"/>
        </w:rPr>
        <w:t>)</w:t>
      </w:r>
    </w:p>
    <w:p w14:paraId="4077E954" w14:textId="77777777" w:rsidR="00D0618B" w:rsidRDefault="00D0618B" w:rsidP="00D0618B">
      <w:pPr>
        <w:pBdr>
          <w:top w:val="nil"/>
          <w:left w:val="nil"/>
          <w:bottom w:val="nil"/>
          <w:right w:val="nil"/>
          <w:between w:val="nil"/>
        </w:pBdr>
        <w:jc w:val="both"/>
        <w:rPr>
          <w:rFonts w:eastAsia="Times New Roman" w:cstheme="minorHAnsi"/>
          <w:sz w:val="20"/>
          <w:szCs w:val="20"/>
        </w:rPr>
      </w:pPr>
    </w:p>
    <w:p w14:paraId="533F1461" w14:textId="77777777" w:rsidR="00D0618B" w:rsidRPr="000855ED" w:rsidRDefault="00D0618B" w:rsidP="00D0618B">
      <w:pPr>
        <w:pStyle w:val="Lista2"/>
        <w:jc w:val="both"/>
        <w:rPr>
          <w:b/>
          <w:sz w:val="20"/>
          <w:szCs w:val="20"/>
        </w:rPr>
      </w:pPr>
      <w:r w:rsidRPr="000855ED">
        <w:rPr>
          <w:b/>
          <w:sz w:val="20"/>
          <w:szCs w:val="20"/>
        </w:rPr>
        <w:t>2.1.</w:t>
      </w:r>
      <w:r w:rsidRPr="000855ED">
        <w:rPr>
          <w:b/>
          <w:sz w:val="20"/>
          <w:szCs w:val="20"/>
        </w:rPr>
        <w:tab/>
        <w:t>Activos y pasivos en moneda extranjera</w:t>
      </w:r>
    </w:p>
    <w:p w14:paraId="35FDB76A" w14:textId="77777777" w:rsidR="00D0618B" w:rsidRPr="00B30449" w:rsidRDefault="00D0618B" w:rsidP="00D0618B">
      <w:pPr>
        <w:pStyle w:val="Continuarlista2"/>
        <w:spacing w:before="120"/>
        <w:ind w:left="567"/>
        <w:jc w:val="both"/>
        <w:rPr>
          <w:color w:val="000000"/>
          <w:sz w:val="20"/>
          <w:szCs w:val="20"/>
        </w:rPr>
      </w:pPr>
      <w:r w:rsidRPr="001047FD">
        <w:rPr>
          <w:sz w:val="20"/>
          <w:szCs w:val="20"/>
        </w:rPr>
        <w:t xml:space="preserve">Los activos y pasivos en moneda extranjera han sido medidos </w:t>
      </w:r>
      <w:r w:rsidRPr="001047FD">
        <w:rPr>
          <w:color w:val="000000"/>
          <w:sz w:val="20"/>
          <w:szCs w:val="20"/>
        </w:rPr>
        <w:t>a</w:t>
      </w:r>
      <w:r w:rsidRPr="001047FD">
        <w:rPr>
          <w:sz w:val="20"/>
          <w:szCs w:val="20"/>
        </w:rPr>
        <w:t>l tipo de cambio correspondiente a la fecha de cierre de los estados contables.</w:t>
      </w:r>
    </w:p>
    <w:p w14:paraId="61721FBE" w14:textId="77777777" w:rsidR="00D0618B" w:rsidRPr="00353F87" w:rsidRDefault="00D0618B" w:rsidP="00D0618B">
      <w:pPr>
        <w:pStyle w:val="Lista2"/>
        <w:jc w:val="both"/>
        <w:rPr>
          <w:b/>
          <w:sz w:val="20"/>
          <w:szCs w:val="20"/>
        </w:rPr>
      </w:pPr>
      <w:r w:rsidRPr="00353F87">
        <w:rPr>
          <w:b/>
          <w:sz w:val="20"/>
          <w:szCs w:val="20"/>
        </w:rPr>
        <w:t>2.2.</w:t>
      </w:r>
      <w:r w:rsidRPr="00353F87">
        <w:rPr>
          <w:b/>
          <w:sz w:val="20"/>
          <w:szCs w:val="20"/>
        </w:rPr>
        <w:tab/>
        <w:t xml:space="preserve">Caja y bancos </w:t>
      </w:r>
    </w:p>
    <w:p w14:paraId="7238ABBD" w14:textId="77777777" w:rsidR="00D0618B" w:rsidRPr="00B30449" w:rsidRDefault="00D0618B" w:rsidP="00D0618B">
      <w:pPr>
        <w:pStyle w:val="Continuarlista2"/>
        <w:spacing w:before="120"/>
        <w:ind w:left="567"/>
        <w:jc w:val="both"/>
        <w:rPr>
          <w:sz w:val="20"/>
          <w:szCs w:val="20"/>
        </w:rPr>
      </w:pPr>
      <w:r w:rsidRPr="001047FD">
        <w:rPr>
          <w:sz w:val="20"/>
          <w:szCs w:val="20"/>
        </w:rPr>
        <w:t>El efectivo disponible y los saldos en bancos han sido medidos por su importe nominal.</w:t>
      </w:r>
    </w:p>
    <w:p w14:paraId="03216B33" w14:textId="77777777" w:rsidR="00D0618B" w:rsidRPr="00353F87" w:rsidRDefault="00D0618B" w:rsidP="00D0618B">
      <w:pPr>
        <w:pStyle w:val="Lista2"/>
        <w:jc w:val="both"/>
        <w:rPr>
          <w:b/>
          <w:sz w:val="20"/>
          <w:szCs w:val="20"/>
        </w:rPr>
      </w:pPr>
      <w:r w:rsidRPr="00353F87">
        <w:rPr>
          <w:b/>
          <w:sz w:val="20"/>
          <w:szCs w:val="20"/>
        </w:rPr>
        <w:t>2.3.</w:t>
      </w:r>
      <w:r w:rsidRPr="00353F87">
        <w:rPr>
          <w:b/>
          <w:sz w:val="20"/>
          <w:szCs w:val="20"/>
        </w:rPr>
        <w:tab/>
      </w:r>
      <w:r w:rsidRPr="00A42A54">
        <w:rPr>
          <w:b/>
          <w:sz w:val="20"/>
          <w:szCs w:val="20"/>
        </w:rPr>
        <w:t>Inversiones financieras</w:t>
      </w:r>
      <w:r w:rsidRPr="0084193E">
        <w:rPr>
          <w:rStyle w:val="Refdenotaalpie"/>
          <w:b/>
          <w:color w:val="FF0000"/>
          <w:sz w:val="20"/>
          <w:szCs w:val="20"/>
        </w:rPr>
        <w:footnoteReference w:id="5"/>
      </w:r>
    </w:p>
    <w:p w14:paraId="341A289E" w14:textId="77777777" w:rsidR="00D0618B" w:rsidRPr="001047FD" w:rsidRDefault="00D0618B" w:rsidP="00D0618B">
      <w:pPr>
        <w:pStyle w:val="Default"/>
        <w:spacing w:before="120" w:after="120"/>
        <w:ind w:left="567"/>
        <w:jc w:val="both"/>
        <w:rPr>
          <w:rFonts w:eastAsia="Arial"/>
          <w:color w:val="auto"/>
          <w:sz w:val="20"/>
          <w:szCs w:val="20"/>
          <w:lang w:val="es-ES" w:eastAsia="es-AR"/>
        </w:rPr>
      </w:pPr>
      <w:r w:rsidRPr="001047FD">
        <w:rPr>
          <w:rFonts w:eastAsia="Arial"/>
          <w:color w:val="auto"/>
          <w:sz w:val="20"/>
          <w:szCs w:val="20"/>
          <w:lang w:val="es-ES" w:eastAsia="es-AR"/>
        </w:rPr>
        <w:t xml:space="preserve">Las inversiones en plazo fijo </w:t>
      </w:r>
      <w:r w:rsidRPr="001047FD">
        <w:rPr>
          <w:rFonts w:eastAsia="Arial"/>
          <w:i/>
          <w:color w:val="FF0000"/>
          <w:sz w:val="20"/>
          <w:szCs w:val="20"/>
          <w:lang w:val="es-ES" w:eastAsia="es-AR"/>
        </w:rPr>
        <w:t>(enunciar todas aquellas colocaciones de similares características)</w:t>
      </w:r>
      <w:r w:rsidRPr="001047FD">
        <w:rPr>
          <w:rFonts w:eastAsia="Arial"/>
          <w:color w:val="auto"/>
          <w:sz w:val="20"/>
          <w:szCs w:val="20"/>
          <w:lang w:val="es-ES" w:eastAsia="es-AR"/>
        </w:rPr>
        <w:t xml:space="preserve"> han sido medidas a costo amortizado. </w:t>
      </w:r>
    </w:p>
    <w:p w14:paraId="6A950BDE" w14:textId="77777777" w:rsidR="00D0618B" w:rsidRPr="001047FD" w:rsidRDefault="00D0618B" w:rsidP="00D0618B">
      <w:pPr>
        <w:pStyle w:val="Default"/>
        <w:spacing w:before="120" w:after="120"/>
        <w:ind w:left="567"/>
        <w:jc w:val="both"/>
        <w:rPr>
          <w:rFonts w:eastAsia="Arial"/>
          <w:color w:val="auto"/>
          <w:sz w:val="20"/>
          <w:szCs w:val="20"/>
          <w:lang w:val="es-ES" w:eastAsia="es-AR"/>
        </w:rPr>
      </w:pPr>
      <w:r w:rsidRPr="001047FD">
        <w:rPr>
          <w:rFonts w:eastAsia="Arial"/>
          <w:color w:val="auto"/>
          <w:sz w:val="20"/>
          <w:szCs w:val="20"/>
          <w:lang w:val="es-ES" w:eastAsia="es-AR"/>
        </w:rPr>
        <w:t xml:space="preserve">Los fondos comunes de inversión </w:t>
      </w:r>
      <w:r w:rsidRPr="001047FD">
        <w:rPr>
          <w:rFonts w:eastAsia="Arial"/>
          <w:i/>
          <w:color w:val="FF0000"/>
          <w:sz w:val="20"/>
          <w:szCs w:val="20"/>
          <w:lang w:val="es-ES" w:eastAsia="es-AR"/>
        </w:rPr>
        <w:t>(enunciar todas aquellas colocaciones de similares características)</w:t>
      </w:r>
      <w:r>
        <w:rPr>
          <w:rFonts w:eastAsia="Arial"/>
          <w:i/>
          <w:color w:val="FF0000"/>
          <w:sz w:val="20"/>
          <w:szCs w:val="20"/>
          <w:lang w:val="es-ES" w:eastAsia="es-AR"/>
        </w:rPr>
        <w:t xml:space="preserve"> </w:t>
      </w:r>
      <w:r w:rsidRPr="001047FD">
        <w:rPr>
          <w:rFonts w:eastAsia="Arial"/>
          <w:color w:val="auto"/>
          <w:sz w:val="20"/>
          <w:szCs w:val="20"/>
          <w:lang w:val="es-ES" w:eastAsia="es-AR"/>
        </w:rPr>
        <w:t xml:space="preserve">han sido medidos a su valor razonable en base a su valor de cotización de cada </w:t>
      </w:r>
      <w:proofErr w:type="spellStart"/>
      <w:r w:rsidRPr="001047FD">
        <w:rPr>
          <w:rFonts w:eastAsia="Arial"/>
          <w:color w:val="auto"/>
          <w:sz w:val="20"/>
          <w:szCs w:val="20"/>
          <w:lang w:val="es-ES" w:eastAsia="es-AR"/>
        </w:rPr>
        <w:t>cuotaparte</w:t>
      </w:r>
      <w:proofErr w:type="spellEnd"/>
      <w:r w:rsidRPr="001047FD">
        <w:rPr>
          <w:rFonts w:eastAsia="Arial"/>
          <w:color w:val="auto"/>
          <w:sz w:val="20"/>
          <w:szCs w:val="20"/>
          <w:lang w:val="es-ES" w:eastAsia="es-AR"/>
        </w:rPr>
        <w:t xml:space="preserve"> vigente al cierre de cada ejercicio. </w:t>
      </w:r>
    </w:p>
    <w:p w14:paraId="72F525A7" w14:textId="77777777" w:rsidR="00D0618B" w:rsidRPr="00830945" w:rsidRDefault="00D0618B" w:rsidP="00D0618B">
      <w:pPr>
        <w:pStyle w:val="Textoindependiente"/>
        <w:ind w:left="567"/>
        <w:jc w:val="both"/>
        <w:rPr>
          <w:sz w:val="20"/>
          <w:szCs w:val="20"/>
          <w:lang w:eastAsia="en-US"/>
        </w:rPr>
      </w:pPr>
      <w:r w:rsidRPr="001047FD">
        <w:rPr>
          <w:sz w:val="20"/>
          <w:szCs w:val="20"/>
          <w:lang w:eastAsia="en-US"/>
        </w:rPr>
        <w:t xml:space="preserve">El valor </w:t>
      </w:r>
      <w:r w:rsidRPr="00830945">
        <w:rPr>
          <w:sz w:val="20"/>
          <w:szCs w:val="20"/>
          <w:lang w:eastAsia="en-US"/>
        </w:rPr>
        <w:t xml:space="preserve">registrado de las inversiones financieras a costo amortizado no supera su valor recuperable. </w:t>
      </w:r>
    </w:p>
    <w:p w14:paraId="41B267FC" w14:textId="77777777" w:rsidR="00D0618B" w:rsidRPr="00830945" w:rsidRDefault="00D0618B" w:rsidP="00D0618B">
      <w:pPr>
        <w:pStyle w:val="Lista2"/>
        <w:spacing w:before="120" w:after="120"/>
        <w:jc w:val="both"/>
        <w:rPr>
          <w:b/>
          <w:sz w:val="20"/>
          <w:szCs w:val="20"/>
        </w:rPr>
      </w:pPr>
      <w:r w:rsidRPr="00830945">
        <w:rPr>
          <w:b/>
          <w:sz w:val="20"/>
          <w:szCs w:val="20"/>
        </w:rPr>
        <w:t>2.4.</w:t>
      </w:r>
      <w:r w:rsidRPr="00830945">
        <w:rPr>
          <w:b/>
          <w:sz w:val="20"/>
          <w:szCs w:val="20"/>
        </w:rPr>
        <w:tab/>
        <w:t xml:space="preserve">Cuentas por cobrar a asociados/entidades afiliadas en moneda, Cuentas por cobrar a terceros por servicios prestados en moneda, Créditos impositivos, Otras cuentas por cobrar a </w:t>
      </w:r>
      <w:r>
        <w:rPr>
          <w:b/>
          <w:sz w:val="20"/>
          <w:szCs w:val="20"/>
        </w:rPr>
        <w:t>terceros</w:t>
      </w:r>
      <w:r w:rsidRPr="00830945">
        <w:rPr>
          <w:b/>
          <w:sz w:val="20"/>
          <w:szCs w:val="20"/>
        </w:rPr>
        <w:t xml:space="preserve"> en moneda.</w:t>
      </w:r>
    </w:p>
    <w:p w14:paraId="744C132C" w14:textId="77777777" w:rsidR="00D0618B" w:rsidRPr="00E41098" w:rsidRDefault="00D0618B" w:rsidP="00D0618B">
      <w:pPr>
        <w:pStyle w:val="Continuarlista2"/>
        <w:spacing w:before="120"/>
        <w:jc w:val="both"/>
        <w:rPr>
          <w:sz w:val="20"/>
          <w:szCs w:val="20"/>
          <w:lang w:val="es-AR"/>
        </w:rPr>
      </w:pPr>
      <w:r w:rsidRPr="00830945">
        <w:rPr>
          <w:sz w:val="20"/>
          <w:szCs w:val="20"/>
          <w:lang w:val="es-AR"/>
        </w:rPr>
        <w:t>Las cuentas por cobrar a asociados/entidades</w:t>
      </w:r>
      <w:r>
        <w:rPr>
          <w:sz w:val="20"/>
          <w:szCs w:val="20"/>
          <w:lang w:val="es-AR"/>
        </w:rPr>
        <w:t xml:space="preserve"> afiliadas </w:t>
      </w:r>
      <w:r w:rsidRPr="00232447">
        <w:rPr>
          <w:sz w:val="20"/>
          <w:szCs w:val="20"/>
          <w:lang w:val="es-AR"/>
        </w:rPr>
        <w:t xml:space="preserve">en moneda, </w:t>
      </w:r>
      <w:r>
        <w:rPr>
          <w:sz w:val="20"/>
          <w:szCs w:val="20"/>
          <w:lang w:val="es-AR"/>
        </w:rPr>
        <w:t>cuentas por cobrar a terceros por servicios prestados en moneda, créditos impositivos</w:t>
      </w:r>
      <w:r w:rsidRPr="00232447">
        <w:rPr>
          <w:sz w:val="20"/>
          <w:szCs w:val="20"/>
          <w:lang w:val="es-AR"/>
        </w:rPr>
        <w:t xml:space="preserve">, otras cuentas por cobrar </w:t>
      </w:r>
      <w:r>
        <w:rPr>
          <w:sz w:val="20"/>
          <w:szCs w:val="20"/>
          <w:lang w:val="es-AR"/>
        </w:rPr>
        <w:t xml:space="preserve">a terceros </w:t>
      </w:r>
      <w:r w:rsidRPr="00232447">
        <w:rPr>
          <w:sz w:val="20"/>
          <w:szCs w:val="20"/>
          <w:lang w:val="es-AR"/>
        </w:rPr>
        <w:t>en moneda se miden al valor nominal</w:t>
      </w:r>
      <w:r w:rsidRPr="00232447">
        <w:rPr>
          <w:rStyle w:val="Refdenotaalpie"/>
          <w:color w:val="FF0000"/>
          <w:sz w:val="20"/>
          <w:szCs w:val="20"/>
          <w:lang w:val="es-AR"/>
        </w:rPr>
        <w:footnoteReference w:id="6"/>
      </w:r>
      <w:r w:rsidRPr="00232447">
        <w:rPr>
          <w:color w:val="FF0000"/>
          <w:sz w:val="20"/>
          <w:szCs w:val="20"/>
          <w:lang w:val="es-AR"/>
        </w:rPr>
        <w:t>,</w:t>
      </w:r>
      <w:r w:rsidRPr="00232447">
        <w:rPr>
          <w:sz w:val="20"/>
          <w:szCs w:val="20"/>
          <w:lang w:val="es-AR"/>
        </w:rPr>
        <w:t xml:space="preserve"> netos de la previsión por desvalorización, de corresponder.</w:t>
      </w:r>
      <w:r w:rsidRPr="00E41098">
        <w:rPr>
          <w:sz w:val="20"/>
          <w:szCs w:val="20"/>
          <w:lang w:val="es-AR"/>
        </w:rPr>
        <w:t xml:space="preserve"> </w:t>
      </w:r>
    </w:p>
    <w:p w14:paraId="25887D04" w14:textId="77777777" w:rsidR="00D0618B" w:rsidRPr="00E41098" w:rsidRDefault="00D0618B" w:rsidP="00D0618B">
      <w:pPr>
        <w:pStyle w:val="Default"/>
        <w:spacing w:before="120" w:after="120"/>
        <w:ind w:left="567"/>
        <w:jc w:val="both"/>
        <w:rPr>
          <w:rFonts w:eastAsia="Arial"/>
          <w:color w:val="auto"/>
          <w:sz w:val="20"/>
          <w:szCs w:val="20"/>
          <w:lang w:val="es-ES" w:eastAsia="es-AR"/>
        </w:rPr>
      </w:pPr>
      <w:r w:rsidRPr="00E41098">
        <w:rPr>
          <w:sz w:val="20"/>
          <w:szCs w:val="20"/>
        </w:rPr>
        <w:t xml:space="preserve">A la fecha de cierre de cada ejercicio, se evalúa si existen indicios de desvalorización de los rubros mencionados, y </w:t>
      </w:r>
      <w:r w:rsidRPr="00E41098">
        <w:rPr>
          <w:rFonts w:eastAsia="Arial"/>
          <w:color w:val="auto"/>
          <w:sz w:val="20"/>
          <w:szCs w:val="20"/>
          <w:lang w:val="es-ES" w:eastAsia="es-AR"/>
        </w:rPr>
        <w:t xml:space="preserve">se procede al reconocimiento de las pérdidas por desvalorización en el resultado del período en caso de que su importe contable supere su valor recuperable. </w:t>
      </w:r>
    </w:p>
    <w:p w14:paraId="0030CA04" w14:textId="77777777" w:rsidR="00D0618B" w:rsidRPr="00E41098" w:rsidRDefault="00D0618B" w:rsidP="00D0618B">
      <w:pPr>
        <w:pStyle w:val="Default"/>
        <w:spacing w:before="120" w:after="120"/>
        <w:ind w:left="567"/>
        <w:jc w:val="both"/>
        <w:rPr>
          <w:sz w:val="20"/>
          <w:szCs w:val="20"/>
        </w:rPr>
      </w:pPr>
      <w:r w:rsidRPr="00E41098">
        <w:rPr>
          <w:rFonts w:eastAsia="Arial"/>
          <w:color w:val="auto"/>
          <w:sz w:val="20"/>
          <w:szCs w:val="20"/>
          <w:lang w:val="es-ES" w:eastAsia="es-AR"/>
        </w:rPr>
        <w:lastRenderedPageBreak/>
        <w:t>La previsión para desvalorización de las cuentas por cobrar se calcula en función de la antigüedad de la cartera, la evolución de las cobranzas</w:t>
      </w:r>
      <w:r w:rsidRPr="00E41098">
        <w:rPr>
          <w:sz w:val="20"/>
          <w:szCs w:val="20"/>
        </w:rPr>
        <w:t xml:space="preserve"> y el análisis individual de riesgo de incobrabilidad.</w:t>
      </w:r>
    </w:p>
    <w:p w14:paraId="6AC29A79" w14:textId="77777777" w:rsidR="00D0618B" w:rsidRPr="00B30449" w:rsidRDefault="00D0618B" w:rsidP="00D0618B">
      <w:pPr>
        <w:pStyle w:val="Default"/>
        <w:spacing w:before="120" w:after="120"/>
        <w:ind w:left="567"/>
        <w:jc w:val="both"/>
        <w:rPr>
          <w:sz w:val="20"/>
          <w:szCs w:val="20"/>
        </w:rPr>
      </w:pPr>
      <w:r w:rsidRPr="00E41098">
        <w:rPr>
          <w:sz w:val="20"/>
          <w:szCs w:val="20"/>
        </w:rPr>
        <w:t>La previsión para desvalorización de los créditos impositivos se calcula en función de las proyecciones impositivas y las posibilidades de su utilización futura.</w:t>
      </w:r>
      <w:r>
        <w:rPr>
          <w:sz w:val="20"/>
          <w:szCs w:val="20"/>
        </w:rPr>
        <w:t xml:space="preserve"> </w:t>
      </w:r>
    </w:p>
    <w:p w14:paraId="46ACF571" w14:textId="77777777" w:rsidR="00D0618B" w:rsidRPr="00232447" w:rsidRDefault="00D0618B" w:rsidP="00D0618B">
      <w:pPr>
        <w:pStyle w:val="Lista2"/>
        <w:jc w:val="both"/>
        <w:rPr>
          <w:b/>
          <w:sz w:val="20"/>
          <w:szCs w:val="20"/>
        </w:rPr>
      </w:pPr>
      <w:r w:rsidRPr="00232447">
        <w:rPr>
          <w:b/>
          <w:sz w:val="20"/>
          <w:szCs w:val="20"/>
        </w:rPr>
        <w:t>2.5.</w:t>
      </w:r>
      <w:r w:rsidRPr="00232447">
        <w:rPr>
          <w:b/>
          <w:sz w:val="20"/>
          <w:szCs w:val="20"/>
        </w:rPr>
        <w:tab/>
        <w:t>Bienes para consumo o comercialización</w:t>
      </w:r>
      <w:r w:rsidRPr="00232447">
        <w:rPr>
          <w:rStyle w:val="Refdenotaalpie"/>
          <w:b/>
          <w:sz w:val="20"/>
          <w:szCs w:val="20"/>
          <w:vertAlign w:val="baseline"/>
        </w:rPr>
        <w:t xml:space="preserve"> </w:t>
      </w:r>
      <w:r w:rsidRPr="00232447">
        <w:rPr>
          <w:rStyle w:val="Refdenotaalpie"/>
          <w:b/>
          <w:color w:val="FF0000"/>
          <w:sz w:val="20"/>
          <w:szCs w:val="20"/>
        </w:rPr>
        <w:footnoteReference w:id="7"/>
      </w:r>
    </w:p>
    <w:p w14:paraId="7450BDF9" w14:textId="77777777" w:rsidR="00D0618B" w:rsidRPr="00232447" w:rsidRDefault="00D0618B" w:rsidP="00D0618B">
      <w:pPr>
        <w:pStyle w:val="Continuarlista2"/>
        <w:spacing w:before="120"/>
        <w:ind w:left="567"/>
        <w:contextualSpacing w:val="0"/>
        <w:jc w:val="both"/>
        <w:rPr>
          <w:sz w:val="20"/>
          <w:szCs w:val="20"/>
          <w:lang w:eastAsia="en-US"/>
        </w:rPr>
      </w:pPr>
      <w:r w:rsidRPr="00232447">
        <w:rPr>
          <w:sz w:val="20"/>
          <w:szCs w:val="20"/>
          <w:lang w:eastAsia="en-US"/>
        </w:rPr>
        <w:t xml:space="preserve">Los bienes para consumo o comercialización adquiridos se miden a su costo de la última compra. </w:t>
      </w:r>
    </w:p>
    <w:p w14:paraId="5894F610" w14:textId="77777777" w:rsidR="00D0618B" w:rsidRPr="00764260" w:rsidRDefault="00D0618B" w:rsidP="00D0618B">
      <w:pPr>
        <w:pStyle w:val="Continuarlista2"/>
        <w:spacing w:before="120"/>
        <w:ind w:left="567"/>
        <w:contextualSpacing w:val="0"/>
        <w:jc w:val="both"/>
        <w:rPr>
          <w:sz w:val="20"/>
          <w:szCs w:val="20"/>
          <w:lang w:eastAsia="en-US"/>
        </w:rPr>
      </w:pPr>
      <w:r w:rsidRPr="00232447">
        <w:rPr>
          <w:sz w:val="20"/>
          <w:szCs w:val="20"/>
          <w:lang w:eastAsia="en-US"/>
        </w:rPr>
        <w:t xml:space="preserve">El valor registrado de los bienes para consumo o comercialización no supera su valor recuperable estimado en las condiciones actuales. Todos los bienes se encuentran </w:t>
      </w:r>
      <w:proofErr w:type="spellStart"/>
      <w:r w:rsidRPr="00232447">
        <w:rPr>
          <w:sz w:val="20"/>
          <w:szCs w:val="20"/>
          <w:lang w:eastAsia="en-US"/>
        </w:rPr>
        <w:t>reexpresados</w:t>
      </w:r>
      <w:proofErr w:type="spellEnd"/>
      <w:r w:rsidRPr="00764260">
        <w:rPr>
          <w:sz w:val="20"/>
          <w:szCs w:val="20"/>
          <w:lang w:eastAsia="en-US"/>
        </w:rPr>
        <w:t xml:space="preserve"> a la fecha de cierre de acuerdo a lo indicado en la Nota 1.3.</w:t>
      </w:r>
    </w:p>
    <w:p w14:paraId="65B0A059" w14:textId="77777777" w:rsidR="00D0618B" w:rsidRPr="00353F87" w:rsidRDefault="00D0618B" w:rsidP="00D0618B">
      <w:pPr>
        <w:pStyle w:val="Lista2"/>
        <w:jc w:val="both"/>
        <w:rPr>
          <w:b/>
          <w:sz w:val="20"/>
          <w:szCs w:val="20"/>
        </w:rPr>
      </w:pPr>
      <w:r w:rsidRPr="00353F87">
        <w:rPr>
          <w:b/>
          <w:sz w:val="20"/>
          <w:szCs w:val="20"/>
        </w:rPr>
        <w:t>2.</w:t>
      </w:r>
      <w:r>
        <w:rPr>
          <w:b/>
          <w:sz w:val="20"/>
          <w:szCs w:val="20"/>
        </w:rPr>
        <w:t>6</w:t>
      </w:r>
      <w:r w:rsidRPr="00353F87">
        <w:rPr>
          <w:b/>
          <w:sz w:val="20"/>
          <w:szCs w:val="20"/>
        </w:rPr>
        <w:t>.</w:t>
      </w:r>
      <w:r w:rsidRPr="00353F87">
        <w:rPr>
          <w:b/>
          <w:sz w:val="20"/>
          <w:szCs w:val="20"/>
        </w:rPr>
        <w:tab/>
        <w:t>Bienes de uso</w:t>
      </w:r>
      <w:r w:rsidRPr="0084193E">
        <w:rPr>
          <w:rStyle w:val="Refdenotaalpie"/>
          <w:b/>
          <w:color w:val="FF0000"/>
          <w:sz w:val="20"/>
          <w:szCs w:val="20"/>
        </w:rPr>
        <w:footnoteReference w:id="8"/>
      </w:r>
    </w:p>
    <w:p w14:paraId="44045CAF" w14:textId="77777777" w:rsidR="00D0618B" w:rsidRPr="00B30449" w:rsidRDefault="00D0618B" w:rsidP="00D0618B">
      <w:pPr>
        <w:pBdr>
          <w:top w:val="nil"/>
          <w:left w:val="nil"/>
          <w:bottom w:val="nil"/>
          <w:right w:val="nil"/>
          <w:between w:val="nil"/>
        </w:pBdr>
        <w:jc w:val="both"/>
        <w:rPr>
          <w:color w:val="000000"/>
          <w:sz w:val="20"/>
          <w:szCs w:val="20"/>
        </w:rPr>
      </w:pPr>
    </w:p>
    <w:p w14:paraId="7664840E" w14:textId="77777777" w:rsidR="00D0618B" w:rsidRPr="00F953F0" w:rsidRDefault="00D0618B" w:rsidP="00D0618B">
      <w:pPr>
        <w:pStyle w:val="Continuarlista2"/>
        <w:ind w:left="567"/>
        <w:contextualSpacing w:val="0"/>
        <w:jc w:val="both"/>
        <w:rPr>
          <w:sz w:val="20"/>
          <w:szCs w:val="20"/>
          <w:lang w:eastAsia="en-US"/>
        </w:rPr>
      </w:pPr>
      <w:r w:rsidRPr="00F953F0">
        <w:rPr>
          <w:sz w:val="20"/>
          <w:szCs w:val="20"/>
          <w:lang w:eastAsia="en-US"/>
        </w:rPr>
        <w:t xml:space="preserve">Los bienes de uso están medidos a su costo de adquisición </w:t>
      </w:r>
      <w:proofErr w:type="spellStart"/>
      <w:r w:rsidRPr="00F953F0">
        <w:rPr>
          <w:sz w:val="20"/>
          <w:szCs w:val="20"/>
          <w:lang w:eastAsia="en-US"/>
        </w:rPr>
        <w:t>reexpresado</w:t>
      </w:r>
      <w:proofErr w:type="spellEnd"/>
      <w:r w:rsidRPr="00F953F0">
        <w:rPr>
          <w:sz w:val="20"/>
          <w:szCs w:val="20"/>
          <w:lang w:eastAsia="en-US"/>
        </w:rPr>
        <w:t xml:space="preserve"> de acuerdo a lo indicado en la Nota 1.3, neto de sus depreciaciones acumuladas. Las depreciaciones han sido calculadas sobre los valores </w:t>
      </w:r>
      <w:proofErr w:type="spellStart"/>
      <w:r w:rsidRPr="00F953F0">
        <w:rPr>
          <w:sz w:val="20"/>
          <w:szCs w:val="20"/>
          <w:lang w:eastAsia="en-US"/>
        </w:rPr>
        <w:t>reexpresados</w:t>
      </w:r>
      <w:proofErr w:type="spellEnd"/>
      <w:r w:rsidRPr="00F953F0">
        <w:rPr>
          <w:sz w:val="20"/>
          <w:szCs w:val="20"/>
          <w:lang w:eastAsia="en-US"/>
        </w:rPr>
        <w:t xml:space="preserve"> de los respectivos activos.</w:t>
      </w:r>
    </w:p>
    <w:p w14:paraId="092B0F2A" w14:textId="77777777" w:rsidR="00D0618B" w:rsidRPr="00F953F0" w:rsidRDefault="00D0618B" w:rsidP="00D0618B">
      <w:pPr>
        <w:pStyle w:val="Continuarlista2"/>
        <w:ind w:left="567"/>
        <w:contextualSpacing w:val="0"/>
        <w:jc w:val="both"/>
        <w:rPr>
          <w:sz w:val="20"/>
          <w:szCs w:val="20"/>
          <w:lang w:eastAsia="en-US"/>
        </w:rPr>
      </w:pPr>
      <w:r w:rsidRPr="00F953F0">
        <w:rPr>
          <w:sz w:val="20"/>
          <w:szCs w:val="20"/>
          <w:lang w:eastAsia="en-US"/>
        </w:rPr>
        <w:t>Las depreciaciones están calculadas por el método de la línea recta en base a la vida útil estimada de los bienes, aplicando tasas anuales suficientes para extinguir sus valores al final de dicha vida útil.</w:t>
      </w:r>
    </w:p>
    <w:p w14:paraId="53F17E52" w14:textId="77777777" w:rsidR="00D0618B" w:rsidRPr="001511DA" w:rsidRDefault="00D0618B" w:rsidP="00D0618B">
      <w:pPr>
        <w:pStyle w:val="Lista2"/>
        <w:spacing w:before="120" w:after="120"/>
        <w:ind w:left="568" w:hanging="284"/>
        <w:contextualSpacing w:val="0"/>
        <w:jc w:val="both"/>
        <w:rPr>
          <w:b/>
          <w:sz w:val="20"/>
          <w:szCs w:val="20"/>
        </w:rPr>
      </w:pPr>
      <w:r w:rsidRPr="001511DA">
        <w:rPr>
          <w:b/>
          <w:sz w:val="20"/>
          <w:szCs w:val="20"/>
        </w:rPr>
        <w:t>2.</w:t>
      </w:r>
      <w:r>
        <w:rPr>
          <w:b/>
          <w:sz w:val="20"/>
          <w:szCs w:val="20"/>
        </w:rPr>
        <w:t>7</w:t>
      </w:r>
      <w:r w:rsidRPr="001511DA">
        <w:rPr>
          <w:b/>
          <w:sz w:val="20"/>
          <w:szCs w:val="20"/>
        </w:rPr>
        <w:t>.</w:t>
      </w:r>
      <w:r w:rsidRPr="001511DA">
        <w:rPr>
          <w:b/>
          <w:sz w:val="20"/>
          <w:szCs w:val="20"/>
        </w:rPr>
        <w:tab/>
        <w:t>Propiedades de Inversión</w:t>
      </w:r>
      <w:r w:rsidRPr="0084193E">
        <w:rPr>
          <w:rStyle w:val="Refdenotaalpie"/>
          <w:b/>
          <w:color w:val="FF0000"/>
          <w:sz w:val="20"/>
          <w:szCs w:val="20"/>
        </w:rPr>
        <w:footnoteReference w:id="9"/>
      </w:r>
    </w:p>
    <w:p w14:paraId="7287F53D" w14:textId="77777777" w:rsidR="00D0618B" w:rsidRPr="006D3469" w:rsidRDefault="00D0618B" w:rsidP="00D0618B">
      <w:pPr>
        <w:pStyle w:val="Continuarlista2"/>
        <w:spacing w:before="120"/>
        <w:ind w:left="567"/>
        <w:contextualSpacing w:val="0"/>
        <w:jc w:val="both"/>
        <w:rPr>
          <w:sz w:val="20"/>
          <w:szCs w:val="20"/>
          <w:lang w:eastAsia="en-US"/>
        </w:rPr>
      </w:pPr>
      <w:r w:rsidRPr="006D3469">
        <w:rPr>
          <w:sz w:val="20"/>
          <w:szCs w:val="20"/>
          <w:lang w:eastAsia="en-US"/>
        </w:rPr>
        <w:t xml:space="preserve">Las propiedades de inversión están medidas a su costo de adquisición </w:t>
      </w:r>
      <w:proofErr w:type="spellStart"/>
      <w:r w:rsidRPr="006D3469">
        <w:rPr>
          <w:sz w:val="20"/>
          <w:szCs w:val="20"/>
          <w:lang w:eastAsia="en-US"/>
        </w:rPr>
        <w:t>reexpresado</w:t>
      </w:r>
      <w:proofErr w:type="spellEnd"/>
      <w:r w:rsidRPr="006D3469">
        <w:rPr>
          <w:sz w:val="20"/>
          <w:szCs w:val="20"/>
          <w:lang w:eastAsia="en-US"/>
        </w:rPr>
        <w:t xml:space="preserve"> de acuerdo con lo indicado en la Nota 1.3, netos de sus depreciaciones acumuladas. Las depreciaciones han sido calculadas sobre los valores </w:t>
      </w:r>
      <w:proofErr w:type="spellStart"/>
      <w:r w:rsidRPr="006D3469">
        <w:rPr>
          <w:sz w:val="20"/>
          <w:szCs w:val="20"/>
          <w:lang w:eastAsia="en-US"/>
        </w:rPr>
        <w:t>reexpresados</w:t>
      </w:r>
      <w:proofErr w:type="spellEnd"/>
      <w:r w:rsidRPr="006D3469">
        <w:rPr>
          <w:sz w:val="20"/>
          <w:szCs w:val="20"/>
          <w:lang w:eastAsia="en-US"/>
        </w:rPr>
        <w:t xml:space="preserve"> de los respectivos activos.</w:t>
      </w:r>
    </w:p>
    <w:p w14:paraId="64D8231D" w14:textId="77777777" w:rsidR="00D0618B" w:rsidRPr="006D3469" w:rsidRDefault="00D0618B" w:rsidP="00D0618B">
      <w:pPr>
        <w:pStyle w:val="Continuarlista2"/>
        <w:spacing w:before="120"/>
        <w:ind w:left="567"/>
        <w:contextualSpacing w:val="0"/>
        <w:jc w:val="both"/>
        <w:rPr>
          <w:sz w:val="20"/>
          <w:szCs w:val="20"/>
          <w:lang w:eastAsia="en-US"/>
        </w:rPr>
      </w:pPr>
      <w:r w:rsidRPr="006D3469">
        <w:rPr>
          <w:sz w:val="20"/>
          <w:szCs w:val="20"/>
          <w:lang w:eastAsia="en-US"/>
        </w:rPr>
        <w:t>Las depreciaciones</w:t>
      </w:r>
      <w:r w:rsidRPr="0084193E">
        <w:rPr>
          <w:rStyle w:val="Refdenotaalpie"/>
          <w:color w:val="FF0000"/>
          <w:sz w:val="20"/>
          <w:szCs w:val="20"/>
          <w:lang w:eastAsia="en-US"/>
        </w:rPr>
        <w:footnoteReference w:id="10"/>
      </w:r>
      <w:r w:rsidRPr="0084193E">
        <w:rPr>
          <w:color w:val="FF0000"/>
          <w:sz w:val="20"/>
          <w:szCs w:val="20"/>
          <w:lang w:eastAsia="en-US"/>
        </w:rPr>
        <w:t xml:space="preserve"> </w:t>
      </w:r>
      <w:r w:rsidRPr="006D3469">
        <w:rPr>
          <w:sz w:val="20"/>
          <w:szCs w:val="20"/>
          <w:lang w:eastAsia="en-US"/>
        </w:rPr>
        <w:t xml:space="preserve">están calculadas por el método de la línea recta en base a la vida útil estimada de los bienes, aplicando tasas anuales suficientes para extinguir sus valores al final de dicha vida útil. </w:t>
      </w:r>
    </w:p>
    <w:p w14:paraId="52C7F669" w14:textId="77777777" w:rsidR="00D0618B" w:rsidRPr="001511DA" w:rsidRDefault="00D0618B" w:rsidP="00D0618B">
      <w:pPr>
        <w:pStyle w:val="Lista2"/>
        <w:jc w:val="both"/>
        <w:rPr>
          <w:b/>
          <w:sz w:val="20"/>
          <w:szCs w:val="20"/>
        </w:rPr>
      </w:pPr>
      <w:r w:rsidRPr="001511DA">
        <w:rPr>
          <w:b/>
          <w:sz w:val="20"/>
          <w:szCs w:val="20"/>
        </w:rPr>
        <w:t>2.</w:t>
      </w:r>
      <w:r>
        <w:rPr>
          <w:b/>
          <w:sz w:val="20"/>
          <w:szCs w:val="20"/>
        </w:rPr>
        <w:t>8</w:t>
      </w:r>
      <w:r w:rsidRPr="001511DA">
        <w:rPr>
          <w:b/>
          <w:sz w:val="20"/>
          <w:szCs w:val="20"/>
        </w:rPr>
        <w:t>.</w:t>
      </w:r>
      <w:r w:rsidRPr="001511DA">
        <w:rPr>
          <w:b/>
          <w:sz w:val="20"/>
          <w:szCs w:val="20"/>
        </w:rPr>
        <w:tab/>
        <w:t>Activos intangibles</w:t>
      </w:r>
      <w:r w:rsidRPr="0084193E">
        <w:rPr>
          <w:rStyle w:val="Refdenotaalpie"/>
          <w:b/>
          <w:color w:val="FF0000"/>
          <w:sz w:val="20"/>
          <w:szCs w:val="20"/>
        </w:rPr>
        <w:footnoteReference w:id="11"/>
      </w:r>
    </w:p>
    <w:p w14:paraId="5C45030B" w14:textId="77777777" w:rsidR="00D0618B" w:rsidRPr="006D3469" w:rsidRDefault="00D0618B" w:rsidP="00D0618B">
      <w:pPr>
        <w:pStyle w:val="Continuarlista2"/>
        <w:spacing w:before="120"/>
        <w:ind w:left="567"/>
        <w:contextualSpacing w:val="0"/>
        <w:jc w:val="both"/>
        <w:rPr>
          <w:sz w:val="20"/>
          <w:szCs w:val="20"/>
          <w:lang w:eastAsia="en-US"/>
        </w:rPr>
      </w:pPr>
      <w:r w:rsidRPr="006D3469">
        <w:rPr>
          <w:sz w:val="20"/>
          <w:szCs w:val="20"/>
          <w:lang w:eastAsia="en-US"/>
        </w:rPr>
        <w:t xml:space="preserve">Los activos intangibles están medidos a su costo de adquisición </w:t>
      </w:r>
      <w:proofErr w:type="spellStart"/>
      <w:r w:rsidRPr="006D3469">
        <w:rPr>
          <w:sz w:val="20"/>
          <w:szCs w:val="20"/>
          <w:lang w:eastAsia="en-US"/>
        </w:rPr>
        <w:t>reexpresado</w:t>
      </w:r>
      <w:proofErr w:type="spellEnd"/>
      <w:r w:rsidRPr="006D3469">
        <w:rPr>
          <w:sz w:val="20"/>
          <w:szCs w:val="20"/>
          <w:lang w:eastAsia="en-US"/>
        </w:rPr>
        <w:t xml:space="preserve"> de acuerdo a lo indicado en la Nota 1.3, netos de sus amortizaciones acumuladas. Las amortizaciones han sido calculadas sobre los valores </w:t>
      </w:r>
      <w:proofErr w:type="spellStart"/>
      <w:r w:rsidRPr="006D3469">
        <w:rPr>
          <w:sz w:val="20"/>
          <w:szCs w:val="20"/>
          <w:lang w:eastAsia="en-US"/>
        </w:rPr>
        <w:t>reexpresados</w:t>
      </w:r>
      <w:proofErr w:type="spellEnd"/>
      <w:r w:rsidRPr="006D3469">
        <w:rPr>
          <w:sz w:val="20"/>
          <w:szCs w:val="20"/>
          <w:lang w:eastAsia="en-US"/>
        </w:rPr>
        <w:t xml:space="preserve"> de los respectivos activos.</w:t>
      </w:r>
    </w:p>
    <w:p w14:paraId="5E92A239" w14:textId="77777777" w:rsidR="00D0618B" w:rsidRPr="00705621" w:rsidRDefault="00D0618B" w:rsidP="00D0618B">
      <w:pPr>
        <w:pStyle w:val="Continuarlista2"/>
        <w:spacing w:before="120"/>
        <w:ind w:left="567"/>
        <w:contextualSpacing w:val="0"/>
        <w:jc w:val="both"/>
        <w:rPr>
          <w:sz w:val="20"/>
          <w:szCs w:val="20"/>
          <w:lang w:eastAsia="en-US"/>
        </w:rPr>
      </w:pPr>
      <w:r w:rsidRPr="006D3469">
        <w:rPr>
          <w:sz w:val="20"/>
          <w:szCs w:val="20"/>
          <w:lang w:eastAsia="en-US"/>
        </w:rPr>
        <w:t>Las amortizaciones están calculadas por el método de la línea recta en base a la vida útil estimada de los bienes, aplicando tasas anuales suficientes para extinguir sus valores al final de dicha vida útil.</w:t>
      </w:r>
      <w:r>
        <w:rPr>
          <w:color w:val="000000"/>
          <w:sz w:val="20"/>
          <w:szCs w:val="20"/>
        </w:rPr>
        <w:br w:type="page"/>
      </w:r>
    </w:p>
    <w:p w14:paraId="3A664DC2" w14:textId="77777777" w:rsidR="00D0618B" w:rsidRDefault="00D0618B" w:rsidP="00D0618B">
      <w:pPr>
        <w:pBdr>
          <w:top w:val="nil"/>
          <w:left w:val="nil"/>
          <w:bottom w:val="nil"/>
          <w:right w:val="nil"/>
          <w:between w:val="nil"/>
        </w:pBdr>
        <w:jc w:val="both"/>
        <w:rPr>
          <w:color w:val="000000"/>
          <w:sz w:val="20"/>
          <w:szCs w:val="20"/>
        </w:rPr>
      </w:pPr>
    </w:p>
    <w:p w14:paraId="01C1D848" w14:textId="77777777" w:rsidR="00D0618B" w:rsidRDefault="00D0618B" w:rsidP="00D0618B">
      <w:pPr>
        <w:pBdr>
          <w:top w:val="nil"/>
          <w:left w:val="nil"/>
          <w:bottom w:val="nil"/>
          <w:right w:val="nil"/>
          <w:between w:val="nil"/>
        </w:pBdr>
        <w:ind w:left="284"/>
        <w:jc w:val="both"/>
        <w:rPr>
          <w:b/>
          <w:sz w:val="20"/>
          <w:szCs w:val="20"/>
        </w:rPr>
      </w:pPr>
      <w:r w:rsidRPr="00A47A10">
        <w:rPr>
          <w:b/>
          <w:sz w:val="20"/>
          <w:szCs w:val="20"/>
        </w:rPr>
        <w:t xml:space="preserve">2.9 Valor recuperable de los Bienes de Uso, Propiedades de </w:t>
      </w:r>
      <w:r>
        <w:rPr>
          <w:b/>
          <w:sz w:val="20"/>
          <w:szCs w:val="20"/>
        </w:rPr>
        <w:t>inversión y Activos intangibles</w:t>
      </w:r>
    </w:p>
    <w:p w14:paraId="0492FC9B" w14:textId="77777777" w:rsidR="00D0618B" w:rsidRDefault="00D0618B" w:rsidP="00D0618B">
      <w:pPr>
        <w:pBdr>
          <w:top w:val="nil"/>
          <w:left w:val="nil"/>
          <w:bottom w:val="nil"/>
          <w:right w:val="nil"/>
          <w:between w:val="nil"/>
        </w:pBdr>
        <w:ind w:left="284"/>
        <w:jc w:val="both"/>
      </w:pPr>
    </w:p>
    <w:p w14:paraId="15F16D80" w14:textId="77777777" w:rsidR="00D0618B" w:rsidRDefault="00D0618B" w:rsidP="00D0618B">
      <w:pPr>
        <w:pBdr>
          <w:top w:val="nil"/>
          <w:left w:val="nil"/>
          <w:bottom w:val="nil"/>
          <w:right w:val="nil"/>
          <w:between w:val="nil"/>
        </w:pBdr>
        <w:ind w:left="567"/>
        <w:jc w:val="both"/>
        <w:rPr>
          <w:sz w:val="20"/>
          <w:szCs w:val="20"/>
          <w:lang w:val="es-AR"/>
        </w:rPr>
      </w:pPr>
      <w:r w:rsidRPr="00ED099E">
        <w:rPr>
          <w:sz w:val="20"/>
          <w:szCs w:val="20"/>
          <w:lang w:val="es-AR"/>
        </w:rPr>
        <w:t xml:space="preserve">La entidad evalúa en cada cierre </w:t>
      </w:r>
      <w:r>
        <w:rPr>
          <w:sz w:val="20"/>
          <w:szCs w:val="20"/>
          <w:lang w:val="es-AR"/>
        </w:rPr>
        <w:t>la existencia de</w:t>
      </w:r>
      <w:r w:rsidRPr="00ED099E">
        <w:rPr>
          <w:sz w:val="20"/>
          <w:szCs w:val="20"/>
          <w:lang w:val="es-AR"/>
        </w:rPr>
        <w:t xml:space="preserve"> indicios de deterioro que puedan determinar la necesidad de comparar la medición contable de los activos </w:t>
      </w:r>
      <w:r>
        <w:rPr>
          <w:sz w:val="20"/>
          <w:szCs w:val="20"/>
          <w:lang w:val="es-AR"/>
        </w:rPr>
        <w:t>mencionados</w:t>
      </w:r>
      <w:r w:rsidRPr="00ED099E">
        <w:rPr>
          <w:sz w:val="20"/>
          <w:szCs w:val="20"/>
          <w:lang w:val="es-AR"/>
        </w:rPr>
        <w:t xml:space="preserve"> con su valor recuperable, excepto en el caso que el resultado obtenido en cada uno de los últimos tres ejercicios (incluido el actual) sea positivo.  </w:t>
      </w:r>
    </w:p>
    <w:p w14:paraId="6A0291E4" w14:textId="77777777" w:rsidR="00D0618B" w:rsidRDefault="00D0618B" w:rsidP="00D0618B">
      <w:pPr>
        <w:pBdr>
          <w:top w:val="nil"/>
          <w:left w:val="nil"/>
          <w:bottom w:val="nil"/>
          <w:right w:val="nil"/>
          <w:between w:val="nil"/>
        </w:pBdr>
        <w:spacing w:before="120" w:after="120"/>
        <w:ind w:left="567"/>
        <w:jc w:val="both"/>
        <w:rPr>
          <w:sz w:val="20"/>
          <w:szCs w:val="20"/>
          <w:lang w:val="es-AR"/>
        </w:rPr>
      </w:pPr>
      <w:r>
        <w:rPr>
          <w:sz w:val="20"/>
          <w:szCs w:val="20"/>
          <w:lang w:val="es-AR"/>
        </w:rPr>
        <w:t>En el presente ejercicio, la entidad no ha identificado indicios de deterioro.</w:t>
      </w:r>
      <w:r w:rsidRPr="00BC2AE1">
        <w:rPr>
          <w:rStyle w:val="Refdenotaalpie"/>
          <w:b/>
          <w:color w:val="FF0000"/>
          <w:sz w:val="20"/>
          <w:szCs w:val="20"/>
          <w:lang w:val="es-AR"/>
        </w:rPr>
        <w:footnoteReference w:id="12"/>
      </w:r>
    </w:p>
    <w:p w14:paraId="7FA3D6F1" w14:textId="77777777" w:rsidR="00D0618B" w:rsidRPr="00C31B48" w:rsidRDefault="00D0618B" w:rsidP="00D0618B">
      <w:pPr>
        <w:pBdr>
          <w:top w:val="nil"/>
          <w:left w:val="nil"/>
          <w:bottom w:val="nil"/>
          <w:right w:val="nil"/>
          <w:between w:val="nil"/>
        </w:pBdr>
        <w:spacing w:before="120" w:after="120"/>
        <w:ind w:left="284"/>
        <w:jc w:val="both"/>
        <w:rPr>
          <w:b/>
          <w:sz w:val="20"/>
          <w:szCs w:val="20"/>
        </w:rPr>
      </w:pPr>
      <w:r w:rsidRPr="00830945">
        <w:rPr>
          <w:b/>
          <w:sz w:val="20"/>
          <w:szCs w:val="20"/>
        </w:rPr>
        <w:t>2.10 Otras inversiones</w:t>
      </w:r>
    </w:p>
    <w:p w14:paraId="4B79CE7E" w14:textId="77777777" w:rsidR="00D0618B" w:rsidRDefault="00D0618B" w:rsidP="00D0618B">
      <w:pPr>
        <w:pBdr>
          <w:top w:val="nil"/>
          <w:left w:val="nil"/>
          <w:bottom w:val="nil"/>
          <w:right w:val="nil"/>
          <w:between w:val="nil"/>
        </w:pBdr>
        <w:spacing w:before="120" w:after="120"/>
        <w:ind w:left="567"/>
        <w:jc w:val="both"/>
        <w:rPr>
          <w:sz w:val="20"/>
          <w:szCs w:val="20"/>
          <w:lang w:eastAsia="en-US"/>
        </w:rPr>
      </w:pPr>
      <w:r>
        <w:rPr>
          <w:sz w:val="20"/>
          <w:szCs w:val="20"/>
          <w:lang w:val="es-AR"/>
        </w:rPr>
        <w:t xml:space="preserve">Las otras inversiones cuyos activos tienen disponible un precio directamente observable se miden a su valor razonable o cotización sucedánea. En el resto de los casos se mide al costo de adquisición </w:t>
      </w:r>
      <w:proofErr w:type="spellStart"/>
      <w:r w:rsidRPr="006D3469">
        <w:rPr>
          <w:sz w:val="20"/>
          <w:szCs w:val="20"/>
          <w:lang w:eastAsia="en-US"/>
        </w:rPr>
        <w:t>reexpresado</w:t>
      </w:r>
      <w:proofErr w:type="spellEnd"/>
      <w:r w:rsidRPr="006D3469">
        <w:rPr>
          <w:sz w:val="20"/>
          <w:szCs w:val="20"/>
          <w:lang w:eastAsia="en-US"/>
        </w:rPr>
        <w:t xml:space="preserve"> de acuerdo con lo indicado en la Nota 1.3</w:t>
      </w:r>
      <w:r>
        <w:rPr>
          <w:sz w:val="20"/>
          <w:szCs w:val="20"/>
          <w:lang w:eastAsia="en-US"/>
        </w:rPr>
        <w:t>.</w:t>
      </w:r>
    </w:p>
    <w:p w14:paraId="1AF383D4" w14:textId="77777777" w:rsidR="00D0618B" w:rsidRDefault="00D0618B" w:rsidP="00D0618B">
      <w:pPr>
        <w:pBdr>
          <w:top w:val="nil"/>
          <w:left w:val="nil"/>
          <w:bottom w:val="nil"/>
          <w:right w:val="nil"/>
          <w:between w:val="nil"/>
        </w:pBdr>
        <w:spacing w:before="120" w:after="120"/>
        <w:ind w:left="567"/>
        <w:jc w:val="both"/>
        <w:rPr>
          <w:sz w:val="20"/>
          <w:szCs w:val="20"/>
          <w:lang w:val="es-AR"/>
        </w:rPr>
      </w:pPr>
      <w:r>
        <w:rPr>
          <w:sz w:val="20"/>
          <w:szCs w:val="20"/>
          <w:lang w:val="es-AR"/>
        </w:rPr>
        <w:t>En el presente ejercicio, la entidad no ha identificado indicios de deterioro para estos activos.</w:t>
      </w:r>
    </w:p>
    <w:p w14:paraId="0B151D82" w14:textId="77777777" w:rsidR="00D0618B" w:rsidRPr="008C2B00" w:rsidRDefault="00D0618B" w:rsidP="00D0618B">
      <w:pPr>
        <w:pStyle w:val="Lista2"/>
        <w:jc w:val="both"/>
        <w:rPr>
          <w:b/>
          <w:sz w:val="20"/>
          <w:szCs w:val="20"/>
        </w:rPr>
      </w:pPr>
      <w:r w:rsidRPr="00232447">
        <w:rPr>
          <w:b/>
          <w:sz w:val="20"/>
          <w:szCs w:val="20"/>
        </w:rPr>
        <w:t>2.1</w:t>
      </w:r>
      <w:r>
        <w:rPr>
          <w:b/>
          <w:sz w:val="20"/>
          <w:szCs w:val="20"/>
        </w:rPr>
        <w:t>1</w:t>
      </w:r>
      <w:r w:rsidRPr="00232447">
        <w:rPr>
          <w:b/>
          <w:sz w:val="20"/>
          <w:szCs w:val="20"/>
        </w:rPr>
        <w:t xml:space="preserve">. Deudas con proveedores de bienes y servicios, Deudas fiscales, Deudas laborales y previsionales, y </w:t>
      </w:r>
      <w:r>
        <w:rPr>
          <w:b/>
          <w:sz w:val="20"/>
          <w:szCs w:val="20"/>
        </w:rPr>
        <w:t>Otras deudas con terceros en moneda, fondos con destino específico</w:t>
      </w:r>
      <w:r w:rsidRPr="00232447">
        <w:rPr>
          <w:rStyle w:val="Refdenotaalpie"/>
          <w:b/>
          <w:sz w:val="20"/>
          <w:szCs w:val="20"/>
        </w:rPr>
        <w:t xml:space="preserve"> </w:t>
      </w:r>
      <w:r w:rsidRPr="00232447">
        <w:rPr>
          <w:rStyle w:val="Refdenotaalpie"/>
          <w:b/>
          <w:color w:val="FF0000"/>
          <w:sz w:val="20"/>
          <w:szCs w:val="20"/>
        </w:rPr>
        <w:footnoteReference w:id="13"/>
      </w:r>
    </w:p>
    <w:p w14:paraId="4419AE43" w14:textId="77777777" w:rsidR="00D0618B" w:rsidRPr="00B30449" w:rsidRDefault="00D0618B" w:rsidP="00D0618B">
      <w:pPr>
        <w:pStyle w:val="Textoindependienteprimerasangra2"/>
        <w:spacing w:before="120" w:after="120"/>
        <w:ind w:left="567" w:firstLine="0"/>
        <w:jc w:val="both"/>
        <w:rPr>
          <w:color w:val="000000"/>
          <w:sz w:val="20"/>
          <w:szCs w:val="20"/>
        </w:rPr>
      </w:pPr>
      <w:r w:rsidRPr="00B30449">
        <w:rPr>
          <w:sz w:val="20"/>
          <w:szCs w:val="20"/>
          <w:lang w:val="es-AR"/>
        </w:rPr>
        <w:t xml:space="preserve">Las deudas </w:t>
      </w:r>
      <w:r>
        <w:rPr>
          <w:sz w:val="20"/>
          <w:szCs w:val="20"/>
          <w:lang w:val="es-AR"/>
        </w:rPr>
        <w:t>con p</w:t>
      </w:r>
      <w:r w:rsidRPr="006D3469">
        <w:rPr>
          <w:sz w:val="20"/>
          <w:szCs w:val="20"/>
          <w:lang w:val="es-AR"/>
        </w:rPr>
        <w:t>rov</w:t>
      </w:r>
      <w:r>
        <w:rPr>
          <w:sz w:val="20"/>
          <w:szCs w:val="20"/>
          <w:lang w:val="es-AR"/>
        </w:rPr>
        <w:t>eedores de bienes y servicios, deudas fiscales, d</w:t>
      </w:r>
      <w:r w:rsidRPr="006D3469">
        <w:rPr>
          <w:sz w:val="20"/>
          <w:szCs w:val="20"/>
          <w:lang w:val="es-AR"/>
        </w:rPr>
        <w:t>euda</w:t>
      </w:r>
      <w:r>
        <w:rPr>
          <w:sz w:val="20"/>
          <w:szCs w:val="20"/>
          <w:lang w:val="es-AR"/>
        </w:rPr>
        <w:t>s laborales y previsionales, otras d</w:t>
      </w:r>
      <w:r w:rsidRPr="006D3469">
        <w:rPr>
          <w:sz w:val="20"/>
          <w:szCs w:val="20"/>
          <w:lang w:val="es-AR"/>
        </w:rPr>
        <w:t>eudas</w:t>
      </w:r>
      <w:r>
        <w:rPr>
          <w:sz w:val="20"/>
          <w:szCs w:val="20"/>
          <w:lang w:val="es-AR"/>
        </w:rPr>
        <w:t xml:space="preserve"> con terceros en moneda y fondos con destino específico </w:t>
      </w:r>
      <w:r w:rsidRPr="00B30449">
        <w:rPr>
          <w:sz w:val="20"/>
          <w:szCs w:val="20"/>
          <w:lang w:val="es-AR"/>
        </w:rPr>
        <w:t xml:space="preserve">se miden por su </w:t>
      </w:r>
      <w:r>
        <w:rPr>
          <w:sz w:val="20"/>
          <w:szCs w:val="20"/>
          <w:lang w:val="es-AR"/>
        </w:rPr>
        <w:t>valor</w:t>
      </w:r>
      <w:r w:rsidRPr="00B30449">
        <w:rPr>
          <w:sz w:val="20"/>
          <w:szCs w:val="20"/>
          <w:lang w:val="es-AR"/>
        </w:rPr>
        <w:t xml:space="preserve"> nominal</w:t>
      </w:r>
      <w:r w:rsidRPr="00B30449">
        <w:rPr>
          <w:color w:val="000000"/>
          <w:sz w:val="20"/>
          <w:szCs w:val="20"/>
        </w:rPr>
        <w:t>.</w:t>
      </w:r>
    </w:p>
    <w:p w14:paraId="283F165C" w14:textId="77777777" w:rsidR="00D0618B" w:rsidRPr="001511DA" w:rsidRDefault="00D0618B" w:rsidP="00D0618B">
      <w:pPr>
        <w:pStyle w:val="Lista2"/>
        <w:jc w:val="both"/>
        <w:rPr>
          <w:b/>
          <w:sz w:val="20"/>
          <w:szCs w:val="20"/>
        </w:rPr>
      </w:pPr>
      <w:r w:rsidRPr="001511DA">
        <w:rPr>
          <w:b/>
          <w:sz w:val="20"/>
          <w:szCs w:val="20"/>
        </w:rPr>
        <w:t>2.1</w:t>
      </w:r>
      <w:r>
        <w:rPr>
          <w:b/>
          <w:sz w:val="20"/>
          <w:szCs w:val="20"/>
        </w:rPr>
        <w:t>2</w:t>
      </w:r>
      <w:r w:rsidRPr="001511DA">
        <w:rPr>
          <w:b/>
          <w:sz w:val="20"/>
          <w:szCs w:val="20"/>
        </w:rPr>
        <w:t>.</w:t>
      </w:r>
      <w:r>
        <w:rPr>
          <w:b/>
          <w:sz w:val="20"/>
          <w:szCs w:val="20"/>
        </w:rPr>
        <w:t xml:space="preserve"> </w:t>
      </w:r>
      <w:r w:rsidRPr="001511DA">
        <w:rPr>
          <w:b/>
          <w:sz w:val="20"/>
          <w:szCs w:val="20"/>
        </w:rPr>
        <w:t>Préstamos y otros pasivos financieros</w:t>
      </w:r>
      <w:r w:rsidRPr="0084193E">
        <w:rPr>
          <w:rStyle w:val="Refdenotaalpie"/>
          <w:b/>
          <w:color w:val="FF0000"/>
          <w:sz w:val="20"/>
          <w:szCs w:val="20"/>
        </w:rPr>
        <w:footnoteReference w:id="14"/>
      </w:r>
    </w:p>
    <w:p w14:paraId="17498EFB" w14:textId="77777777" w:rsidR="00D0618B" w:rsidRPr="00B30449" w:rsidRDefault="00D0618B" w:rsidP="00D0618B">
      <w:pPr>
        <w:pBdr>
          <w:top w:val="nil"/>
          <w:left w:val="nil"/>
          <w:bottom w:val="nil"/>
          <w:right w:val="nil"/>
          <w:between w:val="nil"/>
        </w:pBdr>
        <w:jc w:val="both"/>
        <w:rPr>
          <w:color w:val="000000"/>
          <w:sz w:val="20"/>
          <w:szCs w:val="20"/>
        </w:rPr>
      </w:pPr>
    </w:p>
    <w:p w14:paraId="7BFEF890" w14:textId="77777777" w:rsidR="00D0618B" w:rsidRDefault="00D0618B" w:rsidP="00D0618B">
      <w:pPr>
        <w:pStyle w:val="Textoindependienteprimerasangra2"/>
        <w:ind w:left="567" w:firstLine="0"/>
        <w:jc w:val="both"/>
        <w:rPr>
          <w:sz w:val="20"/>
          <w:szCs w:val="20"/>
        </w:rPr>
      </w:pPr>
      <w:r w:rsidRPr="006D3469">
        <w:rPr>
          <w:sz w:val="20"/>
          <w:szCs w:val="20"/>
        </w:rPr>
        <w:t>Los préstamos y otros pasivos financieros se miden a su costo amortizado,</w:t>
      </w:r>
      <w:r w:rsidRPr="006D3469">
        <w:rPr>
          <w:sz w:val="20"/>
          <w:szCs w:val="20"/>
          <w:lang w:val="es-AR"/>
        </w:rPr>
        <w:t xml:space="preserve"> utilizando el método de la tasa de interés efectiva</w:t>
      </w:r>
      <w:r w:rsidRPr="006D3469">
        <w:rPr>
          <w:sz w:val="20"/>
          <w:szCs w:val="20"/>
        </w:rPr>
        <w:t>.</w:t>
      </w:r>
    </w:p>
    <w:p w14:paraId="7F92B427" w14:textId="77777777" w:rsidR="00D0618B" w:rsidRPr="00232447" w:rsidRDefault="00D0618B" w:rsidP="00D0618B">
      <w:pPr>
        <w:pStyle w:val="Lista2"/>
        <w:spacing w:before="120" w:after="120"/>
        <w:ind w:left="568" w:hanging="284"/>
        <w:jc w:val="both"/>
        <w:rPr>
          <w:b/>
          <w:sz w:val="20"/>
          <w:szCs w:val="20"/>
        </w:rPr>
      </w:pPr>
      <w:r w:rsidRPr="00232447">
        <w:rPr>
          <w:b/>
          <w:sz w:val="20"/>
          <w:szCs w:val="20"/>
        </w:rPr>
        <w:t>2.1</w:t>
      </w:r>
      <w:r>
        <w:rPr>
          <w:b/>
          <w:sz w:val="20"/>
          <w:szCs w:val="20"/>
        </w:rPr>
        <w:t>3</w:t>
      </w:r>
      <w:r w:rsidRPr="00232447">
        <w:rPr>
          <w:b/>
          <w:sz w:val="20"/>
          <w:szCs w:val="20"/>
        </w:rPr>
        <w:t>. Subsidios y otras ayudas gubernamentales</w:t>
      </w:r>
    </w:p>
    <w:p w14:paraId="3A164882" w14:textId="77777777" w:rsidR="00D0618B" w:rsidRDefault="00D0618B" w:rsidP="00D0618B">
      <w:pPr>
        <w:pStyle w:val="Textoindependienteprimerasangra2"/>
        <w:spacing w:before="120" w:after="120"/>
        <w:ind w:left="567" w:firstLine="0"/>
        <w:jc w:val="both"/>
        <w:rPr>
          <w:sz w:val="20"/>
          <w:szCs w:val="20"/>
          <w:lang w:val="es-AR"/>
        </w:rPr>
      </w:pPr>
      <w:r w:rsidRPr="00B30449">
        <w:rPr>
          <w:sz w:val="20"/>
          <w:szCs w:val="20"/>
          <w:lang w:val="es-AR"/>
        </w:rPr>
        <w:t>L</w:t>
      </w:r>
      <w:r>
        <w:rPr>
          <w:sz w:val="20"/>
          <w:szCs w:val="20"/>
          <w:lang w:val="es-AR"/>
        </w:rPr>
        <w:t>os s</w:t>
      </w:r>
      <w:r w:rsidRPr="00021E69">
        <w:rPr>
          <w:sz w:val="20"/>
          <w:szCs w:val="20"/>
          <w:lang w:val="es-AR"/>
        </w:rPr>
        <w:t xml:space="preserve">ubsidios y otras ayudas gubernamentales </w:t>
      </w:r>
      <w:r w:rsidRPr="002B2578">
        <w:rPr>
          <w:sz w:val="20"/>
          <w:szCs w:val="20"/>
          <w:lang w:val="es-AR"/>
        </w:rPr>
        <w:t>son reconocidos cuando son recibidos o se recepción sea probable. En los casos en los que los subsidios están sujetos al cumplimiento de condiciones futuras, se presentan como “Subsidios y otras ayudas gubernamentales” como una partida de pasivo en el estado de situación patrimonial, y en los casos en las condiciones fueron cumplidas se los presenta como ingresos en el rubro “Otros ingresos y egresos” en el estado de resultados.</w:t>
      </w:r>
    </w:p>
    <w:p w14:paraId="03E88550" w14:textId="77777777" w:rsidR="00D0618B" w:rsidRPr="00B30449" w:rsidRDefault="00D0618B" w:rsidP="00D0618B">
      <w:pPr>
        <w:pStyle w:val="Textoindependienteprimerasangra2"/>
        <w:spacing w:before="120" w:after="120"/>
        <w:ind w:left="567" w:firstLine="0"/>
        <w:jc w:val="both"/>
        <w:rPr>
          <w:color w:val="000000"/>
          <w:sz w:val="20"/>
          <w:szCs w:val="20"/>
        </w:rPr>
      </w:pPr>
      <w:r>
        <w:rPr>
          <w:sz w:val="20"/>
          <w:szCs w:val="20"/>
          <w:lang w:val="es-AR"/>
        </w:rPr>
        <w:t>Estas partidas se miden p</w:t>
      </w:r>
      <w:r w:rsidRPr="00227922">
        <w:rPr>
          <w:sz w:val="20"/>
          <w:szCs w:val="20"/>
          <w:lang w:val="es-AR"/>
        </w:rPr>
        <w:t>or el importe establecido en la documentación que respalda la transacción</w:t>
      </w:r>
      <w:r>
        <w:rPr>
          <w:sz w:val="20"/>
          <w:szCs w:val="20"/>
          <w:lang w:val="es-AR"/>
        </w:rPr>
        <w:t xml:space="preserve"> cuando éste se encuentra explicitado, en el resto de los casos se mide al valor razonable del activo, o en su defecto a su cotización sucedánea.</w:t>
      </w:r>
    </w:p>
    <w:p w14:paraId="0A4EF8A0" w14:textId="77777777" w:rsidR="00D0618B" w:rsidRPr="00B30449" w:rsidRDefault="00D0618B" w:rsidP="00D0618B">
      <w:pPr>
        <w:pStyle w:val="Textoindependienteprimerasangra2"/>
        <w:ind w:left="567" w:firstLine="0"/>
        <w:jc w:val="both"/>
        <w:rPr>
          <w:sz w:val="20"/>
          <w:szCs w:val="20"/>
        </w:rPr>
      </w:pPr>
    </w:p>
    <w:p w14:paraId="12A4CC33" w14:textId="77777777" w:rsidR="00D0618B" w:rsidRPr="00232447" w:rsidRDefault="00D0618B" w:rsidP="00D0618B">
      <w:pPr>
        <w:pStyle w:val="Lista2"/>
        <w:jc w:val="both"/>
        <w:rPr>
          <w:b/>
          <w:sz w:val="20"/>
          <w:szCs w:val="20"/>
        </w:rPr>
      </w:pPr>
      <w:r w:rsidRPr="00232447">
        <w:rPr>
          <w:b/>
          <w:sz w:val="20"/>
          <w:szCs w:val="20"/>
        </w:rPr>
        <w:t>2.13. Previsiones y otros pasivos contingentes</w:t>
      </w:r>
    </w:p>
    <w:p w14:paraId="573A6B3C" w14:textId="77777777" w:rsidR="00D0618B" w:rsidRPr="00232447" w:rsidRDefault="00D0618B" w:rsidP="00D0618B">
      <w:pPr>
        <w:pStyle w:val="Continuarlista2"/>
        <w:spacing w:before="120"/>
        <w:ind w:left="567"/>
        <w:contextualSpacing w:val="0"/>
        <w:jc w:val="both"/>
        <w:rPr>
          <w:sz w:val="20"/>
          <w:szCs w:val="20"/>
          <w:lang w:val="es-AR"/>
        </w:rPr>
      </w:pPr>
      <w:r w:rsidRPr="00232447">
        <w:rPr>
          <w:sz w:val="20"/>
          <w:szCs w:val="20"/>
          <w:lang w:val="es-AR"/>
        </w:rPr>
        <w:t xml:space="preserve">Las previsiones se miden al valor nominal de la mejor estimación de los montos a cada fecha de ejercicio, considerando la probabilidad y el momento de su concreción tomando en cuenta las expectativas del Órgano de Administración de la entidad y la opinión de los asesores legales sobre la base de la información disponible a la fecha de emisión de los presentes estados contables, incluyendo honorarios y costas judiciales. </w:t>
      </w:r>
    </w:p>
    <w:p w14:paraId="7730CB2A" w14:textId="77777777" w:rsidR="00D0618B" w:rsidRPr="00232447" w:rsidRDefault="00D0618B" w:rsidP="00D0618B">
      <w:pPr>
        <w:pStyle w:val="Continuarlista2"/>
        <w:spacing w:before="120"/>
        <w:ind w:left="567"/>
        <w:contextualSpacing w:val="0"/>
        <w:jc w:val="both"/>
        <w:rPr>
          <w:color w:val="FF0000"/>
          <w:sz w:val="20"/>
          <w:szCs w:val="20"/>
          <w:lang w:val="es-AR"/>
        </w:rPr>
      </w:pPr>
      <w:r w:rsidRPr="00232447">
        <w:rPr>
          <w:sz w:val="20"/>
          <w:szCs w:val="20"/>
          <w:lang w:val="es-AR"/>
        </w:rPr>
        <w:t>Adicionalmente, existen otras causas laborales, civiles y comerciales</w:t>
      </w:r>
      <w:r w:rsidRPr="00232447">
        <w:rPr>
          <w:i/>
          <w:sz w:val="20"/>
          <w:szCs w:val="20"/>
          <w:lang w:val="es-AR"/>
        </w:rPr>
        <w:t xml:space="preserve"> </w:t>
      </w:r>
      <w:r w:rsidRPr="00232447">
        <w:rPr>
          <w:sz w:val="20"/>
          <w:szCs w:val="20"/>
          <w:lang w:val="es-AR"/>
        </w:rPr>
        <w:t xml:space="preserve">que no son individualmente significativos en las que la entidad es demandada por un monto total de </w:t>
      </w:r>
      <w:proofErr w:type="gramStart"/>
      <w:r w:rsidRPr="00232447">
        <w:rPr>
          <w:sz w:val="20"/>
          <w:szCs w:val="20"/>
          <w:lang w:val="es-AR"/>
        </w:rPr>
        <w:t>$....</w:t>
      </w:r>
      <w:proofErr w:type="gramEnd"/>
      <w:r w:rsidRPr="00232447">
        <w:rPr>
          <w:sz w:val="20"/>
          <w:szCs w:val="20"/>
          <w:lang w:val="es-AR"/>
        </w:rPr>
        <w:t xml:space="preserve">. para los cuales no se ha constituido previsión debido a que la entidad, en base a los elementos de juicio disponibles a la fecha y a la opinión de sus asesores legales e impositivos ha considerado que constituyen </w:t>
      </w:r>
      <w:r w:rsidRPr="00232447">
        <w:rPr>
          <w:sz w:val="20"/>
          <w:szCs w:val="20"/>
          <w:lang w:val="es-AR"/>
        </w:rPr>
        <w:lastRenderedPageBreak/>
        <w:t>contingencias posibles</w:t>
      </w:r>
      <w:r w:rsidRPr="002E177E">
        <w:rPr>
          <w:rStyle w:val="Refdenotaalpie"/>
          <w:b/>
          <w:color w:val="FF0000"/>
          <w:sz w:val="20"/>
          <w:szCs w:val="20"/>
          <w:lang w:val="es-AR"/>
        </w:rPr>
        <w:footnoteReference w:id="15"/>
      </w:r>
      <w:r w:rsidRPr="00232447">
        <w:rPr>
          <w:color w:val="FF0000"/>
          <w:sz w:val="20"/>
          <w:szCs w:val="20"/>
          <w:lang w:val="es-AR"/>
        </w:rPr>
        <w:t>.</w:t>
      </w:r>
    </w:p>
    <w:p w14:paraId="25EEF974" w14:textId="77777777" w:rsidR="00D0618B" w:rsidRPr="00232447" w:rsidRDefault="00D0618B" w:rsidP="00D0618B">
      <w:pPr>
        <w:pStyle w:val="Lista2"/>
        <w:jc w:val="both"/>
        <w:rPr>
          <w:b/>
          <w:sz w:val="20"/>
          <w:szCs w:val="20"/>
        </w:rPr>
      </w:pPr>
    </w:p>
    <w:p w14:paraId="5BE49FE5" w14:textId="77777777" w:rsidR="00D0618B" w:rsidRPr="00232447" w:rsidRDefault="00D0618B" w:rsidP="00D0618B">
      <w:pPr>
        <w:pStyle w:val="Lista2"/>
        <w:jc w:val="both"/>
        <w:rPr>
          <w:b/>
          <w:sz w:val="20"/>
          <w:szCs w:val="20"/>
        </w:rPr>
      </w:pPr>
      <w:r w:rsidRPr="00232447">
        <w:rPr>
          <w:b/>
          <w:sz w:val="20"/>
          <w:szCs w:val="20"/>
        </w:rPr>
        <w:t>2.15. Gastos por productos consumidos o vendidos</w:t>
      </w:r>
      <w:r w:rsidRPr="00232447">
        <w:rPr>
          <w:rStyle w:val="Refdenotaalpie"/>
          <w:b/>
          <w:color w:val="FF0000"/>
          <w:sz w:val="20"/>
          <w:szCs w:val="20"/>
        </w:rPr>
        <w:footnoteReference w:id="16"/>
      </w:r>
    </w:p>
    <w:p w14:paraId="6CD6FC57" w14:textId="77777777" w:rsidR="00D0618B" w:rsidRPr="00232447" w:rsidRDefault="00D0618B" w:rsidP="00D0618B">
      <w:pPr>
        <w:pStyle w:val="Continuarlista2"/>
        <w:spacing w:before="120"/>
        <w:contextualSpacing w:val="0"/>
        <w:jc w:val="both"/>
        <w:rPr>
          <w:sz w:val="20"/>
          <w:szCs w:val="20"/>
          <w:lang w:val="es-AR"/>
        </w:rPr>
      </w:pPr>
      <w:r>
        <w:rPr>
          <w:sz w:val="20"/>
          <w:szCs w:val="20"/>
        </w:rPr>
        <w:t>Los gastos</w:t>
      </w:r>
      <w:r w:rsidRPr="00232447">
        <w:rPr>
          <w:sz w:val="20"/>
          <w:szCs w:val="20"/>
          <w:lang w:val="es-AR"/>
        </w:rPr>
        <w:t xml:space="preserve"> por productos consumidos o vendidos se calcula</w:t>
      </w:r>
      <w:r>
        <w:rPr>
          <w:sz w:val="20"/>
          <w:szCs w:val="20"/>
          <w:lang w:val="es-AR"/>
        </w:rPr>
        <w:t>n</w:t>
      </w:r>
      <w:r w:rsidRPr="00232447">
        <w:rPr>
          <w:sz w:val="20"/>
          <w:szCs w:val="20"/>
          <w:lang w:val="es-AR"/>
        </w:rPr>
        <w:t xml:space="preserve"> aplicando la técnica de diferencia de inventario considerando la </w:t>
      </w:r>
      <w:proofErr w:type="spellStart"/>
      <w:r w:rsidRPr="00232447">
        <w:rPr>
          <w:sz w:val="20"/>
          <w:szCs w:val="20"/>
          <w:lang w:val="es-AR"/>
        </w:rPr>
        <w:t>reexpresión</w:t>
      </w:r>
      <w:proofErr w:type="spellEnd"/>
      <w:r w:rsidRPr="00232447">
        <w:rPr>
          <w:sz w:val="20"/>
          <w:szCs w:val="20"/>
          <w:lang w:val="es-AR"/>
        </w:rPr>
        <w:t xml:space="preserve"> de la Nota 1.3.</w:t>
      </w:r>
    </w:p>
    <w:p w14:paraId="0E9B81E1" w14:textId="77777777" w:rsidR="00D0618B" w:rsidRPr="00587A70" w:rsidRDefault="00D0618B" w:rsidP="00D0618B">
      <w:pPr>
        <w:pStyle w:val="Lista2"/>
        <w:jc w:val="both"/>
        <w:rPr>
          <w:b/>
          <w:color w:val="FF0000"/>
          <w:sz w:val="20"/>
          <w:szCs w:val="20"/>
        </w:rPr>
      </w:pPr>
      <w:r w:rsidRPr="00232447">
        <w:rPr>
          <w:b/>
          <w:sz w:val="20"/>
          <w:szCs w:val="20"/>
        </w:rPr>
        <w:t>2.16. Impuesto a las ganancias</w:t>
      </w:r>
      <w:r w:rsidRPr="00587A70">
        <w:rPr>
          <w:rStyle w:val="Refdenotaalpie"/>
          <w:b/>
          <w:color w:val="FF0000"/>
          <w:sz w:val="20"/>
          <w:szCs w:val="20"/>
        </w:rPr>
        <w:footnoteReference w:id="17"/>
      </w:r>
    </w:p>
    <w:p w14:paraId="7ED25A58" w14:textId="77777777" w:rsidR="00D0618B" w:rsidRDefault="00D0618B" w:rsidP="00D0618B">
      <w:pPr>
        <w:pStyle w:val="Continuarlista2"/>
        <w:spacing w:before="120"/>
        <w:ind w:left="567"/>
        <w:contextualSpacing w:val="0"/>
        <w:jc w:val="both"/>
        <w:rPr>
          <w:rFonts w:eastAsia="Times New Roman" w:cstheme="minorHAnsi"/>
          <w:sz w:val="20"/>
          <w:szCs w:val="20"/>
        </w:rPr>
      </w:pPr>
      <w:r w:rsidRPr="00232447">
        <w:rPr>
          <w:sz w:val="20"/>
          <w:szCs w:val="20"/>
        </w:rPr>
        <w:t xml:space="preserve">El cargo contable por impuesto a las ganancias es reconocido en función del impuesto determinado, considerando la normativa fiscal vigente. </w:t>
      </w:r>
      <w:r w:rsidRPr="00232447">
        <w:rPr>
          <w:rFonts w:eastAsia="Times New Roman" w:cstheme="minorHAnsi"/>
          <w:sz w:val="20"/>
          <w:szCs w:val="20"/>
        </w:rPr>
        <w:t>La entidad hizo uso de la opción de no presentar la nota requerida del inciso f), del párrafo 599.</w:t>
      </w:r>
    </w:p>
    <w:p w14:paraId="66E0D85A" w14:textId="77777777" w:rsidR="00D0618B" w:rsidRPr="00232447" w:rsidRDefault="00D0618B" w:rsidP="00D0618B">
      <w:pPr>
        <w:pStyle w:val="Continuarlista2"/>
        <w:spacing w:before="120"/>
        <w:ind w:left="567"/>
        <w:contextualSpacing w:val="0"/>
        <w:jc w:val="both"/>
        <w:rPr>
          <w:sz w:val="20"/>
          <w:szCs w:val="20"/>
        </w:rPr>
      </w:pPr>
    </w:p>
    <w:p w14:paraId="5AD8F499" w14:textId="77777777" w:rsidR="00D0618B" w:rsidRPr="00232447" w:rsidRDefault="00D0618B" w:rsidP="00D0618B">
      <w:pPr>
        <w:pStyle w:val="Lista2"/>
        <w:jc w:val="both"/>
        <w:rPr>
          <w:b/>
          <w:sz w:val="20"/>
          <w:szCs w:val="20"/>
        </w:rPr>
      </w:pPr>
      <w:r w:rsidRPr="00232447">
        <w:rPr>
          <w:b/>
          <w:sz w:val="20"/>
          <w:szCs w:val="20"/>
        </w:rPr>
        <w:t>2.17. Cuentas de Patrimonio neto</w:t>
      </w:r>
    </w:p>
    <w:p w14:paraId="502C6DBE" w14:textId="77777777" w:rsidR="00D0618B" w:rsidRDefault="00D0618B" w:rsidP="00D0618B">
      <w:pPr>
        <w:pStyle w:val="Continuarlista2"/>
        <w:spacing w:before="120"/>
        <w:ind w:left="567"/>
        <w:jc w:val="both"/>
        <w:rPr>
          <w:sz w:val="20"/>
          <w:szCs w:val="20"/>
          <w:lang w:val="es-AR"/>
        </w:rPr>
      </w:pPr>
      <w:r w:rsidRPr="00232447">
        <w:rPr>
          <w:sz w:val="20"/>
          <w:szCs w:val="20"/>
          <w:lang w:val="es-AR"/>
        </w:rPr>
        <w:t xml:space="preserve">Se encuentran </w:t>
      </w:r>
      <w:proofErr w:type="spellStart"/>
      <w:r w:rsidRPr="00232447">
        <w:rPr>
          <w:sz w:val="20"/>
          <w:szCs w:val="20"/>
          <w:lang w:val="es-AR"/>
        </w:rPr>
        <w:t>reexpresadas</w:t>
      </w:r>
      <w:proofErr w:type="spellEnd"/>
      <w:r w:rsidRPr="00232447">
        <w:rPr>
          <w:sz w:val="20"/>
          <w:szCs w:val="20"/>
          <w:lang w:val="es-AR"/>
        </w:rPr>
        <w:t xml:space="preserve"> de acuerdo con lo mencionado en la Nota 1.3. La cuenta “Capital” se mantiene a su valor nominal y el ajuste derivado de dicha </w:t>
      </w:r>
      <w:proofErr w:type="spellStart"/>
      <w:r w:rsidRPr="00232447">
        <w:rPr>
          <w:sz w:val="20"/>
          <w:szCs w:val="20"/>
          <w:lang w:val="es-AR"/>
        </w:rPr>
        <w:t>reexpresión</w:t>
      </w:r>
      <w:proofErr w:type="spellEnd"/>
      <w:r w:rsidRPr="00232447">
        <w:rPr>
          <w:sz w:val="20"/>
          <w:szCs w:val="20"/>
          <w:lang w:val="es-AR"/>
        </w:rPr>
        <w:t xml:space="preserve"> monetaria realizada de acuerdo a la Nota 1.3, se expone en las cuentas de “Ajuste de capital”.</w:t>
      </w:r>
      <w:r w:rsidRPr="00CE2207">
        <w:rPr>
          <w:sz w:val="20"/>
          <w:szCs w:val="20"/>
          <w:lang w:val="es-AR"/>
        </w:rPr>
        <w:t xml:space="preserve"> </w:t>
      </w:r>
    </w:p>
    <w:p w14:paraId="4E0945C1" w14:textId="77777777" w:rsidR="00D0618B" w:rsidRPr="00D0618B" w:rsidRDefault="00D0618B">
      <w:pPr>
        <w:rPr>
          <w:lang w:val="es-AR"/>
        </w:rPr>
      </w:pPr>
    </w:p>
    <w:sectPr w:rsidR="00D0618B" w:rsidRPr="00D0618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26FE6" w14:textId="77777777" w:rsidR="00866CDA" w:rsidRDefault="00866CDA" w:rsidP="00D0618B">
      <w:r>
        <w:separator/>
      </w:r>
    </w:p>
  </w:endnote>
  <w:endnote w:type="continuationSeparator" w:id="0">
    <w:p w14:paraId="57B172A3" w14:textId="77777777" w:rsidR="00866CDA" w:rsidRDefault="00866CDA" w:rsidP="00D06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1473D" w14:textId="77777777" w:rsidR="00866CDA" w:rsidRDefault="00866CDA" w:rsidP="00D0618B">
      <w:r>
        <w:separator/>
      </w:r>
    </w:p>
  </w:footnote>
  <w:footnote w:type="continuationSeparator" w:id="0">
    <w:p w14:paraId="1ED15205" w14:textId="77777777" w:rsidR="00866CDA" w:rsidRDefault="00866CDA" w:rsidP="00D0618B">
      <w:r>
        <w:continuationSeparator/>
      </w:r>
    </w:p>
  </w:footnote>
  <w:footnote w:id="1">
    <w:p w14:paraId="537AFBE5" w14:textId="77777777" w:rsidR="00D0618B" w:rsidRDefault="00D0618B" w:rsidP="00D0618B">
      <w:pPr>
        <w:pStyle w:val="Textonotapie"/>
      </w:pPr>
      <w:r w:rsidRPr="00D04C11">
        <w:rPr>
          <w:rStyle w:val="Refdenotaalpie"/>
          <w:color w:val="FF0000"/>
        </w:rPr>
        <w:footnoteRef/>
      </w:r>
      <w:r w:rsidRPr="00D04C11">
        <w:rPr>
          <w:color w:val="FF0000"/>
        </w:rPr>
        <w:t xml:space="preserve"> </w:t>
      </w:r>
      <w:r w:rsidRPr="0034274D">
        <w:rPr>
          <w:color w:val="FF0000"/>
          <w:sz w:val="16"/>
          <w:szCs w:val="16"/>
          <w:lang w:val="es-MX"/>
        </w:rPr>
        <w:t>La presente nota deberá ser adaptada de acuerdo a los impactos que genere la aplicación de la RT 54.</w:t>
      </w:r>
      <w:r>
        <w:rPr>
          <w:color w:val="FF0000"/>
          <w:sz w:val="16"/>
          <w:szCs w:val="16"/>
          <w:lang w:val="es-MX"/>
        </w:rPr>
        <w:t xml:space="preserve"> Por ejemplo: “</w:t>
      </w:r>
      <w:r w:rsidRPr="00516486">
        <w:rPr>
          <w:color w:val="FF0000"/>
          <w:sz w:val="16"/>
          <w:szCs w:val="16"/>
          <w:lang w:val="es-MX"/>
        </w:rPr>
        <w:t>Esta resolución fue aplicada</w:t>
      </w:r>
      <w:r>
        <w:rPr>
          <w:sz w:val="16"/>
          <w:szCs w:val="16"/>
          <w:lang w:val="es-MX"/>
        </w:rPr>
        <w:t xml:space="preserve"> </w:t>
      </w:r>
      <w:r w:rsidRPr="00516486">
        <w:rPr>
          <w:color w:val="FF0000"/>
          <w:sz w:val="16"/>
          <w:szCs w:val="16"/>
          <w:lang w:val="es-MX"/>
        </w:rPr>
        <w:t xml:space="preserve">por la entidad a partir del </w:t>
      </w:r>
      <w:proofErr w:type="spellStart"/>
      <w:r w:rsidRPr="00516486">
        <w:rPr>
          <w:color w:val="FF0000"/>
          <w:sz w:val="16"/>
          <w:szCs w:val="16"/>
          <w:lang w:val="es-MX"/>
        </w:rPr>
        <w:t>dd</w:t>
      </w:r>
      <w:proofErr w:type="spellEnd"/>
      <w:r w:rsidRPr="00516486">
        <w:rPr>
          <w:color w:val="FF0000"/>
          <w:sz w:val="16"/>
          <w:szCs w:val="16"/>
          <w:lang w:val="es-MX"/>
        </w:rPr>
        <w:t xml:space="preserve"> de mm de </w:t>
      </w:r>
      <w:proofErr w:type="spellStart"/>
      <w:r w:rsidRPr="00516486">
        <w:rPr>
          <w:color w:val="FF0000"/>
          <w:sz w:val="16"/>
          <w:szCs w:val="16"/>
          <w:lang w:val="es-MX"/>
        </w:rPr>
        <w:t>aaaa</w:t>
      </w:r>
      <w:proofErr w:type="spellEnd"/>
      <w:r w:rsidRPr="00516486">
        <w:rPr>
          <w:color w:val="FF0000"/>
          <w:sz w:val="16"/>
          <w:szCs w:val="16"/>
          <w:lang w:val="es-MX"/>
        </w:rPr>
        <w:t>, sin generar efectos en el reconocimiento, medición y presentación, excepto por las modificaciones en las denominaciones de ciertos rubros. (Corresponde en caso únicamente de que la aplicación de la NUA genere cambios en las denominaciones de los rubros)</w:t>
      </w:r>
      <w:r>
        <w:rPr>
          <w:color w:val="FF0000"/>
          <w:sz w:val="16"/>
          <w:szCs w:val="16"/>
          <w:lang w:val="es-MX"/>
        </w:rPr>
        <w:t xml:space="preserve">”. </w:t>
      </w:r>
      <w:r w:rsidRPr="0034274D">
        <w:rPr>
          <w:color w:val="FF0000"/>
          <w:sz w:val="16"/>
          <w:szCs w:val="16"/>
          <w:lang w:val="es-MX"/>
        </w:rPr>
        <w:t xml:space="preserve">Se recomienda la lectura de los modelos de nota para cada escenario en el siguiente link </w:t>
      </w:r>
      <w:hyperlink r:id="rId1" w:history="1">
        <w:r w:rsidRPr="0034274D">
          <w:rPr>
            <w:rStyle w:val="Hipervnculo"/>
            <w:color w:val="FF0000"/>
            <w:sz w:val="16"/>
            <w:szCs w:val="16"/>
            <w:lang w:val="es-MX"/>
          </w:rPr>
          <w:t>https://trivia.consejo.org.ar/ficha/527358-primera_aplicacion_de_la_rt_54_to_rt_59_nua</w:t>
        </w:r>
      </w:hyperlink>
    </w:p>
  </w:footnote>
  <w:footnote w:id="2">
    <w:p w14:paraId="301E7348" w14:textId="77777777" w:rsidR="00D0618B" w:rsidRPr="000B3F98" w:rsidRDefault="00D0618B" w:rsidP="00D0618B">
      <w:pPr>
        <w:pStyle w:val="Textonotapie"/>
        <w:jc w:val="both"/>
        <w:rPr>
          <w:color w:val="FF0000"/>
          <w:sz w:val="16"/>
          <w:szCs w:val="16"/>
        </w:rPr>
      </w:pPr>
      <w:r w:rsidRPr="000B3F98">
        <w:rPr>
          <w:rStyle w:val="Refdenotaalpie"/>
          <w:color w:val="FF0000"/>
          <w:sz w:val="16"/>
          <w:szCs w:val="16"/>
        </w:rPr>
        <w:footnoteRef/>
      </w:r>
      <w:r w:rsidRPr="000B3F98">
        <w:rPr>
          <w:color w:val="FF0000"/>
          <w:sz w:val="16"/>
          <w:szCs w:val="16"/>
        </w:rPr>
        <w:t xml:space="preserve"> </w:t>
      </w:r>
      <w:r w:rsidRPr="0034274D">
        <w:rPr>
          <w:color w:val="FF0000"/>
          <w:sz w:val="16"/>
          <w:szCs w:val="16"/>
          <w:lang w:val="es-MX"/>
        </w:rPr>
        <w:t>Para los ejercicios finalizados a partir del 30/09/2024 e iniciados antes del 1 de enero de 2025, agregar la palabra “anticipadamente”.</w:t>
      </w:r>
    </w:p>
  </w:footnote>
  <w:footnote w:id="3">
    <w:p w14:paraId="1B396AFF" w14:textId="77777777" w:rsidR="00D0618B" w:rsidRPr="000B3F98" w:rsidRDefault="00D0618B" w:rsidP="00D0618B">
      <w:pPr>
        <w:pStyle w:val="Textonotapie"/>
        <w:rPr>
          <w:color w:val="FF0000"/>
          <w:sz w:val="16"/>
          <w:szCs w:val="16"/>
          <w:lang w:val="es-MX"/>
        </w:rPr>
      </w:pPr>
      <w:r w:rsidRPr="000B3F98">
        <w:rPr>
          <w:rStyle w:val="Refdenotaalpie"/>
          <w:color w:val="FF0000"/>
          <w:sz w:val="16"/>
          <w:szCs w:val="16"/>
        </w:rPr>
        <w:footnoteRef/>
      </w:r>
      <w:r w:rsidRPr="000B3F98">
        <w:rPr>
          <w:color w:val="FF0000"/>
          <w:sz w:val="16"/>
          <w:szCs w:val="16"/>
        </w:rPr>
        <w:t xml:space="preserve"> </w:t>
      </w:r>
      <w:r w:rsidRPr="000B3F98">
        <w:rPr>
          <w:color w:val="FF0000"/>
          <w:sz w:val="16"/>
          <w:szCs w:val="16"/>
          <w:lang w:val="es-MX"/>
        </w:rPr>
        <w:t>Considerar que existen otras opciones para la aplicación inicial de la RT 54 (p. A9 a A17).</w:t>
      </w:r>
    </w:p>
  </w:footnote>
  <w:footnote w:id="4">
    <w:p w14:paraId="04CA8A50" w14:textId="77777777" w:rsidR="00D0618B" w:rsidRPr="001E1211" w:rsidRDefault="00D0618B" w:rsidP="00D0618B">
      <w:pPr>
        <w:pStyle w:val="Textonotapie"/>
        <w:rPr>
          <w:sz w:val="16"/>
          <w:szCs w:val="16"/>
          <w:lang w:val="es-MX"/>
        </w:rPr>
      </w:pPr>
      <w:r w:rsidRPr="000B3F98">
        <w:rPr>
          <w:rStyle w:val="Refdenotaalpie"/>
          <w:color w:val="FF0000"/>
          <w:sz w:val="16"/>
          <w:szCs w:val="16"/>
        </w:rPr>
        <w:footnoteRef/>
      </w:r>
      <w:r w:rsidRPr="000B3F98">
        <w:rPr>
          <w:color w:val="FF0000"/>
          <w:sz w:val="16"/>
          <w:szCs w:val="16"/>
          <w:lang w:val="es-MX"/>
        </w:rPr>
        <w:t xml:space="preserve"> Si bien corresponde indicar la fecha de inicio del ejercicio en el que se aplica RT 54 por primera vez (RT 54 Apéndice párrafo A.2), se admite tomar la fecha de cierre del ejercicio anterior.</w:t>
      </w:r>
    </w:p>
  </w:footnote>
  <w:footnote w:id="5">
    <w:p w14:paraId="6928D216" w14:textId="77777777" w:rsidR="00D0618B" w:rsidRPr="000B3F98" w:rsidRDefault="00D0618B" w:rsidP="00D0618B">
      <w:pPr>
        <w:pStyle w:val="Textonotapie"/>
        <w:jc w:val="both"/>
        <w:rPr>
          <w:color w:val="FF0000"/>
          <w:sz w:val="16"/>
          <w:szCs w:val="16"/>
          <w:lang w:val="es-MX"/>
        </w:rPr>
      </w:pPr>
      <w:r w:rsidRPr="000B3F98">
        <w:rPr>
          <w:rStyle w:val="Refdenotaalpie"/>
          <w:color w:val="FF0000"/>
          <w:sz w:val="16"/>
          <w:szCs w:val="16"/>
        </w:rPr>
        <w:footnoteRef/>
      </w:r>
      <w:r w:rsidRPr="000B3F98">
        <w:rPr>
          <w:color w:val="FF0000"/>
          <w:sz w:val="16"/>
          <w:szCs w:val="16"/>
        </w:rPr>
        <w:t xml:space="preserve"> </w:t>
      </w:r>
      <w:r w:rsidRPr="000B3F98">
        <w:rPr>
          <w:color w:val="FF0000"/>
          <w:sz w:val="16"/>
          <w:szCs w:val="16"/>
          <w:lang w:val="es-MX"/>
        </w:rPr>
        <w:t>Considerar que los criterios de medición se encuentran supeditados a determinadas circunstancias. (RT 54 p.218).</w:t>
      </w:r>
    </w:p>
  </w:footnote>
  <w:footnote w:id="6">
    <w:p w14:paraId="5E108A94" w14:textId="77777777" w:rsidR="00D0618B" w:rsidRPr="00BA0485" w:rsidRDefault="00D0618B" w:rsidP="00D0618B">
      <w:pPr>
        <w:pStyle w:val="Textonotapie"/>
        <w:jc w:val="both"/>
        <w:rPr>
          <w:color w:val="FF0000"/>
          <w:sz w:val="16"/>
          <w:szCs w:val="16"/>
          <w:lang w:val="es-MX"/>
        </w:rPr>
      </w:pPr>
      <w:r w:rsidRPr="00BA0485">
        <w:rPr>
          <w:rStyle w:val="Refdenotaalpie"/>
          <w:color w:val="FF0000"/>
          <w:sz w:val="16"/>
          <w:szCs w:val="16"/>
        </w:rPr>
        <w:footnoteRef/>
      </w:r>
      <w:r w:rsidRPr="00BA0485">
        <w:rPr>
          <w:rStyle w:val="Refdenotaalpie"/>
          <w:color w:val="FF0000"/>
          <w:sz w:val="16"/>
          <w:szCs w:val="16"/>
        </w:rPr>
        <w:t xml:space="preserve">  </w:t>
      </w:r>
      <w:r w:rsidRPr="00BA0485">
        <w:rPr>
          <w:color w:val="FF0000"/>
          <w:sz w:val="16"/>
          <w:szCs w:val="16"/>
          <w:lang w:val="es-MX"/>
        </w:rPr>
        <w:t>En tanto la entidad haya hecho uso de la simplificación por ser pequeña y no haya créditos que devenguen intereses explícitos en cuyo caso deberán medir esas partidas a costo amortizado (RT 54 p. 247). Los derechos a facturar y los derechos a reembolso se miden de acuerdo a la RT 54 p.249 y p.250, respectivamente.</w:t>
      </w:r>
    </w:p>
  </w:footnote>
  <w:footnote w:id="7">
    <w:p w14:paraId="3BA141E2" w14:textId="77777777" w:rsidR="00D0618B" w:rsidRPr="00BA0485" w:rsidRDefault="00D0618B" w:rsidP="00D0618B">
      <w:pPr>
        <w:pStyle w:val="Textonotapie"/>
        <w:jc w:val="both"/>
        <w:rPr>
          <w:color w:val="FF0000"/>
          <w:sz w:val="16"/>
          <w:szCs w:val="16"/>
        </w:rPr>
      </w:pPr>
      <w:r w:rsidRPr="00BA0485">
        <w:rPr>
          <w:rStyle w:val="Refdenotaalpie"/>
          <w:color w:val="FF0000"/>
          <w:sz w:val="16"/>
          <w:szCs w:val="16"/>
        </w:rPr>
        <w:footnoteRef/>
      </w:r>
      <w:r w:rsidRPr="00BA0485">
        <w:rPr>
          <w:color w:val="FF0000"/>
          <w:sz w:val="16"/>
          <w:szCs w:val="16"/>
        </w:rPr>
        <w:t xml:space="preserve">  </w:t>
      </w:r>
      <w:r w:rsidRPr="00BA0485">
        <w:rPr>
          <w:color w:val="FF0000"/>
          <w:sz w:val="16"/>
          <w:szCs w:val="16"/>
          <w:lang w:val="es-MX"/>
        </w:rPr>
        <w:t>Considerar que la RT 54 brinda varias opciones de medición para los Bienes para consumo o comercialización y la entidad deberá ajustar la redacción a los criterios de medición definidos. (RT 54 p. 291-295).</w:t>
      </w:r>
    </w:p>
  </w:footnote>
  <w:footnote w:id="8">
    <w:p w14:paraId="34694714" w14:textId="77777777" w:rsidR="00D0618B" w:rsidRPr="00BA0485" w:rsidRDefault="00D0618B" w:rsidP="00D0618B">
      <w:pPr>
        <w:pStyle w:val="Textonotapie"/>
        <w:jc w:val="both"/>
        <w:rPr>
          <w:color w:val="FF0000"/>
          <w:sz w:val="16"/>
          <w:szCs w:val="16"/>
        </w:rPr>
      </w:pPr>
      <w:r w:rsidRPr="00BA0485">
        <w:rPr>
          <w:rStyle w:val="Refdenotaalpie"/>
          <w:color w:val="FF0000"/>
          <w:sz w:val="16"/>
          <w:szCs w:val="16"/>
        </w:rPr>
        <w:footnoteRef/>
      </w:r>
      <w:r w:rsidRPr="00BA0485">
        <w:rPr>
          <w:color w:val="FF0000"/>
          <w:sz w:val="16"/>
          <w:szCs w:val="16"/>
        </w:rPr>
        <w:t xml:space="preserve"> </w:t>
      </w:r>
      <w:r w:rsidRPr="00BA0485">
        <w:rPr>
          <w:color w:val="FF0000"/>
          <w:sz w:val="16"/>
          <w:szCs w:val="16"/>
          <w:lang w:val="es-MX"/>
        </w:rPr>
        <w:t>Considerar que los Bienes de uso también pueden medirse aplicando el modelo de revaluación. (RT 54 p.319).</w:t>
      </w:r>
    </w:p>
  </w:footnote>
  <w:footnote w:id="9">
    <w:p w14:paraId="45D8AB26" w14:textId="77777777" w:rsidR="00D0618B" w:rsidRPr="00BA0485" w:rsidRDefault="00D0618B" w:rsidP="00D0618B">
      <w:pPr>
        <w:pStyle w:val="Textonotapie"/>
        <w:jc w:val="both"/>
        <w:rPr>
          <w:color w:val="FF0000"/>
          <w:sz w:val="16"/>
          <w:szCs w:val="16"/>
          <w:lang w:val="es-MX"/>
        </w:rPr>
      </w:pPr>
      <w:r w:rsidRPr="00BA0485">
        <w:rPr>
          <w:rStyle w:val="Refdenotaalpie"/>
          <w:color w:val="FF0000"/>
          <w:sz w:val="16"/>
          <w:szCs w:val="16"/>
        </w:rPr>
        <w:footnoteRef/>
      </w:r>
      <w:r w:rsidRPr="00BA0485">
        <w:rPr>
          <w:color w:val="FF0000"/>
          <w:sz w:val="16"/>
          <w:szCs w:val="16"/>
        </w:rPr>
        <w:t xml:space="preserve"> </w:t>
      </w:r>
      <w:r w:rsidRPr="00BA0485">
        <w:rPr>
          <w:color w:val="FF0000"/>
          <w:sz w:val="16"/>
          <w:szCs w:val="16"/>
          <w:lang w:val="es-MX"/>
        </w:rPr>
        <w:t>Considerar que las Propiedades de inversión también pueden medirse a su valor razonable. (RT 54 p. 362).</w:t>
      </w:r>
    </w:p>
  </w:footnote>
  <w:footnote w:id="10">
    <w:p w14:paraId="242AA553" w14:textId="77777777" w:rsidR="00D0618B" w:rsidRPr="00BA0485" w:rsidRDefault="00D0618B" w:rsidP="00D0618B">
      <w:pPr>
        <w:pStyle w:val="Textonotapie"/>
        <w:jc w:val="both"/>
        <w:rPr>
          <w:color w:val="FF0000"/>
          <w:sz w:val="16"/>
          <w:szCs w:val="16"/>
          <w:lang w:val="es-MX"/>
        </w:rPr>
      </w:pPr>
      <w:r w:rsidRPr="00BA0485">
        <w:rPr>
          <w:rStyle w:val="Refdenotaalpie"/>
          <w:color w:val="FF0000"/>
          <w:sz w:val="16"/>
          <w:szCs w:val="16"/>
        </w:rPr>
        <w:footnoteRef/>
      </w:r>
      <w:r w:rsidRPr="00BA0485">
        <w:rPr>
          <w:color w:val="FF0000"/>
          <w:sz w:val="16"/>
          <w:szCs w:val="16"/>
        </w:rPr>
        <w:t xml:space="preserve"> </w:t>
      </w:r>
      <w:r w:rsidRPr="00BA0485">
        <w:rPr>
          <w:color w:val="FF0000"/>
          <w:sz w:val="16"/>
          <w:szCs w:val="16"/>
          <w:lang w:val="es-MX"/>
        </w:rPr>
        <w:t>Las depreciaciones de las Propiedades de inversión, se presentan en el rubro “Otros ingresos y egresos” del estado de resultados, pero se presentan como costo de los servicios prestados cuando los ingresos procedentes de estos activos se presentan como ingresos de actividades ordinarias. (RT 54 p. 379).</w:t>
      </w:r>
    </w:p>
  </w:footnote>
  <w:footnote w:id="11">
    <w:p w14:paraId="131536CC" w14:textId="77777777" w:rsidR="00D0618B" w:rsidRDefault="00D0618B" w:rsidP="00D0618B">
      <w:pPr>
        <w:pStyle w:val="Textonotapie"/>
        <w:jc w:val="both"/>
      </w:pPr>
      <w:r w:rsidRPr="00BA0485">
        <w:rPr>
          <w:rStyle w:val="Refdenotaalpie"/>
          <w:color w:val="FF0000"/>
          <w:sz w:val="16"/>
          <w:szCs w:val="16"/>
        </w:rPr>
        <w:footnoteRef/>
      </w:r>
      <w:r w:rsidRPr="00BA0485">
        <w:rPr>
          <w:color w:val="FF0000"/>
          <w:sz w:val="16"/>
          <w:szCs w:val="16"/>
        </w:rPr>
        <w:t xml:space="preserve"> </w:t>
      </w:r>
      <w:r w:rsidRPr="00BA0485">
        <w:rPr>
          <w:color w:val="FF0000"/>
          <w:sz w:val="16"/>
          <w:szCs w:val="16"/>
          <w:lang w:val="es-MX"/>
        </w:rPr>
        <w:t>Considerar que los Activos intangibles pueden tener vida útil indefinida y por ende no depreciarse. (RT 54 p.397).</w:t>
      </w:r>
    </w:p>
  </w:footnote>
  <w:footnote w:id="12">
    <w:p w14:paraId="2FE3FB30" w14:textId="77777777" w:rsidR="00D0618B" w:rsidRPr="00BA0485" w:rsidRDefault="00D0618B" w:rsidP="00D0618B">
      <w:pPr>
        <w:pStyle w:val="Textonotapie"/>
        <w:jc w:val="both"/>
        <w:rPr>
          <w:color w:val="FF0000"/>
          <w:sz w:val="16"/>
          <w:szCs w:val="16"/>
        </w:rPr>
      </w:pPr>
      <w:r w:rsidRPr="00BA0485">
        <w:rPr>
          <w:rStyle w:val="Refdenotaalpie"/>
          <w:color w:val="FF0000"/>
          <w:sz w:val="16"/>
          <w:szCs w:val="16"/>
        </w:rPr>
        <w:footnoteRef/>
      </w:r>
      <w:r w:rsidRPr="00BA0485">
        <w:rPr>
          <w:color w:val="FF0000"/>
          <w:sz w:val="16"/>
          <w:szCs w:val="16"/>
        </w:rPr>
        <w:t xml:space="preserve"> </w:t>
      </w:r>
      <w:r w:rsidRPr="00BA0485">
        <w:rPr>
          <w:color w:val="FF0000"/>
          <w:sz w:val="16"/>
          <w:szCs w:val="16"/>
          <w:lang w:val="es-MX"/>
        </w:rPr>
        <w:t>Afirmar lo que corresponda, en función de lo que haya ocurrido.</w:t>
      </w:r>
    </w:p>
  </w:footnote>
  <w:footnote w:id="13">
    <w:p w14:paraId="58283A6D" w14:textId="77777777" w:rsidR="00D0618B" w:rsidRPr="00BA0485" w:rsidRDefault="00D0618B" w:rsidP="00D0618B">
      <w:pPr>
        <w:pStyle w:val="Textonotapie"/>
        <w:jc w:val="both"/>
        <w:rPr>
          <w:color w:val="FF0000"/>
          <w:sz w:val="16"/>
          <w:szCs w:val="16"/>
        </w:rPr>
      </w:pPr>
      <w:r w:rsidRPr="00BA0485">
        <w:rPr>
          <w:rStyle w:val="Refdenotaalpie"/>
          <w:color w:val="FF0000"/>
          <w:sz w:val="16"/>
          <w:szCs w:val="16"/>
        </w:rPr>
        <w:footnoteRef/>
      </w:r>
      <w:r w:rsidRPr="00BA0485">
        <w:rPr>
          <w:color w:val="FF0000"/>
          <w:sz w:val="16"/>
          <w:szCs w:val="16"/>
        </w:rPr>
        <w:t xml:space="preserve"> </w:t>
      </w:r>
      <w:r w:rsidRPr="00BA0485">
        <w:rPr>
          <w:color w:val="FF0000"/>
          <w:sz w:val="16"/>
          <w:szCs w:val="16"/>
          <w:lang w:val="es-MX"/>
        </w:rPr>
        <w:t>En tanto la entidad haya hecho uso de la simplificación por ser pequeña y no haya pasivos que devenguen intereses explícitos en cuyo caso deberán medir esas partidas a costo amortizado. (RT 54 p.464).</w:t>
      </w:r>
    </w:p>
  </w:footnote>
  <w:footnote w:id="14">
    <w:p w14:paraId="1A564735" w14:textId="77777777" w:rsidR="00D0618B" w:rsidRPr="00BA0485" w:rsidRDefault="00D0618B" w:rsidP="00D0618B">
      <w:pPr>
        <w:pStyle w:val="Textonotapie"/>
        <w:jc w:val="both"/>
        <w:rPr>
          <w:color w:val="FF0000"/>
          <w:sz w:val="16"/>
          <w:szCs w:val="16"/>
        </w:rPr>
      </w:pPr>
      <w:r w:rsidRPr="00BA0485">
        <w:rPr>
          <w:rStyle w:val="Refdenotaalpie"/>
          <w:color w:val="FF0000"/>
          <w:sz w:val="16"/>
          <w:szCs w:val="16"/>
        </w:rPr>
        <w:footnoteRef/>
      </w:r>
      <w:r w:rsidRPr="00BA0485">
        <w:rPr>
          <w:color w:val="FF0000"/>
          <w:sz w:val="16"/>
          <w:szCs w:val="16"/>
        </w:rPr>
        <w:t xml:space="preserve"> </w:t>
      </w:r>
      <w:r w:rsidRPr="00BA0485">
        <w:rPr>
          <w:color w:val="FF0000"/>
          <w:sz w:val="16"/>
          <w:szCs w:val="16"/>
          <w:lang w:val="es-MX"/>
        </w:rPr>
        <w:t>Son conceptos que tienen componentes financieros explícitos, motivo por el cual debe seguirse este criterio de medición. Caso contrario, podrían medirse por el valor nominal. (RT 54 p.464).</w:t>
      </w:r>
    </w:p>
  </w:footnote>
  <w:footnote w:id="15">
    <w:p w14:paraId="7AF68D66" w14:textId="77777777" w:rsidR="00D0618B" w:rsidRPr="00BA0485" w:rsidRDefault="00D0618B" w:rsidP="00D0618B">
      <w:pPr>
        <w:pStyle w:val="Textonotapie"/>
        <w:jc w:val="both"/>
        <w:rPr>
          <w:color w:val="FF0000"/>
          <w:sz w:val="16"/>
          <w:szCs w:val="16"/>
          <w:lang w:val="es-MX"/>
        </w:rPr>
      </w:pPr>
      <w:r w:rsidRPr="00BA0485">
        <w:rPr>
          <w:rStyle w:val="Refdenotaalpie"/>
          <w:color w:val="FF0000"/>
          <w:sz w:val="16"/>
          <w:szCs w:val="16"/>
        </w:rPr>
        <w:footnoteRef/>
      </w:r>
      <w:r w:rsidRPr="00BA0485">
        <w:rPr>
          <w:color w:val="FF0000"/>
          <w:sz w:val="16"/>
          <w:szCs w:val="16"/>
        </w:rPr>
        <w:t xml:space="preserve"> </w:t>
      </w:r>
      <w:r w:rsidRPr="00BA0485">
        <w:rPr>
          <w:color w:val="FF0000"/>
          <w:sz w:val="16"/>
          <w:szCs w:val="16"/>
          <w:lang w:val="es-MX"/>
        </w:rPr>
        <w:t xml:space="preserve">En caso de existir pasivos contingentes, los mismos deben ser revelados. (RT 54 p.499). </w:t>
      </w:r>
    </w:p>
  </w:footnote>
  <w:footnote w:id="16">
    <w:p w14:paraId="5F9B7764" w14:textId="77777777" w:rsidR="00D0618B" w:rsidRDefault="00D0618B" w:rsidP="00D0618B">
      <w:pPr>
        <w:pStyle w:val="Textonotapie"/>
        <w:jc w:val="both"/>
      </w:pPr>
      <w:r w:rsidRPr="00BA0485">
        <w:rPr>
          <w:rStyle w:val="Refdenotaalpie"/>
          <w:color w:val="FF0000"/>
          <w:sz w:val="16"/>
          <w:szCs w:val="16"/>
        </w:rPr>
        <w:footnoteRef/>
      </w:r>
      <w:r w:rsidRPr="00BA0485">
        <w:rPr>
          <w:color w:val="FF0000"/>
          <w:sz w:val="16"/>
          <w:szCs w:val="16"/>
        </w:rPr>
        <w:t xml:space="preserve">  </w:t>
      </w:r>
      <w:r w:rsidRPr="00BA0485">
        <w:rPr>
          <w:color w:val="FF0000"/>
          <w:sz w:val="16"/>
          <w:szCs w:val="16"/>
          <w:lang w:val="es-MX"/>
        </w:rPr>
        <w:t>Considerar que la RT 54 brinda varias opciones de medición para el costo en función de los criterios de medición definidos para los bienes de cambio. (RT 54 p. 301-303).</w:t>
      </w:r>
    </w:p>
  </w:footnote>
  <w:footnote w:id="17">
    <w:p w14:paraId="6A40228C" w14:textId="77777777" w:rsidR="00D0618B" w:rsidRDefault="00D0618B" w:rsidP="00D0618B">
      <w:pPr>
        <w:pStyle w:val="Textonotapie"/>
      </w:pPr>
      <w:r w:rsidRPr="00587A70">
        <w:rPr>
          <w:rStyle w:val="Refdenotaalpie"/>
          <w:color w:val="FF0000"/>
          <w:sz w:val="16"/>
          <w:szCs w:val="16"/>
        </w:rPr>
        <w:footnoteRef/>
      </w:r>
      <w:r w:rsidRPr="00587A70">
        <w:rPr>
          <w:rStyle w:val="Refdenotaalpie"/>
          <w:color w:val="FF0000"/>
          <w:sz w:val="16"/>
          <w:szCs w:val="16"/>
        </w:rPr>
        <w:t xml:space="preserve"> </w:t>
      </w:r>
      <w:r w:rsidRPr="00587A70">
        <w:rPr>
          <w:color w:val="FF0000"/>
          <w:sz w:val="16"/>
          <w:szCs w:val="16"/>
          <w:lang w:val="es-MX"/>
        </w:rPr>
        <w:t xml:space="preserve">En el caso de que posea </w:t>
      </w:r>
      <w:r>
        <w:rPr>
          <w:color w:val="FF0000"/>
          <w:sz w:val="16"/>
          <w:szCs w:val="16"/>
          <w:lang w:val="es-MX"/>
        </w:rPr>
        <w:t xml:space="preserve">una </w:t>
      </w:r>
      <w:r w:rsidRPr="00587A70">
        <w:rPr>
          <w:color w:val="FF0000"/>
          <w:sz w:val="16"/>
          <w:szCs w:val="16"/>
          <w:lang w:val="es-MX"/>
        </w:rPr>
        <w:t>exención</w:t>
      </w:r>
      <w:r>
        <w:rPr>
          <w:color w:val="FF0000"/>
          <w:sz w:val="16"/>
          <w:szCs w:val="16"/>
          <w:lang w:val="es-MX"/>
        </w:rPr>
        <w:t xml:space="preserve"> vigente</w:t>
      </w:r>
      <w:r w:rsidRPr="00587A70">
        <w:rPr>
          <w:color w:val="FF0000"/>
          <w:sz w:val="16"/>
          <w:szCs w:val="16"/>
          <w:lang w:val="es-MX"/>
        </w:rPr>
        <w:t xml:space="preserve"> se debe</w:t>
      </w:r>
      <w:r>
        <w:rPr>
          <w:color w:val="FF0000"/>
          <w:sz w:val="16"/>
          <w:szCs w:val="16"/>
          <w:lang w:val="es-MX"/>
        </w:rPr>
        <w:t>rá</w:t>
      </w:r>
      <w:r w:rsidRPr="00587A70">
        <w:rPr>
          <w:color w:val="FF0000"/>
          <w:sz w:val="16"/>
          <w:szCs w:val="16"/>
          <w:lang w:val="es-MX"/>
        </w:rPr>
        <w:t xml:space="preserve"> readecuar la nota </w:t>
      </w:r>
      <w:r>
        <w:rPr>
          <w:color w:val="FF0000"/>
          <w:sz w:val="16"/>
          <w:szCs w:val="16"/>
          <w:lang w:val="es-MX"/>
        </w:rPr>
        <w:t>explicando dicha cuestión</w:t>
      </w:r>
      <w:r w:rsidRPr="00587A70">
        <w:rPr>
          <w:color w:val="FF0000"/>
          <w:sz w:val="16"/>
          <w:szCs w:val="16"/>
          <w:lang w:val="es-MX"/>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0352"/>
    <w:multiLevelType w:val="multilevel"/>
    <w:tmpl w:val="631A758C"/>
    <w:lvl w:ilvl="0">
      <w:start w:val="1"/>
      <w:numFmt w:val="decimal"/>
      <w:lvlText w:val="%1."/>
      <w:lvlJc w:val="left"/>
      <w:pPr>
        <w:ind w:left="720" w:hanging="360"/>
      </w:pPr>
      <w:rPr>
        <w:rFonts w:hint="default"/>
        <w:color w:val="auto"/>
      </w:rPr>
    </w:lvl>
    <w:lvl w:ilvl="1">
      <w:start w:val="1"/>
      <w:numFmt w:val="decimal"/>
      <w:isLgl/>
      <w:lvlText w:val="%1.%2."/>
      <w:lvlJc w:val="left"/>
      <w:pPr>
        <w:ind w:left="248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7657960"/>
    <w:multiLevelType w:val="hybridMultilevel"/>
    <w:tmpl w:val="C45479CC"/>
    <w:lvl w:ilvl="0" w:tplc="2C0A0001">
      <w:start w:val="1"/>
      <w:numFmt w:val="bullet"/>
      <w:lvlText w:val=""/>
      <w:lvlJc w:val="left"/>
      <w:pPr>
        <w:ind w:left="1920" w:hanging="360"/>
      </w:pPr>
      <w:rPr>
        <w:rFonts w:ascii="Symbol" w:hAnsi="Symbol" w:hint="default"/>
      </w:rPr>
    </w:lvl>
    <w:lvl w:ilvl="1" w:tplc="2C0A0003" w:tentative="1">
      <w:start w:val="1"/>
      <w:numFmt w:val="bullet"/>
      <w:lvlText w:val="o"/>
      <w:lvlJc w:val="left"/>
      <w:pPr>
        <w:ind w:left="2640" w:hanging="360"/>
      </w:pPr>
      <w:rPr>
        <w:rFonts w:ascii="Courier New" w:hAnsi="Courier New" w:cs="Courier New" w:hint="default"/>
      </w:rPr>
    </w:lvl>
    <w:lvl w:ilvl="2" w:tplc="2C0A0005" w:tentative="1">
      <w:start w:val="1"/>
      <w:numFmt w:val="bullet"/>
      <w:lvlText w:val=""/>
      <w:lvlJc w:val="left"/>
      <w:pPr>
        <w:ind w:left="3360" w:hanging="360"/>
      </w:pPr>
      <w:rPr>
        <w:rFonts w:ascii="Wingdings" w:hAnsi="Wingdings" w:hint="default"/>
      </w:rPr>
    </w:lvl>
    <w:lvl w:ilvl="3" w:tplc="2C0A0001" w:tentative="1">
      <w:start w:val="1"/>
      <w:numFmt w:val="bullet"/>
      <w:lvlText w:val=""/>
      <w:lvlJc w:val="left"/>
      <w:pPr>
        <w:ind w:left="4080" w:hanging="360"/>
      </w:pPr>
      <w:rPr>
        <w:rFonts w:ascii="Symbol" w:hAnsi="Symbol" w:hint="default"/>
      </w:rPr>
    </w:lvl>
    <w:lvl w:ilvl="4" w:tplc="2C0A0003" w:tentative="1">
      <w:start w:val="1"/>
      <w:numFmt w:val="bullet"/>
      <w:lvlText w:val="o"/>
      <w:lvlJc w:val="left"/>
      <w:pPr>
        <w:ind w:left="4800" w:hanging="360"/>
      </w:pPr>
      <w:rPr>
        <w:rFonts w:ascii="Courier New" w:hAnsi="Courier New" w:cs="Courier New" w:hint="default"/>
      </w:rPr>
    </w:lvl>
    <w:lvl w:ilvl="5" w:tplc="2C0A0005" w:tentative="1">
      <w:start w:val="1"/>
      <w:numFmt w:val="bullet"/>
      <w:lvlText w:val=""/>
      <w:lvlJc w:val="left"/>
      <w:pPr>
        <w:ind w:left="5520" w:hanging="360"/>
      </w:pPr>
      <w:rPr>
        <w:rFonts w:ascii="Wingdings" w:hAnsi="Wingdings" w:hint="default"/>
      </w:rPr>
    </w:lvl>
    <w:lvl w:ilvl="6" w:tplc="2C0A0001" w:tentative="1">
      <w:start w:val="1"/>
      <w:numFmt w:val="bullet"/>
      <w:lvlText w:val=""/>
      <w:lvlJc w:val="left"/>
      <w:pPr>
        <w:ind w:left="6240" w:hanging="360"/>
      </w:pPr>
      <w:rPr>
        <w:rFonts w:ascii="Symbol" w:hAnsi="Symbol" w:hint="default"/>
      </w:rPr>
    </w:lvl>
    <w:lvl w:ilvl="7" w:tplc="2C0A0003" w:tentative="1">
      <w:start w:val="1"/>
      <w:numFmt w:val="bullet"/>
      <w:lvlText w:val="o"/>
      <w:lvlJc w:val="left"/>
      <w:pPr>
        <w:ind w:left="6960" w:hanging="360"/>
      </w:pPr>
      <w:rPr>
        <w:rFonts w:ascii="Courier New" w:hAnsi="Courier New" w:cs="Courier New" w:hint="default"/>
      </w:rPr>
    </w:lvl>
    <w:lvl w:ilvl="8" w:tplc="2C0A0005" w:tentative="1">
      <w:start w:val="1"/>
      <w:numFmt w:val="bullet"/>
      <w:lvlText w:val=""/>
      <w:lvlJc w:val="left"/>
      <w:pPr>
        <w:ind w:left="7680" w:hanging="360"/>
      </w:pPr>
      <w:rPr>
        <w:rFonts w:ascii="Wingdings" w:hAnsi="Wingdings" w:hint="default"/>
      </w:rPr>
    </w:lvl>
  </w:abstractNum>
  <w:abstractNum w:abstractNumId="2" w15:restartNumberingAfterBreak="0">
    <w:nsid w:val="2EA640C3"/>
    <w:multiLevelType w:val="hybridMultilevel"/>
    <w:tmpl w:val="55842C6C"/>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3" w15:restartNumberingAfterBreak="0">
    <w:nsid w:val="6D8010B7"/>
    <w:multiLevelType w:val="hybridMultilevel"/>
    <w:tmpl w:val="9C74A58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204875481">
    <w:abstractNumId w:val="0"/>
  </w:num>
  <w:num w:numId="2" w16cid:durableId="893155597">
    <w:abstractNumId w:val="2"/>
  </w:num>
  <w:num w:numId="3" w16cid:durableId="742486777">
    <w:abstractNumId w:val="1"/>
  </w:num>
  <w:num w:numId="4" w16cid:durableId="755590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8B"/>
    <w:rsid w:val="000251AF"/>
    <w:rsid w:val="00866CDA"/>
    <w:rsid w:val="00D06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7C70"/>
  <w15:chartTrackingRefBased/>
  <w15:docId w15:val="{CDCAA281-462B-41A8-8F46-229D73C71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0618B"/>
    <w:pPr>
      <w:widowControl w:val="0"/>
      <w:spacing w:after="0" w:line="240" w:lineRule="auto"/>
    </w:pPr>
    <w:rPr>
      <w:rFonts w:ascii="Arial" w:eastAsia="Arial" w:hAnsi="Arial" w:cs="Arial"/>
      <w:kern w:val="0"/>
      <w:sz w:val="22"/>
      <w:szCs w:val="22"/>
      <w:lang w:val="es-ES" w:eastAsia="es-AR"/>
      <w14:ligatures w14:val="none"/>
    </w:rPr>
  </w:style>
  <w:style w:type="paragraph" w:styleId="Ttulo1">
    <w:name w:val="heading 1"/>
    <w:basedOn w:val="Normal"/>
    <w:next w:val="Normal"/>
    <w:link w:val="Ttulo1Car"/>
    <w:uiPriority w:val="9"/>
    <w:qFormat/>
    <w:rsid w:val="00D06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6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61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61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61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618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618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618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618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61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61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61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61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61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61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61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61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618B"/>
    <w:rPr>
      <w:rFonts w:eastAsiaTheme="majorEastAsia" w:cstheme="majorBidi"/>
      <w:color w:val="272727" w:themeColor="text1" w:themeTint="D8"/>
    </w:rPr>
  </w:style>
  <w:style w:type="paragraph" w:styleId="Ttulo">
    <w:name w:val="Title"/>
    <w:basedOn w:val="Normal"/>
    <w:next w:val="Normal"/>
    <w:link w:val="TtuloCar"/>
    <w:uiPriority w:val="10"/>
    <w:qFormat/>
    <w:rsid w:val="00D0618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61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61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61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618B"/>
    <w:pPr>
      <w:spacing w:before="160"/>
      <w:jc w:val="center"/>
    </w:pPr>
    <w:rPr>
      <w:i/>
      <w:iCs/>
      <w:color w:val="404040" w:themeColor="text1" w:themeTint="BF"/>
    </w:rPr>
  </w:style>
  <w:style w:type="character" w:customStyle="1" w:styleId="CitaCar">
    <w:name w:val="Cita Car"/>
    <w:basedOn w:val="Fuentedeprrafopredeter"/>
    <w:link w:val="Cita"/>
    <w:uiPriority w:val="29"/>
    <w:rsid w:val="00D0618B"/>
    <w:rPr>
      <w:i/>
      <w:iCs/>
      <w:color w:val="404040" w:themeColor="text1" w:themeTint="BF"/>
    </w:rPr>
  </w:style>
  <w:style w:type="paragraph" w:styleId="Prrafodelista">
    <w:name w:val="List Paragraph"/>
    <w:basedOn w:val="Normal"/>
    <w:uiPriority w:val="1"/>
    <w:qFormat/>
    <w:rsid w:val="00D0618B"/>
    <w:pPr>
      <w:ind w:left="720"/>
      <w:contextualSpacing/>
    </w:pPr>
  </w:style>
  <w:style w:type="character" w:styleId="nfasisintenso">
    <w:name w:val="Intense Emphasis"/>
    <w:basedOn w:val="Fuentedeprrafopredeter"/>
    <w:uiPriority w:val="21"/>
    <w:qFormat/>
    <w:rsid w:val="00D0618B"/>
    <w:rPr>
      <w:i/>
      <w:iCs/>
      <w:color w:val="0F4761" w:themeColor="accent1" w:themeShade="BF"/>
    </w:rPr>
  </w:style>
  <w:style w:type="paragraph" w:styleId="Citadestacada">
    <w:name w:val="Intense Quote"/>
    <w:basedOn w:val="Normal"/>
    <w:next w:val="Normal"/>
    <w:link w:val="CitadestacadaCar"/>
    <w:uiPriority w:val="30"/>
    <w:qFormat/>
    <w:rsid w:val="00D06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618B"/>
    <w:rPr>
      <w:i/>
      <w:iCs/>
      <w:color w:val="0F4761" w:themeColor="accent1" w:themeShade="BF"/>
    </w:rPr>
  </w:style>
  <w:style w:type="character" w:styleId="Referenciaintensa">
    <w:name w:val="Intense Reference"/>
    <w:basedOn w:val="Fuentedeprrafopredeter"/>
    <w:uiPriority w:val="32"/>
    <w:qFormat/>
    <w:rsid w:val="00D0618B"/>
    <w:rPr>
      <w:b/>
      <w:bCs/>
      <w:smallCaps/>
      <w:color w:val="0F4761" w:themeColor="accent1" w:themeShade="BF"/>
      <w:spacing w:val="5"/>
    </w:rPr>
  </w:style>
  <w:style w:type="paragraph" w:styleId="Textonotapie">
    <w:name w:val="footnote text"/>
    <w:basedOn w:val="Normal"/>
    <w:link w:val="TextonotapieCar"/>
    <w:uiPriority w:val="99"/>
    <w:unhideWhenUsed/>
    <w:rsid w:val="00D0618B"/>
    <w:rPr>
      <w:sz w:val="20"/>
      <w:szCs w:val="20"/>
    </w:rPr>
  </w:style>
  <w:style w:type="character" w:customStyle="1" w:styleId="TextonotapieCar">
    <w:name w:val="Texto nota pie Car"/>
    <w:basedOn w:val="Fuentedeprrafopredeter"/>
    <w:link w:val="Textonotapie"/>
    <w:uiPriority w:val="99"/>
    <w:rsid w:val="00D0618B"/>
    <w:rPr>
      <w:rFonts w:ascii="Arial" w:eastAsia="Arial" w:hAnsi="Arial" w:cs="Arial"/>
      <w:kern w:val="0"/>
      <w:sz w:val="20"/>
      <w:szCs w:val="20"/>
      <w:lang w:val="es-ES" w:eastAsia="es-AR"/>
      <w14:ligatures w14:val="none"/>
    </w:rPr>
  </w:style>
  <w:style w:type="character" w:styleId="Refdenotaalpie">
    <w:name w:val="footnote reference"/>
    <w:basedOn w:val="Fuentedeprrafopredeter"/>
    <w:uiPriority w:val="99"/>
    <w:unhideWhenUsed/>
    <w:rsid w:val="00D0618B"/>
    <w:rPr>
      <w:vertAlign w:val="superscript"/>
    </w:rPr>
  </w:style>
  <w:style w:type="paragraph" w:customStyle="1" w:styleId="Texto">
    <w:name w:val="Texto"/>
    <w:basedOn w:val="Normal"/>
    <w:link w:val="TextoChar"/>
    <w:qFormat/>
    <w:rsid w:val="00D0618B"/>
    <w:pPr>
      <w:widowControl/>
      <w:jc w:val="both"/>
    </w:pPr>
    <w:rPr>
      <w:rFonts w:eastAsia="Times New Roman" w:cs="Times New Roman"/>
      <w:sz w:val="20"/>
      <w:szCs w:val="20"/>
      <w:lang w:val="es-AR" w:eastAsia="en-US"/>
    </w:rPr>
  </w:style>
  <w:style w:type="character" w:customStyle="1" w:styleId="TextoChar">
    <w:name w:val="Texto Char"/>
    <w:basedOn w:val="Fuentedeprrafopredeter"/>
    <w:link w:val="Texto"/>
    <w:rsid w:val="00D0618B"/>
    <w:rPr>
      <w:rFonts w:ascii="Arial" w:eastAsia="Times New Roman" w:hAnsi="Arial" w:cs="Times New Roman"/>
      <w:kern w:val="0"/>
      <w:sz w:val="20"/>
      <w:szCs w:val="20"/>
      <w:lang w:val="es-AR"/>
      <w14:ligatures w14:val="none"/>
    </w:rPr>
  </w:style>
  <w:style w:type="paragraph" w:customStyle="1" w:styleId="Default">
    <w:name w:val="Default"/>
    <w:rsid w:val="00D0618B"/>
    <w:pPr>
      <w:autoSpaceDE w:val="0"/>
      <w:autoSpaceDN w:val="0"/>
      <w:adjustRightInd w:val="0"/>
      <w:spacing w:after="0" w:line="240" w:lineRule="auto"/>
    </w:pPr>
    <w:rPr>
      <w:rFonts w:ascii="Arial" w:hAnsi="Arial" w:cs="Arial"/>
      <w:color w:val="000000"/>
      <w:kern w:val="0"/>
      <w:lang w:val="es-AR"/>
      <w14:ligatures w14:val="none"/>
    </w:rPr>
  </w:style>
  <w:style w:type="character" w:styleId="Hipervnculo">
    <w:name w:val="Hyperlink"/>
    <w:basedOn w:val="Fuentedeprrafopredeter"/>
    <w:uiPriority w:val="99"/>
    <w:unhideWhenUsed/>
    <w:rsid w:val="00D0618B"/>
    <w:rPr>
      <w:color w:val="467886" w:themeColor="hyperlink"/>
      <w:u w:val="single"/>
    </w:rPr>
  </w:style>
  <w:style w:type="paragraph" w:styleId="Lista2">
    <w:name w:val="List 2"/>
    <w:basedOn w:val="Normal"/>
    <w:uiPriority w:val="99"/>
    <w:unhideWhenUsed/>
    <w:rsid w:val="00D0618B"/>
    <w:pPr>
      <w:ind w:left="566" w:hanging="283"/>
      <w:contextualSpacing/>
    </w:pPr>
  </w:style>
  <w:style w:type="paragraph" w:styleId="Lista3">
    <w:name w:val="List 3"/>
    <w:basedOn w:val="Normal"/>
    <w:uiPriority w:val="99"/>
    <w:unhideWhenUsed/>
    <w:rsid w:val="00D0618B"/>
    <w:pPr>
      <w:ind w:left="849" w:hanging="283"/>
      <w:contextualSpacing/>
    </w:pPr>
  </w:style>
  <w:style w:type="paragraph" w:styleId="Lista4">
    <w:name w:val="List 4"/>
    <w:basedOn w:val="Normal"/>
    <w:uiPriority w:val="99"/>
    <w:unhideWhenUsed/>
    <w:rsid w:val="00D0618B"/>
    <w:pPr>
      <w:ind w:left="1132" w:hanging="283"/>
      <w:contextualSpacing/>
    </w:pPr>
  </w:style>
  <w:style w:type="paragraph" w:styleId="Continuarlista2">
    <w:name w:val="List Continue 2"/>
    <w:basedOn w:val="Normal"/>
    <w:uiPriority w:val="99"/>
    <w:unhideWhenUsed/>
    <w:rsid w:val="00D0618B"/>
    <w:pPr>
      <w:spacing w:after="120"/>
      <w:ind w:left="566"/>
      <w:contextualSpacing/>
    </w:pPr>
  </w:style>
  <w:style w:type="paragraph" w:styleId="Textoindependiente">
    <w:name w:val="Body Text"/>
    <w:basedOn w:val="Normal"/>
    <w:link w:val="TextoindependienteCar"/>
    <w:uiPriority w:val="99"/>
    <w:unhideWhenUsed/>
    <w:rsid w:val="00D0618B"/>
    <w:pPr>
      <w:spacing w:after="120"/>
    </w:pPr>
  </w:style>
  <w:style w:type="character" w:customStyle="1" w:styleId="TextoindependienteCar">
    <w:name w:val="Texto independiente Car"/>
    <w:basedOn w:val="Fuentedeprrafopredeter"/>
    <w:link w:val="Textoindependiente"/>
    <w:uiPriority w:val="99"/>
    <w:rsid w:val="00D0618B"/>
    <w:rPr>
      <w:rFonts w:ascii="Arial" w:eastAsia="Arial" w:hAnsi="Arial" w:cs="Arial"/>
      <w:kern w:val="0"/>
      <w:sz w:val="22"/>
      <w:szCs w:val="22"/>
      <w:lang w:val="es-ES" w:eastAsia="es-AR"/>
      <w14:ligatures w14:val="none"/>
    </w:rPr>
  </w:style>
  <w:style w:type="paragraph" w:styleId="Sangradetextonormal">
    <w:name w:val="Body Text Indent"/>
    <w:basedOn w:val="Normal"/>
    <w:link w:val="SangradetextonormalCar"/>
    <w:uiPriority w:val="99"/>
    <w:unhideWhenUsed/>
    <w:rsid w:val="00D0618B"/>
    <w:pPr>
      <w:spacing w:after="120"/>
      <w:ind w:left="283"/>
    </w:pPr>
  </w:style>
  <w:style w:type="character" w:customStyle="1" w:styleId="SangradetextonormalCar">
    <w:name w:val="Sangría de texto normal Car"/>
    <w:basedOn w:val="Fuentedeprrafopredeter"/>
    <w:link w:val="Sangradetextonormal"/>
    <w:uiPriority w:val="99"/>
    <w:rsid w:val="00D0618B"/>
    <w:rPr>
      <w:rFonts w:ascii="Arial" w:eastAsia="Arial" w:hAnsi="Arial" w:cs="Arial"/>
      <w:kern w:val="0"/>
      <w:sz w:val="22"/>
      <w:szCs w:val="22"/>
      <w:lang w:val="es-ES" w:eastAsia="es-AR"/>
      <w14:ligatures w14:val="none"/>
    </w:rPr>
  </w:style>
  <w:style w:type="paragraph" w:styleId="Textoindependienteprimerasangra2">
    <w:name w:val="Body Text First Indent 2"/>
    <w:basedOn w:val="Sangradetextonormal"/>
    <w:link w:val="Textoindependienteprimerasangra2Car"/>
    <w:uiPriority w:val="99"/>
    <w:unhideWhenUsed/>
    <w:rsid w:val="00D0618B"/>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18B"/>
    <w:rPr>
      <w:rFonts w:ascii="Arial" w:eastAsia="Arial" w:hAnsi="Arial" w:cs="Arial"/>
      <w:kern w:val="0"/>
      <w:sz w:val="22"/>
      <w:szCs w:val="22"/>
      <w:lang w:val="es-ES"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trivia.consejo.org.ar/ficha/527358-primera_aplicacion_de_la_rt_54_to_rt_59_nu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2154</Words>
  <Characters>12278</Characters>
  <Application>Microsoft Office Word</Application>
  <DocSecurity>0</DocSecurity>
  <Lines>102</Lines>
  <Paragraphs>28</Paragraphs>
  <ScaleCrop>false</ScaleCrop>
  <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Crespo</dc:creator>
  <cp:keywords/>
  <dc:description/>
  <cp:lastModifiedBy>Martin Crespo</cp:lastModifiedBy>
  <cp:revision>1</cp:revision>
  <dcterms:created xsi:type="dcterms:W3CDTF">2026-09-16T13:41:00Z</dcterms:created>
  <dcterms:modified xsi:type="dcterms:W3CDTF">2026-09-16T13:41:00Z</dcterms:modified>
</cp:coreProperties>
</file>