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4D4E" w14:textId="77777777" w:rsidR="00957717" w:rsidRPr="00957717" w:rsidRDefault="00957717" w:rsidP="00957717">
      <w:pPr>
        <w:rPr>
          <w:rFonts w:ascii="Times New Roman" w:hAnsi="Times New Roman" w:cs="Times New Roman"/>
          <w:b/>
          <w:bCs/>
          <w:sz w:val="28"/>
          <w:szCs w:val="28"/>
        </w:rPr>
      </w:pPr>
      <w:r w:rsidRPr="00957717">
        <w:rPr>
          <w:rFonts w:ascii="Times New Roman" w:hAnsi="Times New Roman" w:cs="Times New Roman"/>
          <w:b/>
          <w:bCs/>
          <w:sz w:val="28"/>
          <w:szCs w:val="28"/>
        </w:rPr>
        <w:t>Municipal Bond Market Database &amp; Analysis: Final Report</w:t>
      </w:r>
    </w:p>
    <w:p w14:paraId="5E9E6401" w14:textId="77777777" w:rsidR="00957717" w:rsidRPr="00957717" w:rsidRDefault="00957717" w:rsidP="00957717">
      <w:pPr>
        <w:rPr>
          <w:rFonts w:ascii="Times New Roman" w:hAnsi="Times New Roman" w:cs="Times New Roman"/>
          <w:b/>
          <w:bCs/>
          <w:sz w:val="28"/>
          <w:szCs w:val="28"/>
        </w:rPr>
      </w:pPr>
      <w:r w:rsidRPr="00957717">
        <w:rPr>
          <w:rFonts w:ascii="Times New Roman" w:hAnsi="Times New Roman" w:cs="Times New Roman"/>
          <w:b/>
          <w:bCs/>
          <w:sz w:val="28"/>
          <w:szCs w:val="28"/>
        </w:rPr>
        <w:t>Course: Databases (Final Project)</w:t>
      </w:r>
    </w:p>
    <w:p w14:paraId="7D6F5CD1" w14:textId="77777777" w:rsidR="00957717" w:rsidRPr="00957717" w:rsidRDefault="00957717" w:rsidP="00957717">
      <w:pPr>
        <w:rPr>
          <w:rFonts w:ascii="Times New Roman" w:hAnsi="Times New Roman" w:cs="Times New Roman"/>
          <w:b/>
          <w:bCs/>
          <w:sz w:val="28"/>
          <w:szCs w:val="28"/>
        </w:rPr>
      </w:pPr>
      <w:r w:rsidRPr="00957717">
        <w:rPr>
          <w:rFonts w:ascii="Times New Roman" w:hAnsi="Times New Roman" w:cs="Times New Roman"/>
          <w:b/>
          <w:bCs/>
          <w:sz w:val="28"/>
          <w:szCs w:val="28"/>
        </w:rPr>
        <w:t xml:space="preserve">Authors: Mark Crisci, Muhammed </w:t>
      </w:r>
      <w:proofErr w:type="spellStart"/>
      <w:r w:rsidRPr="00957717">
        <w:rPr>
          <w:rFonts w:ascii="Times New Roman" w:hAnsi="Times New Roman" w:cs="Times New Roman"/>
          <w:b/>
          <w:bCs/>
          <w:sz w:val="28"/>
          <w:szCs w:val="28"/>
        </w:rPr>
        <w:t>Altindal</w:t>
      </w:r>
      <w:proofErr w:type="spellEnd"/>
      <w:r w:rsidRPr="00957717">
        <w:rPr>
          <w:rFonts w:ascii="Times New Roman" w:hAnsi="Times New Roman" w:cs="Times New Roman"/>
          <w:b/>
          <w:bCs/>
          <w:sz w:val="28"/>
          <w:szCs w:val="28"/>
        </w:rPr>
        <w:t>, Avery Bishop</w:t>
      </w:r>
    </w:p>
    <w:p w14:paraId="3448B1B1" w14:textId="77777777" w:rsidR="00957717" w:rsidRPr="00957717" w:rsidRDefault="00957717" w:rsidP="00957717">
      <w:pPr>
        <w:rPr>
          <w:rFonts w:ascii="Times New Roman" w:hAnsi="Times New Roman" w:cs="Times New Roman"/>
          <w:b/>
          <w:bCs/>
          <w:sz w:val="28"/>
          <w:szCs w:val="28"/>
        </w:rPr>
      </w:pPr>
      <w:r w:rsidRPr="00957717">
        <w:rPr>
          <w:rFonts w:ascii="Times New Roman" w:hAnsi="Times New Roman" w:cs="Times New Roman"/>
          <w:b/>
          <w:bCs/>
          <w:sz w:val="28"/>
          <w:szCs w:val="28"/>
        </w:rPr>
        <w:t>Date: December 10, 2025</w:t>
      </w:r>
    </w:p>
    <w:p w14:paraId="498D13DF" w14:textId="77777777" w:rsidR="00957717" w:rsidRPr="00957717" w:rsidRDefault="00957717" w:rsidP="00957717">
      <w:pPr>
        <w:rPr>
          <w:rFonts w:ascii="Times New Roman" w:hAnsi="Times New Roman" w:cs="Times New Roman"/>
          <w:b/>
          <w:bCs/>
          <w:sz w:val="25"/>
          <w:szCs w:val="25"/>
        </w:rPr>
      </w:pPr>
    </w:p>
    <w:p w14:paraId="0C3EEC94" w14:textId="449CAC5C"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Executive Summary</w:t>
      </w:r>
    </w:p>
    <w:p w14:paraId="6506AF99"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Overview</w:t>
      </w:r>
    </w:p>
    <w:p w14:paraId="4C8B6583"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In this project, we designed, built, and analyzed a relational database specifically for the U.S. Municipal Bond Market. The goal was to move beyond fragmented spreadsheet work and create a single PostgreSQL data warehouse capable of capturing the complex web of relationships in municipal finance. By bringing together six separate datasets—including issuer demographics, bond specifications, trade histories, credit ratings, and macroeconomic indicators—we built a system that offers a clear, integrated view of credit risk, market liquidity, and sensitivity to economic trends.</w:t>
      </w:r>
    </w:p>
    <w:p w14:paraId="1AC21FC5"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 xml:space="preserve">The project spanned the entire data engineering lifecycle: </w:t>
      </w:r>
      <w:proofErr w:type="gramStart"/>
      <w:r w:rsidRPr="00957717">
        <w:rPr>
          <w:rFonts w:ascii="Times New Roman" w:hAnsi="Times New Roman" w:cs="Times New Roman"/>
          <w:sz w:val="25"/>
          <w:szCs w:val="25"/>
        </w:rPr>
        <w:t>from initial schema design and normalization,</w:t>
      </w:r>
      <w:proofErr w:type="gramEnd"/>
      <w:r w:rsidRPr="00957717">
        <w:rPr>
          <w:rFonts w:ascii="Times New Roman" w:hAnsi="Times New Roman" w:cs="Times New Roman"/>
          <w:sz w:val="25"/>
          <w:szCs w:val="25"/>
        </w:rPr>
        <w:t xml:space="preserve"> to ETL implementation in Python, and finally advanced SQL analysis coupled with an interactive dashboard.</w:t>
      </w:r>
    </w:p>
    <w:p w14:paraId="3F6324A8" w14:textId="77777777" w:rsidR="00957717" w:rsidRDefault="00957717" w:rsidP="00957717">
      <w:pPr>
        <w:rPr>
          <w:rFonts w:ascii="Times New Roman" w:hAnsi="Times New Roman" w:cs="Times New Roman"/>
          <w:sz w:val="25"/>
          <w:szCs w:val="25"/>
        </w:rPr>
      </w:pPr>
    </w:p>
    <w:p w14:paraId="32ACBDB8" w14:textId="1CD8ACA0"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Key Findings</w:t>
      </w:r>
    </w:p>
    <w:p w14:paraId="27F7177C"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Our analysis surfaced several notable insights into the municipal bond market:</w:t>
      </w:r>
    </w:p>
    <w:p w14:paraId="4D4CA924" w14:textId="77777777" w:rsidR="00957717" w:rsidRPr="00957717" w:rsidRDefault="00957717" w:rsidP="00957717">
      <w:pPr>
        <w:numPr>
          <w:ilvl w:val="0"/>
          <w:numId w:val="1"/>
        </w:numPr>
        <w:rPr>
          <w:rFonts w:ascii="Times New Roman" w:hAnsi="Times New Roman" w:cs="Times New Roman"/>
          <w:sz w:val="25"/>
          <w:szCs w:val="25"/>
        </w:rPr>
      </w:pPr>
      <w:r w:rsidRPr="00957717">
        <w:rPr>
          <w:rFonts w:ascii="Times New Roman" w:hAnsi="Times New Roman" w:cs="Times New Roman"/>
          <w:b/>
          <w:bCs/>
          <w:sz w:val="25"/>
          <w:szCs w:val="25"/>
        </w:rPr>
        <w:t>Yield Curve &amp; Risk:</w:t>
      </w:r>
      <w:r w:rsidRPr="00957717">
        <w:rPr>
          <w:rFonts w:ascii="Times New Roman" w:hAnsi="Times New Roman" w:cs="Times New Roman"/>
          <w:sz w:val="25"/>
          <w:szCs w:val="25"/>
        </w:rPr>
        <w:t xml:space="preserve"> Longer maturities correlate positively with yield, and lower-rated bonds (BBB and below) exhibit especially steep curves. This makes sense—investors demand higher risk premiums for holding lower-quality credit over the long term. Interestingly, the risk premium grows non-linearly once maturities extend past 10 years.</w:t>
      </w:r>
    </w:p>
    <w:p w14:paraId="1101B3A8" w14:textId="77777777" w:rsidR="00957717" w:rsidRPr="00957717" w:rsidRDefault="00957717" w:rsidP="00957717">
      <w:pPr>
        <w:numPr>
          <w:ilvl w:val="0"/>
          <w:numId w:val="1"/>
        </w:numPr>
        <w:rPr>
          <w:rFonts w:ascii="Times New Roman" w:hAnsi="Times New Roman" w:cs="Times New Roman"/>
          <w:sz w:val="25"/>
          <w:szCs w:val="25"/>
        </w:rPr>
      </w:pPr>
      <w:r w:rsidRPr="00957717">
        <w:rPr>
          <w:rFonts w:ascii="Times New Roman" w:hAnsi="Times New Roman" w:cs="Times New Roman"/>
          <w:b/>
          <w:bCs/>
          <w:sz w:val="25"/>
          <w:szCs w:val="25"/>
        </w:rPr>
        <w:t>Sector Performance:</w:t>
      </w:r>
      <w:r w:rsidRPr="00957717">
        <w:rPr>
          <w:rFonts w:ascii="Times New Roman" w:hAnsi="Times New Roman" w:cs="Times New Roman"/>
          <w:sz w:val="25"/>
          <w:szCs w:val="25"/>
        </w:rPr>
        <w:t xml:space="preserve"> Bonds funding “Public Safety” and “Utilities” generally pay lower yields than those in “Healthcare” or “Transportation.” The reasoning seems straightforward: essential services backed by taxes (like police or fire departments) are stable, while revenue-dependent projects—hospitals, toll roads—are more sensitive to economic swings.</w:t>
      </w:r>
    </w:p>
    <w:p w14:paraId="0955E4E3" w14:textId="77777777" w:rsidR="00957717" w:rsidRPr="00957717" w:rsidRDefault="00957717" w:rsidP="00957717">
      <w:pPr>
        <w:numPr>
          <w:ilvl w:val="0"/>
          <w:numId w:val="1"/>
        </w:numPr>
        <w:rPr>
          <w:rFonts w:ascii="Times New Roman" w:hAnsi="Times New Roman" w:cs="Times New Roman"/>
          <w:sz w:val="25"/>
          <w:szCs w:val="25"/>
        </w:rPr>
      </w:pPr>
      <w:r w:rsidRPr="00957717">
        <w:rPr>
          <w:rFonts w:ascii="Times New Roman" w:hAnsi="Times New Roman" w:cs="Times New Roman"/>
          <w:b/>
          <w:bCs/>
          <w:sz w:val="25"/>
          <w:szCs w:val="25"/>
        </w:rPr>
        <w:lastRenderedPageBreak/>
        <w:t>Economic Correlation:</w:t>
      </w:r>
      <w:r w:rsidRPr="00957717">
        <w:rPr>
          <w:rFonts w:ascii="Times New Roman" w:hAnsi="Times New Roman" w:cs="Times New Roman"/>
          <w:sz w:val="25"/>
          <w:szCs w:val="25"/>
        </w:rPr>
        <w:t xml:space="preserve"> We observed a strong link between state unemployment volatility and bond price swings. States with higher unemployment fluctuations (standard deviation &gt; 1.5%) tended to have wider trading spreads, suggesting that local economic health directly impacts municipal borrowing costs.</w:t>
      </w:r>
    </w:p>
    <w:p w14:paraId="3F3A9C6D" w14:textId="77777777" w:rsidR="00957717" w:rsidRPr="00957717" w:rsidRDefault="00957717" w:rsidP="00957717">
      <w:pPr>
        <w:numPr>
          <w:ilvl w:val="0"/>
          <w:numId w:val="1"/>
        </w:numPr>
        <w:rPr>
          <w:rFonts w:ascii="Times New Roman" w:hAnsi="Times New Roman" w:cs="Times New Roman"/>
          <w:sz w:val="25"/>
          <w:szCs w:val="25"/>
        </w:rPr>
      </w:pPr>
      <w:r w:rsidRPr="00957717">
        <w:rPr>
          <w:rFonts w:ascii="Times New Roman" w:hAnsi="Times New Roman" w:cs="Times New Roman"/>
          <w:b/>
          <w:bCs/>
          <w:sz w:val="25"/>
          <w:szCs w:val="25"/>
        </w:rPr>
        <w:t>Liquidity Clusters:</w:t>
      </w:r>
      <w:r w:rsidRPr="00957717">
        <w:rPr>
          <w:rFonts w:ascii="Times New Roman" w:hAnsi="Times New Roman" w:cs="Times New Roman"/>
          <w:sz w:val="25"/>
          <w:szCs w:val="25"/>
        </w:rPr>
        <w:t xml:space="preserve"> Trading is far from uniform. Institutional buyers dominate the long-duration secondary market, handling over 75% of trades for bonds with maturities beyond 15 years. Retail investors, in contrast, are spread thin, mostly engaging with smaller, high-rated, short-term issues.</w:t>
      </w:r>
    </w:p>
    <w:p w14:paraId="468FD1C5" w14:textId="59821327" w:rsidR="00957717" w:rsidRPr="00957717" w:rsidRDefault="00957717" w:rsidP="00957717">
      <w:pPr>
        <w:rPr>
          <w:rFonts w:ascii="Times New Roman" w:hAnsi="Times New Roman" w:cs="Times New Roman"/>
          <w:sz w:val="25"/>
          <w:szCs w:val="25"/>
        </w:rPr>
      </w:pPr>
    </w:p>
    <w:p w14:paraId="166F5A0C"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Recommendations</w:t>
      </w:r>
    </w:p>
    <w:p w14:paraId="48DE2BEA"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Based on these findings, we propose the following:</w:t>
      </w:r>
    </w:p>
    <w:p w14:paraId="0E479AA2" w14:textId="77777777" w:rsidR="00957717" w:rsidRPr="00957717" w:rsidRDefault="00957717" w:rsidP="00957717">
      <w:pPr>
        <w:numPr>
          <w:ilvl w:val="0"/>
          <w:numId w:val="2"/>
        </w:numPr>
        <w:rPr>
          <w:rFonts w:ascii="Times New Roman" w:hAnsi="Times New Roman" w:cs="Times New Roman"/>
          <w:sz w:val="25"/>
          <w:szCs w:val="25"/>
        </w:rPr>
      </w:pPr>
      <w:r w:rsidRPr="00957717">
        <w:rPr>
          <w:rFonts w:ascii="Times New Roman" w:hAnsi="Times New Roman" w:cs="Times New Roman"/>
          <w:b/>
          <w:bCs/>
          <w:sz w:val="25"/>
          <w:szCs w:val="25"/>
        </w:rPr>
        <w:t>For Investors:</w:t>
      </w:r>
      <w:r w:rsidRPr="00957717">
        <w:rPr>
          <w:rFonts w:ascii="Times New Roman" w:hAnsi="Times New Roman" w:cs="Times New Roman"/>
          <w:sz w:val="25"/>
          <w:szCs w:val="25"/>
        </w:rPr>
        <w:t xml:space="preserve"> During periods of economic uncertainty, “Public Safety” bonds are safer for preserving capital, as they’re least affected by unemployment spikes. In contrast, “Healthcare” revenue bonds might be more attractive during economic growth periods, offering higher yields.</w:t>
      </w:r>
    </w:p>
    <w:p w14:paraId="6C03FE88" w14:textId="77777777" w:rsidR="00957717" w:rsidRPr="00957717" w:rsidRDefault="00957717" w:rsidP="00957717">
      <w:pPr>
        <w:numPr>
          <w:ilvl w:val="0"/>
          <w:numId w:val="2"/>
        </w:numPr>
        <w:rPr>
          <w:rFonts w:ascii="Times New Roman" w:hAnsi="Times New Roman" w:cs="Times New Roman"/>
          <w:sz w:val="25"/>
          <w:szCs w:val="25"/>
        </w:rPr>
      </w:pPr>
      <w:r w:rsidRPr="00957717">
        <w:rPr>
          <w:rFonts w:ascii="Times New Roman" w:hAnsi="Times New Roman" w:cs="Times New Roman"/>
          <w:b/>
          <w:bCs/>
          <w:sz w:val="25"/>
          <w:szCs w:val="25"/>
        </w:rPr>
        <w:t>For Issuers:</w:t>
      </w:r>
      <w:r w:rsidRPr="00957717">
        <w:rPr>
          <w:rFonts w:ascii="Times New Roman" w:hAnsi="Times New Roman" w:cs="Times New Roman"/>
          <w:sz w:val="25"/>
          <w:szCs w:val="25"/>
        </w:rPr>
        <w:t xml:space="preserve"> Municipalities in high-unemployment states should consider credit enhancements (like insurance) or issue shorter-duration bonds to reduce the risk premium identified in our analysis.</w:t>
      </w:r>
    </w:p>
    <w:p w14:paraId="7048A4C2" w14:textId="77777777" w:rsidR="00957717" w:rsidRPr="00957717" w:rsidRDefault="00957717" w:rsidP="00957717">
      <w:pPr>
        <w:numPr>
          <w:ilvl w:val="0"/>
          <w:numId w:val="2"/>
        </w:numPr>
        <w:rPr>
          <w:rFonts w:ascii="Times New Roman" w:hAnsi="Times New Roman" w:cs="Times New Roman"/>
          <w:sz w:val="25"/>
          <w:szCs w:val="25"/>
        </w:rPr>
      </w:pPr>
      <w:r w:rsidRPr="00957717">
        <w:rPr>
          <w:rFonts w:ascii="Times New Roman" w:hAnsi="Times New Roman" w:cs="Times New Roman"/>
          <w:b/>
          <w:bCs/>
          <w:sz w:val="25"/>
          <w:szCs w:val="25"/>
        </w:rPr>
        <w:t>Future Work:</w:t>
      </w:r>
      <w:r w:rsidRPr="00957717">
        <w:rPr>
          <w:rFonts w:ascii="Times New Roman" w:hAnsi="Times New Roman" w:cs="Times New Roman"/>
          <w:sz w:val="25"/>
          <w:szCs w:val="25"/>
        </w:rPr>
        <w:t xml:space="preserve"> Expanding the database to include real-time trade feeds and additional macro indicators (e.g., housing starts, GDP) could improve predictive risk models. A machine learning pipeline to forecast default probabilities would also be a natural next step.</w:t>
      </w:r>
    </w:p>
    <w:p w14:paraId="2DE5A256" w14:textId="6E259C00" w:rsidR="00957717" w:rsidRPr="00957717" w:rsidRDefault="00957717" w:rsidP="00957717">
      <w:pPr>
        <w:rPr>
          <w:rFonts w:ascii="Times New Roman" w:hAnsi="Times New Roman" w:cs="Times New Roman"/>
          <w:sz w:val="25"/>
          <w:szCs w:val="25"/>
        </w:rPr>
      </w:pPr>
    </w:p>
    <w:p w14:paraId="5D917A75"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Database Design</w:t>
      </w:r>
    </w:p>
    <w:p w14:paraId="3113C3B4"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Normalization &amp; Rationale</w:t>
      </w:r>
    </w:p>
    <w:p w14:paraId="5E47AB21"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We followed Star Schema principles for analytical efficiency, while keeping tables in Third Normal Form (3NF) to ensure data integrity and avoid redundancy.</w:t>
      </w:r>
    </w:p>
    <w:p w14:paraId="7E7CE98D" w14:textId="77777777" w:rsidR="00957717" w:rsidRPr="00957717" w:rsidRDefault="00957717" w:rsidP="00957717">
      <w:pPr>
        <w:numPr>
          <w:ilvl w:val="0"/>
          <w:numId w:val="3"/>
        </w:numPr>
        <w:rPr>
          <w:rFonts w:ascii="Times New Roman" w:hAnsi="Times New Roman" w:cs="Times New Roman"/>
          <w:sz w:val="25"/>
          <w:szCs w:val="25"/>
        </w:rPr>
      </w:pPr>
      <w:r w:rsidRPr="00957717">
        <w:rPr>
          <w:rFonts w:ascii="Times New Roman" w:hAnsi="Times New Roman" w:cs="Times New Roman"/>
          <w:b/>
          <w:bCs/>
          <w:sz w:val="25"/>
          <w:szCs w:val="25"/>
        </w:rPr>
        <w:t>Fact Tables:</w:t>
      </w:r>
    </w:p>
    <w:p w14:paraId="1918BAE4" w14:textId="77777777" w:rsidR="00957717" w:rsidRPr="00957717" w:rsidRDefault="00957717" w:rsidP="00957717">
      <w:pPr>
        <w:numPr>
          <w:ilvl w:val="1"/>
          <w:numId w:val="3"/>
        </w:numPr>
        <w:rPr>
          <w:rFonts w:ascii="Times New Roman" w:hAnsi="Times New Roman" w:cs="Times New Roman"/>
          <w:sz w:val="25"/>
          <w:szCs w:val="25"/>
        </w:rPr>
      </w:pPr>
      <w:r w:rsidRPr="00957717">
        <w:rPr>
          <w:rFonts w:ascii="Times New Roman" w:hAnsi="Times New Roman" w:cs="Times New Roman"/>
          <w:b/>
          <w:bCs/>
          <w:sz w:val="25"/>
          <w:szCs w:val="25"/>
        </w:rPr>
        <w:t>bonds:</w:t>
      </w:r>
      <w:r w:rsidRPr="00957717">
        <w:rPr>
          <w:rFonts w:ascii="Times New Roman" w:hAnsi="Times New Roman" w:cs="Times New Roman"/>
          <w:sz w:val="25"/>
          <w:szCs w:val="25"/>
        </w:rPr>
        <w:t xml:space="preserve"> Holds core security details (CUSIP, coupon, maturity, face value). This is the central hub of the schema.</w:t>
      </w:r>
    </w:p>
    <w:p w14:paraId="64C66942" w14:textId="77777777" w:rsidR="00957717" w:rsidRPr="00957717" w:rsidRDefault="00957717" w:rsidP="00957717">
      <w:pPr>
        <w:numPr>
          <w:ilvl w:val="1"/>
          <w:numId w:val="3"/>
        </w:numPr>
        <w:rPr>
          <w:rFonts w:ascii="Times New Roman" w:hAnsi="Times New Roman" w:cs="Times New Roman"/>
          <w:sz w:val="25"/>
          <w:szCs w:val="25"/>
        </w:rPr>
      </w:pPr>
      <w:r w:rsidRPr="00957717">
        <w:rPr>
          <w:rFonts w:ascii="Times New Roman" w:hAnsi="Times New Roman" w:cs="Times New Roman"/>
          <w:b/>
          <w:bCs/>
          <w:sz w:val="25"/>
          <w:szCs w:val="25"/>
        </w:rPr>
        <w:t>trades:</w:t>
      </w:r>
      <w:r w:rsidRPr="00957717">
        <w:rPr>
          <w:rFonts w:ascii="Times New Roman" w:hAnsi="Times New Roman" w:cs="Times New Roman"/>
          <w:sz w:val="25"/>
          <w:szCs w:val="25"/>
        </w:rPr>
        <w:t xml:space="preserve"> Tracks transaction-level data (price, yield, quantity, buyer type). This table grows fastest and supports all time-series analysis.</w:t>
      </w:r>
    </w:p>
    <w:p w14:paraId="2AC0FE2B" w14:textId="77777777" w:rsidR="00957717" w:rsidRPr="00957717" w:rsidRDefault="00957717" w:rsidP="00957717">
      <w:pPr>
        <w:numPr>
          <w:ilvl w:val="0"/>
          <w:numId w:val="3"/>
        </w:numPr>
        <w:rPr>
          <w:rFonts w:ascii="Times New Roman" w:hAnsi="Times New Roman" w:cs="Times New Roman"/>
          <w:sz w:val="25"/>
          <w:szCs w:val="25"/>
        </w:rPr>
      </w:pPr>
      <w:r w:rsidRPr="00957717">
        <w:rPr>
          <w:rFonts w:ascii="Times New Roman" w:hAnsi="Times New Roman" w:cs="Times New Roman"/>
          <w:b/>
          <w:bCs/>
          <w:sz w:val="25"/>
          <w:szCs w:val="25"/>
        </w:rPr>
        <w:lastRenderedPageBreak/>
        <w:t>Dimension Tables:</w:t>
      </w:r>
    </w:p>
    <w:p w14:paraId="48E36E65" w14:textId="77777777" w:rsidR="00957717" w:rsidRPr="00957717" w:rsidRDefault="00957717" w:rsidP="00957717">
      <w:pPr>
        <w:numPr>
          <w:ilvl w:val="1"/>
          <w:numId w:val="3"/>
        </w:numPr>
        <w:rPr>
          <w:rFonts w:ascii="Times New Roman" w:hAnsi="Times New Roman" w:cs="Times New Roman"/>
          <w:sz w:val="25"/>
          <w:szCs w:val="25"/>
        </w:rPr>
      </w:pPr>
      <w:r w:rsidRPr="00957717">
        <w:rPr>
          <w:rFonts w:ascii="Times New Roman" w:hAnsi="Times New Roman" w:cs="Times New Roman"/>
          <w:b/>
          <w:bCs/>
          <w:sz w:val="25"/>
          <w:szCs w:val="25"/>
        </w:rPr>
        <w:t>issuers:</w:t>
      </w:r>
      <w:r w:rsidRPr="00957717">
        <w:rPr>
          <w:rFonts w:ascii="Times New Roman" w:hAnsi="Times New Roman" w:cs="Times New Roman"/>
          <w:sz w:val="25"/>
          <w:szCs w:val="25"/>
        </w:rPr>
        <w:t xml:space="preserve"> Stores normalized issuer info (State, Population, Tax Base). Separating this prevents repeated updates if demographic data changes.</w:t>
      </w:r>
    </w:p>
    <w:p w14:paraId="580EEA10" w14:textId="77777777" w:rsidR="00957717" w:rsidRPr="00957717" w:rsidRDefault="00957717" w:rsidP="00957717">
      <w:pPr>
        <w:numPr>
          <w:ilvl w:val="1"/>
          <w:numId w:val="3"/>
        </w:numPr>
        <w:rPr>
          <w:rFonts w:ascii="Times New Roman" w:hAnsi="Times New Roman" w:cs="Times New Roman"/>
          <w:sz w:val="25"/>
          <w:szCs w:val="25"/>
        </w:rPr>
      </w:pPr>
      <w:proofErr w:type="spellStart"/>
      <w:r w:rsidRPr="00957717">
        <w:rPr>
          <w:rFonts w:ascii="Times New Roman" w:hAnsi="Times New Roman" w:cs="Times New Roman"/>
          <w:b/>
          <w:bCs/>
          <w:sz w:val="25"/>
          <w:szCs w:val="25"/>
        </w:rPr>
        <w:t>bond_purposes</w:t>
      </w:r>
      <w:proofErr w:type="spellEnd"/>
      <w:r w:rsidRPr="00957717">
        <w:rPr>
          <w:rFonts w:ascii="Times New Roman" w:hAnsi="Times New Roman" w:cs="Times New Roman"/>
          <w:b/>
          <w:bCs/>
          <w:sz w:val="25"/>
          <w:szCs w:val="25"/>
        </w:rPr>
        <w:t>:</w:t>
      </w:r>
      <w:r w:rsidRPr="00957717">
        <w:rPr>
          <w:rFonts w:ascii="Times New Roman" w:hAnsi="Times New Roman" w:cs="Times New Roman"/>
          <w:sz w:val="25"/>
          <w:szCs w:val="25"/>
        </w:rPr>
        <w:t xml:space="preserve"> Standardizes sector categories (e.g., 'Education', 'Transportation'), avoiding inconsistencies like 'Educ' vs 'Education'.</w:t>
      </w:r>
    </w:p>
    <w:p w14:paraId="4F364BB1" w14:textId="77777777" w:rsidR="00957717" w:rsidRPr="00957717" w:rsidRDefault="00957717" w:rsidP="00957717">
      <w:pPr>
        <w:numPr>
          <w:ilvl w:val="1"/>
          <w:numId w:val="3"/>
        </w:numPr>
        <w:rPr>
          <w:rFonts w:ascii="Times New Roman" w:hAnsi="Times New Roman" w:cs="Times New Roman"/>
          <w:sz w:val="25"/>
          <w:szCs w:val="25"/>
        </w:rPr>
      </w:pPr>
      <w:proofErr w:type="spellStart"/>
      <w:r w:rsidRPr="00957717">
        <w:rPr>
          <w:rFonts w:ascii="Times New Roman" w:hAnsi="Times New Roman" w:cs="Times New Roman"/>
          <w:b/>
          <w:bCs/>
          <w:sz w:val="25"/>
          <w:szCs w:val="25"/>
        </w:rPr>
        <w:t>credit_ratings</w:t>
      </w:r>
      <w:proofErr w:type="spellEnd"/>
      <w:r w:rsidRPr="00957717">
        <w:rPr>
          <w:rFonts w:ascii="Times New Roman" w:hAnsi="Times New Roman" w:cs="Times New Roman"/>
          <w:b/>
          <w:bCs/>
          <w:sz w:val="25"/>
          <w:szCs w:val="25"/>
        </w:rPr>
        <w:t>:</w:t>
      </w:r>
      <w:r w:rsidRPr="00957717">
        <w:rPr>
          <w:rFonts w:ascii="Times New Roman" w:hAnsi="Times New Roman" w:cs="Times New Roman"/>
          <w:sz w:val="25"/>
          <w:szCs w:val="25"/>
        </w:rPr>
        <w:t xml:space="preserve"> Tracks rating history over time as a slowly changing dimension, capturing agency, date, and outlook changes.</w:t>
      </w:r>
    </w:p>
    <w:p w14:paraId="7102A402" w14:textId="77777777" w:rsidR="00957717" w:rsidRPr="00957717" w:rsidRDefault="00957717" w:rsidP="00957717">
      <w:pPr>
        <w:numPr>
          <w:ilvl w:val="1"/>
          <w:numId w:val="3"/>
        </w:numPr>
        <w:rPr>
          <w:rFonts w:ascii="Times New Roman" w:hAnsi="Times New Roman" w:cs="Times New Roman"/>
          <w:sz w:val="25"/>
          <w:szCs w:val="25"/>
        </w:rPr>
      </w:pPr>
      <w:proofErr w:type="spellStart"/>
      <w:r w:rsidRPr="00957717">
        <w:rPr>
          <w:rFonts w:ascii="Times New Roman" w:hAnsi="Times New Roman" w:cs="Times New Roman"/>
          <w:b/>
          <w:bCs/>
          <w:sz w:val="25"/>
          <w:szCs w:val="25"/>
        </w:rPr>
        <w:t>macro_economic_data</w:t>
      </w:r>
      <w:proofErr w:type="spellEnd"/>
      <w:r w:rsidRPr="00957717">
        <w:rPr>
          <w:rFonts w:ascii="Times New Roman" w:hAnsi="Times New Roman" w:cs="Times New Roman"/>
          <w:b/>
          <w:bCs/>
          <w:sz w:val="25"/>
          <w:szCs w:val="25"/>
        </w:rPr>
        <w:t>:</w:t>
      </w:r>
      <w:r w:rsidRPr="00957717">
        <w:rPr>
          <w:rFonts w:ascii="Times New Roman" w:hAnsi="Times New Roman" w:cs="Times New Roman"/>
          <w:sz w:val="25"/>
          <w:szCs w:val="25"/>
        </w:rPr>
        <w:t xml:space="preserve"> Linked by State and Date, allowing us to overlay economic trends with bond performance.</w:t>
      </w:r>
    </w:p>
    <w:p w14:paraId="0D5AD159"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Entity-Relationship Diagram (ERD)</w:t>
      </w:r>
    </w:p>
    <w:p w14:paraId="701DF71B"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 xml:space="preserve">Referential integrity is enforced across all tables. The </w:t>
      </w:r>
      <w:r w:rsidRPr="00957717">
        <w:rPr>
          <w:rFonts w:ascii="Times New Roman" w:hAnsi="Times New Roman" w:cs="Times New Roman"/>
          <w:b/>
          <w:bCs/>
          <w:sz w:val="25"/>
          <w:szCs w:val="25"/>
        </w:rPr>
        <w:t>bonds</w:t>
      </w:r>
      <w:r w:rsidRPr="00957717">
        <w:rPr>
          <w:rFonts w:ascii="Times New Roman" w:hAnsi="Times New Roman" w:cs="Times New Roman"/>
          <w:sz w:val="25"/>
          <w:szCs w:val="25"/>
        </w:rPr>
        <w:t xml:space="preserve"> table is the hub, linking issuers, purposes, ratings, and trades.</w:t>
      </w:r>
    </w:p>
    <w:p w14:paraId="0E63449E" w14:textId="0F4FAF68" w:rsidR="00957717" w:rsidRDefault="00957717" w:rsidP="00957717">
      <w:pPr>
        <w:rPr>
          <w:rFonts w:ascii="Times New Roman" w:hAnsi="Times New Roman" w:cs="Times New Roman"/>
          <w:b/>
          <w:bCs/>
          <w:sz w:val="25"/>
          <w:szCs w:val="25"/>
        </w:rPr>
      </w:pPr>
      <w:r>
        <w:rPr>
          <w:noProof/>
        </w:rPr>
        <w:lastRenderedPageBreak/>
        <w:drawing>
          <wp:inline distT="0" distB="0" distL="0" distR="0" wp14:anchorId="7F08F355" wp14:editId="2EDAD98C">
            <wp:extent cx="5943600" cy="5054600"/>
            <wp:effectExtent l="0" t="0" r="0" b="0"/>
            <wp:docPr id="3" name="image6.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6.png" descr="A diagram of a company&#10;&#10;AI-generated content may be incorrect."/>
                    <pic:cNvPicPr/>
                  </pic:nvPicPr>
                  <pic:blipFill>
                    <a:blip r:embed="rId5"/>
                    <a:srcRect/>
                    <a:stretch>
                      <a:fillRect/>
                    </a:stretch>
                  </pic:blipFill>
                  <pic:spPr>
                    <a:xfrm>
                      <a:off x="0" y="0"/>
                      <a:ext cx="5943600" cy="5054600"/>
                    </a:xfrm>
                    <a:prstGeom prst="rect">
                      <a:avLst/>
                    </a:prstGeom>
                    <a:ln/>
                  </pic:spPr>
                </pic:pic>
              </a:graphicData>
            </a:graphic>
          </wp:inline>
        </w:drawing>
      </w:r>
    </w:p>
    <w:p w14:paraId="489DB45B" w14:textId="4BDD9328"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Design Decisions</w:t>
      </w:r>
    </w:p>
    <w:p w14:paraId="651CD01D" w14:textId="77777777" w:rsidR="00957717" w:rsidRPr="00957717" w:rsidRDefault="00957717" w:rsidP="00957717">
      <w:pPr>
        <w:numPr>
          <w:ilvl w:val="0"/>
          <w:numId w:val="4"/>
        </w:numPr>
        <w:rPr>
          <w:rFonts w:ascii="Times New Roman" w:hAnsi="Times New Roman" w:cs="Times New Roman"/>
          <w:sz w:val="25"/>
          <w:szCs w:val="25"/>
        </w:rPr>
      </w:pPr>
      <w:r w:rsidRPr="00957717">
        <w:rPr>
          <w:rFonts w:ascii="Times New Roman" w:hAnsi="Times New Roman" w:cs="Times New Roman"/>
          <w:b/>
          <w:bCs/>
          <w:sz w:val="25"/>
          <w:szCs w:val="25"/>
        </w:rPr>
        <w:t>Composite Keys:</w:t>
      </w:r>
      <w:r w:rsidRPr="00957717">
        <w:rPr>
          <w:rFonts w:ascii="Times New Roman" w:hAnsi="Times New Roman" w:cs="Times New Roman"/>
          <w:sz w:val="25"/>
          <w:szCs w:val="25"/>
        </w:rPr>
        <w:t xml:space="preserve"> The </w:t>
      </w:r>
      <w:r w:rsidRPr="00957717">
        <w:rPr>
          <w:rFonts w:ascii="Times New Roman" w:hAnsi="Times New Roman" w:cs="Times New Roman"/>
          <w:b/>
          <w:bCs/>
          <w:sz w:val="25"/>
          <w:szCs w:val="25"/>
        </w:rPr>
        <w:t>trades</w:t>
      </w:r>
      <w:r w:rsidRPr="00957717">
        <w:rPr>
          <w:rFonts w:ascii="Times New Roman" w:hAnsi="Times New Roman" w:cs="Times New Roman"/>
          <w:sz w:val="25"/>
          <w:szCs w:val="25"/>
        </w:rPr>
        <w:t xml:space="preserve"> table uses a composite primary key (</w:t>
      </w:r>
      <w:proofErr w:type="spellStart"/>
      <w:r w:rsidRPr="00957717">
        <w:rPr>
          <w:rFonts w:ascii="Times New Roman" w:hAnsi="Times New Roman" w:cs="Times New Roman"/>
          <w:sz w:val="25"/>
          <w:szCs w:val="25"/>
        </w:rPr>
        <w:t>bond_id</w:t>
      </w:r>
      <w:proofErr w:type="spellEnd"/>
      <w:r w:rsidRPr="00957717">
        <w:rPr>
          <w:rFonts w:ascii="Times New Roman" w:hAnsi="Times New Roman" w:cs="Times New Roman"/>
          <w:sz w:val="25"/>
          <w:szCs w:val="25"/>
        </w:rPr>
        <w:t xml:space="preserve"> + </w:t>
      </w:r>
      <w:proofErr w:type="spellStart"/>
      <w:r w:rsidRPr="00957717">
        <w:rPr>
          <w:rFonts w:ascii="Times New Roman" w:hAnsi="Times New Roman" w:cs="Times New Roman"/>
          <w:sz w:val="25"/>
          <w:szCs w:val="25"/>
        </w:rPr>
        <w:t>trade_date</w:t>
      </w:r>
      <w:proofErr w:type="spellEnd"/>
      <w:r w:rsidRPr="00957717">
        <w:rPr>
          <w:rFonts w:ascii="Times New Roman" w:hAnsi="Times New Roman" w:cs="Times New Roman"/>
          <w:sz w:val="25"/>
          <w:szCs w:val="25"/>
        </w:rPr>
        <w:t>) to prevent duplicate daily entries and simplify yield calculations.</w:t>
      </w:r>
    </w:p>
    <w:p w14:paraId="1D68C633" w14:textId="77777777" w:rsidR="00957717" w:rsidRPr="00957717" w:rsidRDefault="00957717" w:rsidP="00957717">
      <w:pPr>
        <w:numPr>
          <w:ilvl w:val="0"/>
          <w:numId w:val="4"/>
        </w:numPr>
        <w:rPr>
          <w:rFonts w:ascii="Times New Roman" w:hAnsi="Times New Roman" w:cs="Times New Roman"/>
          <w:sz w:val="25"/>
          <w:szCs w:val="25"/>
        </w:rPr>
      </w:pPr>
      <w:r w:rsidRPr="00957717">
        <w:rPr>
          <w:rFonts w:ascii="Times New Roman" w:hAnsi="Times New Roman" w:cs="Times New Roman"/>
          <w:b/>
          <w:bCs/>
          <w:sz w:val="25"/>
          <w:szCs w:val="25"/>
        </w:rPr>
        <w:t>Data Types:</w:t>
      </w:r>
      <w:r w:rsidRPr="00957717">
        <w:rPr>
          <w:rFonts w:ascii="Times New Roman" w:hAnsi="Times New Roman" w:cs="Times New Roman"/>
          <w:sz w:val="25"/>
          <w:szCs w:val="25"/>
        </w:rPr>
        <w:t xml:space="preserve"> All financial fields use precise NUMERIC types instead of FLOAT/DOUBLE, avoiding rounding errors common in financial analysis.</w:t>
      </w:r>
    </w:p>
    <w:p w14:paraId="578847F3" w14:textId="77777777" w:rsidR="00957717" w:rsidRPr="00957717" w:rsidRDefault="00957717" w:rsidP="00957717">
      <w:pPr>
        <w:numPr>
          <w:ilvl w:val="0"/>
          <w:numId w:val="4"/>
        </w:numPr>
        <w:rPr>
          <w:rFonts w:ascii="Times New Roman" w:hAnsi="Times New Roman" w:cs="Times New Roman"/>
          <w:sz w:val="25"/>
          <w:szCs w:val="25"/>
        </w:rPr>
      </w:pPr>
      <w:r w:rsidRPr="00957717">
        <w:rPr>
          <w:rFonts w:ascii="Times New Roman" w:hAnsi="Times New Roman" w:cs="Times New Roman"/>
          <w:b/>
          <w:bCs/>
          <w:sz w:val="25"/>
          <w:szCs w:val="25"/>
        </w:rPr>
        <w:t>Indexing:</w:t>
      </w:r>
      <w:r w:rsidRPr="00957717">
        <w:rPr>
          <w:rFonts w:ascii="Times New Roman" w:hAnsi="Times New Roman" w:cs="Times New Roman"/>
          <w:sz w:val="25"/>
          <w:szCs w:val="25"/>
        </w:rPr>
        <w:t xml:space="preserve"> Seven targeted indexes significantly improved query speed. For instance, filtering by trade date or joining bonds to issuers became much faster, cutting execution time for our “Yield Spread” analysis by over 60%.</w:t>
      </w:r>
    </w:p>
    <w:p w14:paraId="223D22AD" w14:textId="77777777" w:rsidR="00957717" w:rsidRPr="00957717" w:rsidRDefault="00957717" w:rsidP="00957717">
      <w:pPr>
        <w:numPr>
          <w:ilvl w:val="0"/>
          <w:numId w:val="4"/>
        </w:numPr>
        <w:rPr>
          <w:rFonts w:ascii="Times New Roman" w:hAnsi="Times New Roman" w:cs="Times New Roman"/>
          <w:sz w:val="25"/>
          <w:szCs w:val="25"/>
        </w:rPr>
      </w:pPr>
      <w:r w:rsidRPr="00957717">
        <w:rPr>
          <w:rFonts w:ascii="Times New Roman" w:hAnsi="Times New Roman" w:cs="Times New Roman"/>
          <w:b/>
          <w:bCs/>
          <w:sz w:val="25"/>
          <w:szCs w:val="25"/>
        </w:rPr>
        <w:t>Constraints:</w:t>
      </w:r>
      <w:r w:rsidRPr="00957717">
        <w:rPr>
          <w:rFonts w:ascii="Times New Roman" w:hAnsi="Times New Roman" w:cs="Times New Roman"/>
          <w:sz w:val="25"/>
          <w:szCs w:val="25"/>
        </w:rPr>
        <w:t xml:space="preserve"> CHECK constraints (e.g., </w:t>
      </w:r>
      <w:proofErr w:type="spellStart"/>
      <w:r w:rsidRPr="00957717">
        <w:rPr>
          <w:rFonts w:ascii="Times New Roman" w:hAnsi="Times New Roman" w:cs="Times New Roman"/>
          <w:sz w:val="25"/>
          <w:szCs w:val="25"/>
        </w:rPr>
        <w:t>coupon_rate</w:t>
      </w:r>
      <w:proofErr w:type="spellEnd"/>
      <w:r w:rsidRPr="00957717">
        <w:rPr>
          <w:rFonts w:ascii="Times New Roman" w:hAnsi="Times New Roman" w:cs="Times New Roman"/>
          <w:sz w:val="25"/>
          <w:szCs w:val="25"/>
        </w:rPr>
        <w:t xml:space="preserve"> ≥ 0, </w:t>
      </w:r>
      <w:proofErr w:type="spellStart"/>
      <w:r w:rsidRPr="00957717">
        <w:rPr>
          <w:rFonts w:ascii="Times New Roman" w:hAnsi="Times New Roman" w:cs="Times New Roman"/>
          <w:sz w:val="25"/>
          <w:szCs w:val="25"/>
        </w:rPr>
        <w:t>maturity_date</w:t>
      </w:r>
      <w:proofErr w:type="spellEnd"/>
      <w:r w:rsidRPr="00957717">
        <w:rPr>
          <w:rFonts w:ascii="Times New Roman" w:hAnsi="Times New Roman" w:cs="Times New Roman"/>
          <w:sz w:val="25"/>
          <w:szCs w:val="25"/>
        </w:rPr>
        <w:t xml:space="preserve"> &gt; </w:t>
      </w:r>
      <w:proofErr w:type="spellStart"/>
      <w:r w:rsidRPr="00957717">
        <w:rPr>
          <w:rFonts w:ascii="Times New Roman" w:hAnsi="Times New Roman" w:cs="Times New Roman"/>
          <w:sz w:val="25"/>
          <w:szCs w:val="25"/>
        </w:rPr>
        <w:t>issue_date</w:t>
      </w:r>
      <w:proofErr w:type="spellEnd"/>
      <w:r w:rsidRPr="00957717">
        <w:rPr>
          <w:rFonts w:ascii="Times New Roman" w:hAnsi="Times New Roman" w:cs="Times New Roman"/>
          <w:sz w:val="25"/>
          <w:szCs w:val="25"/>
        </w:rPr>
        <w:t>) safeguard data quality and integrity.</w:t>
      </w:r>
    </w:p>
    <w:p w14:paraId="1E6801D2" w14:textId="33DEAE3A" w:rsidR="00957717" w:rsidRPr="00957717" w:rsidRDefault="00957717" w:rsidP="00957717">
      <w:pPr>
        <w:rPr>
          <w:rFonts w:ascii="Times New Roman" w:hAnsi="Times New Roman" w:cs="Times New Roman"/>
          <w:sz w:val="25"/>
          <w:szCs w:val="25"/>
        </w:rPr>
      </w:pPr>
    </w:p>
    <w:p w14:paraId="171A86E5"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lastRenderedPageBreak/>
        <w:t>Data Analysis</w:t>
      </w:r>
    </w:p>
    <w:p w14:paraId="6FB5BC1B"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We ran ten advanced SQL queries to explore our research questions, leveraging CTEs, Window Functions, and multi-table JOINs. Highlights include:</w:t>
      </w:r>
    </w:p>
    <w:p w14:paraId="29FE4B80" w14:textId="77777777" w:rsidR="00957717" w:rsidRPr="00957717" w:rsidRDefault="00957717" w:rsidP="00957717">
      <w:pPr>
        <w:numPr>
          <w:ilvl w:val="0"/>
          <w:numId w:val="5"/>
        </w:numPr>
        <w:rPr>
          <w:rFonts w:ascii="Times New Roman" w:hAnsi="Times New Roman" w:cs="Times New Roman"/>
          <w:sz w:val="25"/>
          <w:szCs w:val="25"/>
        </w:rPr>
      </w:pPr>
      <w:r w:rsidRPr="00957717">
        <w:rPr>
          <w:rFonts w:ascii="Times New Roman" w:hAnsi="Times New Roman" w:cs="Times New Roman"/>
          <w:b/>
          <w:bCs/>
          <w:sz w:val="25"/>
          <w:szCs w:val="25"/>
        </w:rPr>
        <w:t>Risk Premium in Yield Spreads:</w:t>
      </w:r>
    </w:p>
    <w:p w14:paraId="1BA3325D"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Goal:</w:t>
      </w:r>
      <w:r w:rsidRPr="00957717">
        <w:rPr>
          <w:rFonts w:ascii="Times New Roman" w:hAnsi="Times New Roman" w:cs="Times New Roman"/>
          <w:sz w:val="25"/>
          <w:szCs w:val="25"/>
        </w:rPr>
        <w:t xml:space="preserve"> Measure extra yield demanded relative to risk-free assets.</w:t>
      </w:r>
    </w:p>
    <w:p w14:paraId="5ECFCA7D"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Finding:</w:t>
      </w:r>
      <w:r w:rsidRPr="00957717">
        <w:rPr>
          <w:rFonts w:ascii="Times New Roman" w:hAnsi="Times New Roman" w:cs="Times New Roman"/>
          <w:sz w:val="25"/>
          <w:szCs w:val="25"/>
        </w:rPr>
        <w:t xml:space="preserve"> “Healthcare” bonds consistently carried 15–20 basis points higher spreads than General Obligation bonds, quantifying the volatility tied to hospital revenue streams.</w:t>
      </w:r>
    </w:p>
    <w:p w14:paraId="6497F9CB" w14:textId="77777777" w:rsidR="00957717" w:rsidRPr="00957717" w:rsidRDefault="00957717" w:rsidP="00957717">
      <w:pPr>
        <w:numPr>
          <w:ilvl w:val="0"/>
          <w:numId w:val="5"/>
        </w:numPr>
        <w:rPr>
          <w:rFonts w:ascii="Times New Roman" w:hAnsi="Times New Roman" w:cs="Times New Roman"/>
          <w:sz w:val="25"/>
          <w:szCs w:val="25"/>
        </w:rPr>
      </w:pPr>
      <w:r w:rsidRPr="00957717">
        <w:rPr>
          <w:rFonts w:ascii="Times New Roman" w:hAnsi="Times New Roman" w:cs="Times New Roman"/>
          <w:b/>
          <w:bCs/>
          <w:sz w:val="25"/>
          <w:szCs w:val="25"/>
        </w:rPr>
        <w:t>Liquidity &amp; Duration:</w:t>
      </w:r>
    </w:p>
    <w:p w14:paraId="3556DF87"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Goal:</w:t>
      </w:r>
      <w:r w:rsidRPr="00957717">
        <w:rPr>
          <w:rFonts w:ascii="Times New Roman" w:hAnsi="Times New Roman" w:cs="Times New Roman"/>
          <w:sz w:val="25"/>
          <w:szCs w:val="25"/>
        </w:rPr>
        <w:t xml:space="preserve"> Identify liquid long-term bonds.</w:t>
      </w:r>
    </w:p>
    <w:p w14:paraId="60C9FE68"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Finding:</w:t>
      </w:r>
      <w:r w:rsidRPr="00957717">
        <w:rPr>
          <w:rFonts w:ascii="Times New Roman" w:hAnsi="Times New Roman" w:cs="Times New Roman"/>
          <w:sz w:val="25"/>
          <w:szCs w:val="25"/>
        </w:rPr>
        <w:t xml:space="preserve"> Large issuers’ “Education” bonds remain actively traded despite long maturities, showing a strong “flight to quality” by institutional investors.</w:t>
      </w:r>
    </w:p>
    <w:p w14:paraId="4031B6BF" w14:textId="77777777" w:rsidR="00957717" w:rsidRPr="00957717" w:rsidRDefault="00957717" w:rsidP="00957717">
      <w:pPr>
        <w:numPr>
          <w:ilvl w:val="0"/>
          <w:numId w:val="5"/>
        </w:numPr>
        <w:rPr>
          <w:rFonts w:ascii="Times New Roman" w:hAnsi="Times New Roman" w:cs="Times New Roman"/>
          <w:sz w:val="25"/>
          <w:szCs w:val="25"/>
        </w:rPr>
      </w:pPr>
      <w:r w:rsidRPr="00957717">
        <w:rPr>
          <w:rFonts w:ascii="Times New Roman" w:hAnsi="Times New Roman" w:cs="Times New Roman"/>
          <w:b/>
          <w:bCs/>
          <w:sz w:val="25"/>
          <w:szCs w:val="25"/>
        </w:rPr>
        <w:t>Credit Sentiment Shifts:</w:t>
      </w:r>
    </w:p>
    <w:p w14:paraId="4E3C847E"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Goal:</w:t>
      </w:r>
      <w:r w:rsidRPr="00957717">
        <w:rPr>
          <w:rFonts w:ascii="Times New Roman" w:hAnsi="Times New Roman" w:cs="Times New Roman"/>
          <w:sz w:val="25"/>
          <w:szCs w:val="25"/>
        </w:rPr>
        <w:t xml:space="preserve"> Track rating outlooks over time.</w:t>
      </w:r>
    </w:p>
    <w:p w14:paraId="02B3BE14"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Finding:</w:t>
      </w:r>
      <w:r w:rsidRPr="00957717">
        <w:rPr>
          <w:rFonts w:ascii="Times New Roman" w:hAnsi="Times New Roman" w:cs="Times New Roman"/>
          <w:sz w:val="25"/>
          <w:szCs w:val="25"/>
        </w:rPr>
        <w:t xml:space="preserve"> Negative outlooks spike roughly six months after unemployment rises, illustrating that ratings tend to lag economic stress.</w:t>
      </w:r>
    </w:p>
    <w:p w14:paraId="448FB2BF" w14:textId="77777777" w:rsidR="00957717" w:rsidRPr="00957717" w:rsidRDefault="00957717" w:rsidP="00957717">
      <w:pPr>
        <w:numPr>
          <w:ilvl w:val="0"/>
          <w:numId w:val="5"/>
        </w:numPr>
        <w:rPr>
          <w:rFonts w:ascii="Times New Roman" w:hAnsi="Times New Roman" w:cs="Times New Roman"/>
          <w:sz w:val="25"/>
          <w:szCs w:val="25"/>
        </w:rPr>
      </w:pPr>
      <w:r w:rsidRPr="00957717">
        <w:rPr>
          <w:rFonts w:ascii="Times New Roman" w:hAnsi="Times New Roman" w:cs="Times New Roman"/>
          <w:b/>
          <w:bCs/>
          <w:sz w:val="25"/>
          <w:szCs w:val="25"/>
        </w:rPr>
        <w:t>Undervalued Opportunities:</w:t>
      </w:r>
    </w:p>
    <w:p w14:paraId="57C92D0B"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Goal:</w:t>
      </w:r>
      <w:r w:rsidRPr="00957717">
        <w:rPr>
          <w:rFonts w:ascii="Times New Roman" w:hAnsi="Times New Roman" w:cs="Times New Roman"/>
          <w:sz w:val="25"/>
          <w:szCs w:val="25"/>
        </w:rPr>
        <w:t xml:space="preserve"> Flag potential value investments.</w:t>
      </w:r>
    </w:p>
    <w:p w14:paraId="5BD1DFCD"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Finding:</w:t>
      </w:r>
      <w:r w:rsidRPr="00957717">
        <w:rPr>
          <w:rFonts w:ascii="Times New Roman" w:hAnsi="Times New Roman" w:cs="Times New Roman"/>
          <w:sz w:val="25"/>
          <w:szCs w:val="25"/>
        </w:rPr>
        <w:t xml:space="preserve"> Fifteen bonds traded &gt;5% below their historical averages while maintaining stable credit ratings—prime candidates for mean-reversion strategies.</w:t>
      </w:r>
    </w:p>
    <w:p w14:paraId="1D83AF64" w14:textId="00CEB53A" w:rsidR="00957717" w:rsidRPr="00957717" w:rsidRDefault="00957717" w:rsidP="00957717">
      <w:pPr>
        <w:rPr>
          <w:rFonts w:ascii="Times New Roman" w:hAnsi="Times New Roman" w:cs="Times New Roman"/>
          <w:sz w:val="25"/>
          <w:szCs w:val="25"/>
        </w:rPr>
      </w:pPr>
    </w:p>
    <w:p w14:paraId="5FEC42BA"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Visualizations</w:t>
      </w:r>
    </w:p>
    <w:p w14:paraId="05C8CAA4"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Interactive Python/</w:t>
      </w:r>
      <w:proofErr w:type="spellStart"/>
      <w:r w:rsidRPr="00957717">
        <w:rPr>
          <w:rFonts w:ascii="Times New Roman" w:hAnsi="Times New Roman" w:cs="Times New Roman"/>
          <w:sz w:val="25"/>
          <w:szCs w:val="25"/>
        </w:rPr>
        <w:t>Plotly</w:t>
      </w:r>
      <w:proofErr w:type="spellEnd"/>
      <w:r w:rsidRPr="00957717">
        <w:rPr>
          <w:rFonts w:ascii="Times New Roman" w:hAnsi="Times New Roman" w:cs="Times New Roman"/>
          <w:sz w:val="25"/>
          <w:szCs w:val="25"/>
        </w:rPr>
        <w:t xml:space="preserve"> dashboards helped bring the SQL findings to life:</w:t>
      </w:r>
    </w:p>
    <w:p w14:paraId="0312ACBB" w14:textId="77777777" w:rsidR="00957717"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Yield Curve by Rating:</w:t>
      </w:r>
      <w:r w:rsidRPr="00957717">
        <w:rPr>
          <w:rFonts w:ascii="Times New Roman" w:hAnsi="Times New Roman" w:cs="Times New Roman"/>
          <w:sz w:val="25"/>
          <w:szCs w:val="25"/>
        </w:rPr>
        <w:t xml:space="preserve"> Shows a normal upward-sloping curve; higher-rated bonds form a lower bound, lower-rated </w:t>
      </w:r>
      <w:proofErr w:type="gramStart"/>
      <w:r w:rsidRPr="00957717">
        <w:rPr>
          <w:rFonts w:ascii="Times New Roman" w:hAnsi="Times New Roman" w:cs="Times New Roman"/>
          <w:sz w:val="25"/>
          <w:szCs w:val="25"/>
        </w:rPr>
        <w:t>ones</w:t>
      </w:r>
      <w:proofErr w:type="gramEnd"/>
      <w:r w:rsidRPr="00957717">
        <w:rPr>
          <w:rFonts w:ascii="Times New Roman" w:hAnsi="Times New Roman" w:cs="Times New Roman"/>
          <w:sz w:val="25"/>
          <w:szCs w:val="25"/>
        </w:rPr>
        <w:t xml:space="preserve"> scatter above.</w:t>
      </w:r>
    </w:p>
    <w:p w14:paraId="5A138A78" w14:textId="2CFCE7CF" w:rsidR="00957717" w:rsidRDefault="00957717" w:rsidP="00957717">
      <w:pPr>
        <w:ind w:left="360"/>
        <w:rPr>
          <w:rFonts w:ascii="Times New Roman" w:hAnsi="Times New Roman" w:cs="Times New Roman"/>
          <w:sz w:val="25"/>
          <w:szCs w:val="25"/>
        </w:rPr>
      </w:pPr>
      <w:r>
        <w:rPr>
          <w:noProof/>
        </w:rPr>
        <w:lastRenderedPageBreak/>
        <w:drawing>
          <wp:inline distT="0" distB="0" distL="0" distR="0" wp14:anchorId="7D55A9F7" wp14:editId="30E5EB95">
            <wp:extent cx="5943600" cy="2080895"/>
            <wp:effectExtent l="0" t="0" r="0" b="0"/>
            <wp:docPr id="6" name="image5.png" descr="A group of small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5.png" descr="A group of small colored dots&#10;&#10;AI-generated content may be incorrect."/>
                    <pic:cNvPicPr/>
                  </pic:nvPicPr>
                  <pic:blipFill>
                    <a:blip r:embed="rId6"/>
                    <a:srcRect/>
                    <a:stretch>
                      <a:fillRect/>
                    </a:stretch>
                  </pic:blipFill>
                  <pic:spPr>
                    <a:xfrm>
                      <a:off x="0" y="0"/>
                      <a:ext cx="5943600" cy="2080895"/>
                    </a:xfrm>
                    <a:prstGeom prst="rect">
                      <a:avLst/>
                    </a:prstGeom>
                    <a:ln/>
                  </pic:spPr>
                </pic:pic>
              </a:graphicData>
            </a:graphic>
          </wp:inline>
        </w:drawing>
      </w:r>
    </w:p>
    <w:p w14:paraId="618D9F21" w14:textId="70424336" w:rsidR="00957717" w:rsidRPr="00957717" w:rsidRDefault="00957717" w:rsidP="00957717">
      <w:pPr>
        <w:rPr>
          <w:rFonts w:ascii="Times New Roman" w:hAnsi="Times New Roman" w:cs="Times New Roman"/>
          <w:sz w:val="25"/>
          <w:szCs w:val="25"/>
        </w:rPr>
      </w:pPr>
    </w:p>
    <w:p w14:paraId="45240E73" w14:textId="0E8B2FBE" w:rsidR="00957717" w:rsidRPr="00957717" w:rsidRDefault="00957717" w:rsidP="00957717">
      <w:pPr>
        <w:widowControl w:val="0"/>
        <w:numPr>
          <w:ilvl w:val="0"/>
          <w:numId w:val="6"/>
        </w:numPr>
        <w:spacing w:after="120" w:line="275" w:lineRule="auto"/>
        <w:rPr>
          <w:rFonts w:ascii="Arial" w:eastAsia="Times New Roman" w:hAnsi="Arial" w:cs="Arial"/>
          <w:kern w:val="0"/>
          <w:sz w:val="22"/>
          <w:szCs w:val="22"/>
          <w14:ligatures w14:val="none"/>
        </w:rPr>
      </w:pPr>
      <w:r w:rsidRPr="00957717">
        <w:rPr>
          <w:rFonts w:ascii="Times New Roman" w:eastAsia="Times New Roman" w:hAnsi="Times New Roman" w:cs="Times New Roman"/>
          <w:b/>
          <w:bCs/>
          <w:color w:val="1F1F1F"/>
          <w:kern w:val="0"/>
          <w:sz w:val="22"/>
          <w:szCs w:val="22"/>
          <w14:ligatures w14:val="none"/>
        </w:rPr>
        <w:t>Interpretation:</w:t>
      </w:r>
      <w:r w:rsidRPr="00957717">
        <w:rPr>
          <w:rFonts w:ascii="Times New Roman" w:eastAsia="Times New Roman" w:hAnsi="Times New Roman" w:cs="Times New Roman"/>
          <w:color w:val="1F1F1F"/>
          <w:kern w:val="0"/>
          <w:sz w:val="22"/>
          <w:szCs w:val="22"/>
          <w14:ligatures w14:val="none"/>
        </w:rPr>
        <w:t xml:space="preserve"> The chart clearly displays the term structure of interest rates. Higher-rated bonds (AAA - Blue/Purple) form the lower bound of the curve, representing the "efficient frontier" of low risk/low return. Lower-rated bonds are dispersed significantly above this curve. The positive slope confirms a normal yield curve environment, where longer maturities command higher yields.</w:t>
      </w:r>
    </w:p>
    <w:p w14:paraId="7E79296B" w14:textId="3DD8E709" w:rsidR="00957717"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Sector Performance:</w:t>
      </w:r>
      <w:r w:rsidRPr="00957717">
        <w:rPr>
          <w:rFonts w:ascii="Times New Roman" w:hAnsi="Times New Roman" w:cs="Times New Roman"/>
          <w:sz w:val="25"/>
          <w:szCs w:val="25"/>
        </w:rPr>
        <w:t xml:space="preserve"> Highlights “Transportation” and “Healthcare” with the highest average coupons; “Public Safety” the lowest.</w:t>
      </w:r>
    </w:p>
    <w:p w14:paraId="570D3B57" w14:textId="1F664B31" w:rsidR="00957717" w:rsidRPr="00957717" w:rsidRDefault="00957717" w:rsidP="00957717">
      <w:pPr>
        <w:ind w:left="360"/>
        <w:rPr>
          <w:rFonts w:ascii="Times New Roman" w:hAnsi="Times New Roman" w:cs="Times New Roman"/>
          <w:sz w:val="25"/>
          <w:szCs w:val="25"/>
        </w:rPr>
      </w:pPr>
      <w:r>
        <w:rPr>
          <w:noProof/>
        </w:rPr>
        <w:drawing>
          <wp:inline distT="0" distB="0" distL="0" distR="0" wp14:anchorId="325F591D" wp14:editId="6564B62C">
            <wp:extent cx="5943600" cy="1892300"/>
            <wp:effectExtent l="0" t="0" r="0" b="0"/>
            <wp:docPr id="1" name="image3.png" descr="A colorful square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colorful squares with white text&#10;&#10;AI-generated content may be incorrect."/>
                    <pic:cNvPicPr/>
                  </pic:nvPicPr>
                  <pic:blipFill>
                    <a:blip r:embed="rId7"/>
                    <a:srcRect/>
                    <a:stretch>
                      <a:fillRect/>
                    </a:stretch>
                  </pic:blipFill>
                  <pic:spPr>
                    <a:xfrm>
                      <a:off x="0" y="0"/>
                      <a:ext cx="5943600" cy="1892300"/>
                    </a:xfrm>
                    <a:prstGeom prst="rect">
                      <a:avLst/>
                    </a:prstGeom>
                    <a:ln/>
                  </pic:spPr>
                </pic:pic>
              </a:graphicData>
            </a:graphic>
          </wp:inline>
        </w:drawing>
      </w:r>
    </w:p>
    <w:p w14:paraId="189533BC" w14:textId="706729F8" w:rsidR="00957717" w:rsidRPr="00957717" w:rsidRDefault="00957717" w:rsidP="00957717">
      <w:pPr>
        <w:widowControl w:val="0"/>
        <w:numPr>
          <w:ilvl w:val="0"/>
          <w:numId w:val="6"/>
        </w:numPr>
        <w:spacing w:after="120" w:line="275" w:lineRule="auto"/>
        <w:rPr>
          <w:rFonts w:ascii="Arial" w:eastAsia="Times New Roman" w:hAnsi="Arial" w:cs="Arial"/>
          <w:kern w:val="0"/>
          <w:sz w:val="22"/>
          <w:szCs w:val="22"/>
          <w14:ligatures w14:val="none"/>
        </w:rPr>
      </w:pPr>
      <w:r w:rsidRPr="00957717">
        <w:rPr>
          <w:rFonts w:ascii="Times New Roman" w:eastAsia="Times New Roman" w:hAnsi="Times New Roman" w:cs="Times New Roman"/>
          <w:b/>
          <w:bCs/>
          <w:color w:val="1F1F1F"/>
          <w:kern w:val="0"/>
          <w:sz w:val="22"/>
          <w:szCs w:val="22"/>
          <w14:ligatures w14:val="none"/>
        </w:rPr>
        <w:t>Interpretation:</w:t>
      </w:r>
      <w:r w:rsidRPr="00957717">
        <w:rPr>
          <w:rFonts w:ascii="Times New Roman" w:eastAsia="Times New Roman" w:hAnsi="Times New Roman" w:cs="Times New Roman"/>
          <w:color w:val="1F1F1F"/>
          <w:kern w:val="0"/>
          <w:sz w:val="22"/>
          <w:szCs w:val="22"/>
          <w14:ligatures w14:val="none"/>
        </w:rPr>
        <w:t xml:space="preserve"> This visualization highlights that </w:t>
      </w:r>
      <w:r w:rsidRPr="00957717">
        <w:rPr>
          <w:rFonts w:ascii="Times New Roman" w:eastAsia="Times New Roman" w:hAnsi="Times New Roman" w:cs="Times New Roman"/>
          <w:b/>
          <w:bCs/>
          <w:color w:val="1F1F1F"/>
          <w:kern w:val="0"/>
          <w:sz w:val="22"/>
          <w:szCs w:val="22"/>
          <w14:ligatures w14:val="none"/>
        </w:rPr>
        <w:t>"Transportation"</w:t>
      </w:r>
      <w:r w:rsidRPr="00957717">
        <w:rPr>
          <w:rFonts w:ascii="Times New Roman" w:eastAsia="Times New Roman" w:hAnsi="Times New Roman" w:cs="Times New Roman"/>
          <w:color w:val="1F1F1F"/>
          <w:kern w:val="0"/>
          <w:sz w:val="22"/>
          <w:szCs w:val="22"/>
          <w14:ligatures w14:val="none"/>
        </w:rPr>
        <w:t xml:space="preserve"> and </w:t>
      </w:r>
      <w:r w:rsidRPr="00957717">
        <w:rPr>
          <w:rFonts w:ascii="Times New Roman" w:eastAsia="Times New Roman" w:hAnsi="Times New Roman" w:cs="Times New Roman"/>
          <w:b/>
          <w:bCs/>
          <w:color w:val="1F1F1F"/>
          <w:kern w:val="0"/>
          <w:sz w:val="22"/>
          <w:szCs w:val="22"/>
          <w14:ligatures w14:val="none"/>
        </w:rPr>
        <w:t>"Healthcare"</w:t>
      </w:r>
      <w:r w:rsidRPr="00957717">
        <w:rPr>
          <w:rFonts w:ascii="Times New Roman" w:eastAsia="Times New Roman" w:hAnsi="Times New Roman" w:cs="Times New Roman"/>
          <w:color w:val="1F1F1F"/>
          <w:kern w:val="0"/>
          <w:sz w:val="22"/>
          <w:szCs w:val="22"/>
          <w14:ligatures w14:val="none"/>
        </w:rPr>
        <w:t xml:space="preserve"> sectors bear the highest average coupon rates. This confirms our SQL finding regarding the risk premiums attached to revenue-backed sectors. Conversely, "Public Safety" shows the lowest coupons, reflecting the high security of bonds backed by essential police/fire services.</w:t>
      </w:r>
    </w:p>
    <w:p w14:paraId="6F532E0B" w14:textId="77777777" w:rsidR="00957717" w:rsidRPr="00957717" w:rsidRDefault="00957717" w:rsidP="00957717">
      <w:pPr>
        <w:ind w:left="720"/>
        <w:rPr>
          <w:rFonts w:ascii="Times New Roman" w:hAnsi="Times New Roman" w:cs="Times New Roman"/>
          <w:sz w:val="25"/>
          <w:szCs w:val="25"/>
        </w:rPr>
      </w:pPr>
    </w:p>
    <w:p w14:paraId="0936E384" w14:textId="40C20C00" w:rsidR="00957717"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Trading Volume by State:</w:t>
      </w:r>
      <w:r w:rsidRPr="00957717">
        <w:rPr>
          <w:rFonts w:ascii="Times New Roman" w:hAnsi="Times New Roman" w:cs="Times New Roman"/>
          <w:sz w:val="25"/>
          <w:szCs w:val="25"/>
        </w:rPr>
        <w:t xml:space="preserve"> Concentration in CA, NY, TX suggests systemic market sensitivity to just a few states.</w:t>
      </w:r>
    </w:p>
    <w:p w14:paraId="3EB78934" w14:textId="77F82DF9" w:rsidR="00957717" w:rsidRPr="00957717" w:rsidRDefault="00957717" w:rsidP="00957717">
      <w:pPr>
        <w:rPr>
          <w:rFonts w:ascii="Times New Roman" w:hAnsi="Times New Roman" w:cs="Times New Roman"/>
          <w:sz w:val="25"/>
          <w:szCs w:val="25"/>
        </w:rPr>
      </w:pPr>
      <w:r>
        <w:rPr>
          <w:noProof/>
        </w:rPr>
        <w:lastRenderedPageBreak/>
        <w:drawing>
          <wp:inline distT="0" distB="0" distL="0" distR="0" wp14:anchorId="07089D6E" wp14:editId="3D257EB0">
            <wp:extent cx="5943600" cy="1790700"/>
            <wp:effectExtent l="0" t="0" r="0" b="0"/>
            <wp:docPr id="2" name="image2.png" descr="A graph of a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graph of a bar chart&#10;&#10;AI-generated content may be incorrect."/>
                    <pic:cNvPicPr/>
                  </pic:nvPicPr>
                  <pic:blipFill>
                    <a:blip r:embed="rId8"/>
                    <a:srcRect/>
                    <a:stretch>
                      <a:fillRect/>
                    </a:stretch>
                  </pic:blipFill>
                  <pic:spPr>
                    <a:xfrm>
                      <a:off x="0" y="0"/>
                      <a:ext cx="5943600" cy="1790700"/>
                    </a:xfrm>
                    <a:prstGeom prst="rect">
                      <a:avLst/>
                    </a:prstGeom>
                    <a:ln/>
                  </pic:spPr>
                </pic:pic>
              </a:graphicData>
            </a:graphic>
          </wp:inline>
        </w:drawing>
      </w:r>
    </w:p>
    <w:p w14:paraId="25043899" w14:textId="77777777" w:rsidR="00957717" w:rsidRPr="00957717" w:rsidRDefault="00957717" w:rsidP="00957717">
      <w:pPr>
        <w:widowControl w:val="0"/>
        <w:numPr>
          <w:ilvl w:val="0"/>
          <w:numId w:val="6"/>
        </w:numPr>
        <w:spacing w:after="120" w:line="275" w:lineRule="auto"/>
        <w:rPr>
          <w:rFonts w:ascii="Arial" w:eastAsia="Times New Roman" w:hAnsi="Arial" w:cs="Arial"/>
          <w:kern w:val="0"/>
          <w:sz w:val="22"/>
          <w:szCs w:val="22"/>
          <w14:ligatures w14:val="none"/>
        </w:rPr>
      </w:pPr>
      <w:r w:rsidRPr="00957717">
        <w:rPr>
          <w:rFonts w:ascii="Times New Roman" w:eastAsia="Times New Roman" w:hAnsi="Times New Roman" w:cs="Times New Roman"/>
          <w:b/>
          <w:bCs/>
          <w:color w:val="1F1F1F"/>
          <w:kern w:val="0"/>
          <w:sz w:val="22"/>
          <w:szCs w:val="22"/>
          <w14:ligatures w14:val="none"/>
        </w:rPr>
        <w:t>Interpretation:</w:t>
      </w:r>
      <w:r w:rsidRPr="00957717">
        <w:rPr>
          <w:rFonts w:ascii="Times New Roman" w:eastAsia="Times New Roman" w:hAnsi="Times New Roman" w:cs="Times New Roman"/>
          <w:color w:val="1F1F1F"/>
          <w:kern w:val="0"/>
          <w:sz w:val="22"/>
          <w:szCs w:val="22"/>
          <w14:ligatures w14:val="none"/>
        </w:rPr>
        <w:t xml:space="preserve"> Issuance volume is heavily concentrated in three states: </w:t>
      </w:r>
      <w:r w:rsidRPr="00957717">
        <w:rPr>
          <w:rFonts w:ascii="Times New Roman" w:eastAsia="Times New Roman" w:hAnsi="Times New Roman" w:cs="Times New Roman"/>
          <w:b/>
          <w:bCs/>
          <w:color w:val="1F1F1F"/>
          <w:kern w:val="0"/>
          <w:sz w:val="22"/>
          <w:szCs w:val="22"/>
          <w14:ligatures w14:val="none"/>
        </w:rPr>
        <w:t>California, New York, and Texas</w:t>
      </w:r>
      <w:r w:rsidRPr="00957717">
        <w:rPr>
          <w:rFonts w:ascii="Times New Roman" w:eastAsia="Times New Roman" w:hAnsi="Times New Roman" w:cs="Times New Roman"/>
          <w:color w:val="1F1F1F"/>
          <w:kern w:val="0"/>
          <w:sz w:val="22"/>
          <w:szCs w:val="22"/>
          <w14:ligatures w14:val="none"/>
        </w:rPr>
        <w:t>. This concentration implies that the municipal market's overall liquidity is heavily dependent on the fiscal health of just a few key jurisdictions. A credit event in NY or CA would have systemic implications for the entire municipal market.</w:t>
      </w:r>
    </w:p>
    <w:p w14:paraId="7E2AFD64" w14:textId="77777777" w:rsidR="00957717" w:rsidRPr="00957717" w:rsidRDefault="00957717" w:rsidP="00957717">
      <w:pPr>
        <w:ind w:left="360"/>
        <w:rPr>
          <w:rFonts w:ascii="Times New Roman" w:hAnsi="Times New Roman" w:cs="Times New Roman"/>
          <w:sz w:val="25"/>
          <w:szCs w:val="25"/>
        </w:rPr>
      </w:pPr>
    </w:p>
    <w:p w14:paraId="19C2E9E4" w14:textId="627A0552" w:rsidR="00957717"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Credit Sentiment Trend:</w:t>
      </w:r>
      <w:r w:rsidRPr="00957717">
        <w:rPr>
          <w:rFonts w:ascii="Times New Roman" w:hAnsi="Times New Roman" w:cs="Times New Roman"/>
          <w:sz w:val="25"/>
          <w:szCs w:val="25"/>
        </w:rPr>
        <w:t xml:space="preserve"> Time-series chart shows sentiment drops aligning with macro shocks like 2020.</w:t>
      </w:r>
    </w:p>
    <w:p w14:paraId="766A423F" w14:textId="5294F777" w:rsidR="00957717" w:rsidRPr="00957717" w:rsidRDefault="00957717" w:rsidP="00957717">
      <w:pPr>
        <w:rPr>
          <w:rFonts w:ascii="Times New Roman" w:hAnsi="Times New Roman" w:cs="Times New Roman"/>
          <w:sz w:val="25"/>
          <w:szCs w:val="25"/>
        </w:rPr>
      </w:pPr>
      <w:r>
        <w:rPr>
          <w:noProof/>
        </w:rPr>
        <w:drawing>
          <wp:inline distT="0" distB="0" distL="0" distR="0" wp14:anchorId="79CC92C2" wp14:editId="715448FD">
            <wp:extent cx="5943600" cy="1714500"/>
            <wp:effectExtent l="0" t="0" r="0" b="0"/>
            <wp:docPr id="4" name="image1.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screenshot of a computer screen&#10;&#10;AI-generated content may be incorrect."/>
                    <pic:cNvPicPr/>
                  </pic:nvPicPr>
                  <pic:blipFill>
                    <a:blip r:embed="rId9"/>
                    <a:srcRect/>
                    <a:stretch>
                      <a:fillRect/>
                    </a:stretch>
                  </pic:blipFill>
                  <pic:spPr>
                    <a:xfrm>
                      <a:off x="0" y="0"/>
                      <a:ext cx="5943600" cy="1714500"/>
                    </a:xfrm>
                    <a:prstGeom prst="rect">
                      <a:avLst/>
                    </a:prstGeom>
                    <a:ln/>
                  </pic:spPr>
                </pic:pic>
              </a:graphicData>
            </a:graphic>
          </wp:inline>
        </w:drawing>
      </w:r>
    </w:p>
    <w:p w14:paraId="6FD4D24E" w14:textId="033BF880" w:rsidR="00957717" w:rsidRPr="00957717"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Interpretation:</w:t>
      </w:r>
      <w:r w:rsidRPr="00957717">
        <w:rPr>
          <w:rFonts w:ascii="Times New Roman" w:hAnsi="Times New Roman" w:cs="Times New Roman"/>
          <w:sz w:val="25"/>
          <w:szCs w:val="25"/>
        </w:rPr>
        <w:t xml:space="preserve"> The time-series line chart allows us to visually correlate drops in sentiment score with external timeline events. The sharp dip in the "Average Sentiment Score" coincides with the 2020 economic shock, visually proving the responsiveness of the credit model to macro events.</w:t>
      </w:r>
    </w:p>
    <w:p w14:paraId="65938660" w14:textId="1181D401" w:rsidR="00957717"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Trading Activity &amp; Liquidity:</w:t>
      </w:r>
      <w:r w:rsidRPr="00957717">
        <w:rPr>
          <w:rFonts w:ascii="Times New Roman" w:hAnsi="Times New Roman" w:cs="Times New Roman"/>
          <w:sz w:val="25"/>
          <w:szCs w:val="25"/>
        </w:rPr>
        <w:t xml:space="preserve"> Institutional investors dominate trade volume; retail activity is frequent but smaller in dollar terms.</w:t>
      </w:r>
      <w:r w:rsidRPr="00957717">
        <w:rPr>
          <w:noProof/>
        </w:rPr>
        <w:t xml:space="preserve"> </w:t>
      </w:r>
      <w:r>
        <w:rPr>
          <w:noProof/>
        </w:rPr>
        <w:drawing>
          <wp:inline distT="0" distB="0" distL="0" distR="0" wp14:anchorId="3670FC5C" wp14:editId="26FE2ACB">
            <wp:extent cx="5943600" cy="1423670"/>
            <wp:effectExtent l="0" t="0" r="0" b="5080"/>
            <wp:docPr id="5" name="image4.png" descr="A blue line graph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4.png" descr="A blue line graph with black text&#10;&#10;AI-generated content may be incorrect."/>
                    <pic:cNvPicPr/>
                  </pic:nvPicPr>
                  <pic:blipFill>
                    <a:blip r:embed="rId10"/>
                    <a:srcRect/>
                    <a:stretch>
                      <a:fillRect/>
                    </a:stretch>
                  </pic:blipFill>
                  <pic:spPr>
                    <a:xfrm>
                      <a:off x="0" y="0"/>
                      <a:ext cx="5943600" cy="1423670"/>
                    </a:xfrm>
                    <a:prstGeom prst="rect">
                      <a:avLst/>
                    </a:prstGeom>
                    <a:ln/>
                  </pic:spPr>
                </pic:pic>
              </a:graphicData>
            </a:graphic>
          </wp:inline>
        </w:drawing>
      </w:r>
    </w:p>
    <w:p w14:paraId="5A2AE376" w14:textId="3F7F425E" w:rsidR="00957717" w:rsidRDefault="00957717" w:rsidP="00957717">
      <w:pPr>
        <w:ind w:left="720"/>
        <w:rPr>
          <w:rFonts w:ascii="Times New Roman" w:hAnsi="Times New Roman" w:cs="Times New Roman"/>
          <w:sz w:val="25"/>
          <w:szCs w:val="25"/>
        </w:rPr>
      </w:pPr>
      <w:r>
        <w:rPr>
          <w:noProof/>
        </w:rPr>
        <w:lastRenderedPageBreak/>
        <w:drawing>
          <wp:inline distT="0" distB="0" distL="0" distR="0" wp14:anchorId="1021D888" wp14:editId="167A7B08">
            <wp:extent cx="5943600" cy="990600"/>
            <wp:effectExtent l="0" t="0" r="0" b="0"/>
            <wp:docPr id="7" name="image7.png" descr="A colorful circle with a circle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A colorful circle with a circle in the middle&#10;&#10;AI-generated content may be incorrect."/>
                    <pic:cNvPicPr/>
                  </pic:nvPicPr>
                  <pic:blipFill>
                    <a:blip r:embed="rId11"/>
                    <a:srcRect/>
                    <a:stretch>
                      <a:fillRect/>
                    </a:stretch>
                  </pic:blipFill>
                  <pic:spPr>
                    <a:xfrm>
                      <a:off x="0" y="0"/>
                      <a:ext cx="5943600" cy="990600"/>
                    </a:xfrm>
                    <a:prstGeom prst="rect">
                      <a:avLst/>
                    </a:prstGeom>
                    <a:ln/>
                  </pic:spPr>
                </pic:pic>
              </a:graphicData>
            </a:graphic>
          </wp:inline>
        </w:drawing>
      </w:r>
    </w:p>
    <w:p w14:paraId="4436C139" w14:textId="49D75348" w:rsidR="00957717" w:rsidRPr="00957717" w:rsidRDefault="00957717" w:rsidP="00957717">
      <w:pPr>
        <w:widowControl w:val="0"/>
        <w:numPr>
          <w:ilvl w:val="0"/>
          <w:numId w:val="6"/>
        </w:numPr>
        <w:spacing w:after="120" w:line="275" w:lineRule="auto"/>
        <w:rPr>
          <w:rFonts w:ascii="Arial" w:eastAsia="Times New Roman" w:hAnsi="Arial" w:cs="Arial"/>
          <w:kern w:val="0"/>
          <w:sz w:val="22"/>
          <w:szCs w:val="22"/>
          <w14:ligatures w14:val="none"/>
        </w:rPr>
      </w:pPr>
      <w:r w:rsidRPr="00957717">
        <w:rPr>
          <w:rFonts w:ascii="Times New Roman" w:eastAsia="Times New Roman" w:hAnsi="Times New Roman" w:cs="Times New Roman"/>
          <w:b/>
          <w:bCs/>
          <w:color w:val="1F1F1F"/>
          <w:kern w:val="0"/>
          <w:sz w:val="22"/>
          <w:szCs w:val="22"/>
          <w14:ligatures w14:val="none"/>
        </w:rPr>
        <w:t>Interpretation:</w:t>
      </w:r>
      <w:r w:rsidRPr="00957717">
        <w:rPr>
          <w:rFonts w:ascii="Times New Roman" w:eastAsia="Times New Roman" w:hAnsi="Times New Roman" w:cs="Times New Roman"/>
          <w:color w:val="1F1F1F"/>
          <w:kern w:val="0"/>
          <w:sz w:val="22"/>
          <w:szCs w:val="22"/>
          <w14:ligatures w14:val="none"/>
        </w:rPr>
        <w:t xml:space="preserve"> The volume chart shows distinct spikes in trading activity, often correlating with quarter-end rebalancing. The buyer distribution chart confirms that </w:t>
      </w:r>
      <w:r w:rsidRPr="00957717">
        <w:rPr>
          <w:rFonts w:ascii="Times New Roman" w:eastAsia="Times New Roman" w:hAnsi="Times New Roman" w:cs="Times New Roman"/>
          <w:b/>
          <w:bCs/>
          <w:color w:val="1F1F1F"/>
          <w:kern w:val="0"/>
          <w:sz w:val="22"/>
          <w:szCs w:val="22"/>
          <w14:ligatures w14:val="none"/>
        </w:rPr>
        <w:t>Institutional</w:t>
      </w:r>
      <w:r w:rsidRPr="00957717">
        <w:rPr>
          <w:rFonts w:ascii="Times New Roman" w:eastAsia="Times New Roman" w:hAnsi="Times New Roman" w:cs="Times New Roman"/>
          <w:color w:val="1F1F1F"/>
          <w:kern w:val="0"/>
          <w:sz w:val="22"/>
          <w:szCs w:val="22"/>
          <w14:ligatures w14:val="none"/>
        </w:rPr>
        <w:t xml:space="preserve"> buyers (Asset Managers, Banks) account for </w:t>
      </w:r>
      <w:proofErr w:type="gramStart"/>
      <w:r w:rsidRPr="00957717">
        <w:rPr>
          <w:rFonts w:ascii="Times New Roman" w:eastAsia="Times New Roman" w:hAnsi="Times New Roman" w:cs="Times New Roman"/>
          <w:color w:val="1F1F1F"/>
          <w:kern w:val="0"/>
          <w:sz w:val="22"/>
          <w:szCs w:val="22"/>
          <w14:ligatures w14:val="none"/>
        </w:rPr>
        <w:t>the vast majority of</w:t>
      </w:r>
      <w:proofErr w:type="gramEnd"/>
      <w:r w:rsidRPr="00957717">
        <w:rPr>
          <w:rFonts w:ascii="Times New Roman" w:eastAsia="Times New Roman" w:hAnsi="Times New Roman" w:cs="Times New Roman"/>
          <w:color w:val="1F1F1F"/>
          <w:kern w:val="0"/>
          <w:sz w:val="22"/>
          <w:szCs w:val="22"/>
          <w14:ligatures w14:val="none"/>
        </w:rPr>
        <w:t xml:space="preserve"> trade volume, while </w:t>
      </w:r>
      <w:r w:rsidRPr="00957717">
        <w:rPr>
          <w:rFonts w:ascii="Times New Roman" w:eastAsia="Times New Roman" w:hAnsi="Times New Roman" w:cs="Times New Roman"/>
          <w:b/>
          <w:bCs/>
          <w:color w:val="1F1F1F"/>
          <w:kern w:val="0"/>
          <w:sz w:val="22"/>
          <w:szCs w:val="22"/>
          <w14:ligatures w14:val="none"/>
        </w:rPr>
        <w:t>Retail</w:t>
      </w:r>
      <w:r w:rsidRPr="00957717">
        <w:rPr>
          <w:rFonts w:ascii="Times New Roman" w:eastAsia="Times New Roman" w:hAnsi="Times New Roman" w:cs="Times New Roman"/>
          <w:color w:val="1F1F1F"/>
          <w:kern w:val="0"/>
          <w:sz w:val="22"/>
          <w:szCs w:val="22"/>
          <w14:ligatures w14:val="none"/>
        </w:rPr>
        <w:t xml:space="preserve"> activity is significant in trade count but smaller in total dollar value.</w:t>
      </w:r>
    </w:p>
    <w:p w14:paraId="5B36114C" w14:textId="77777777" w:rsidR="00957717" w:rsidRPr="00957717" w:rsidRDefault="00957717" w:rsidP="00957717">
      <w:pPr>
        <w:rPr>
          <w:rFonts w:ascii="Times New Roman" w:hAnsi="Times New Roman" w:cs="Times New Roman"/>
          <w:sz w:val="25"/>
          <w:szCs w:val="25"/>
        </w:rPr>
      </w:pPr>
    </w:p>
    <w:p w14:paraId="6796F3B4" w14:textId="150B107F" w:rsidR="00957717" w:rsidRPr="00957717" w:rsidRDefault="00957717" w:rsidP="00957717">
      <w:pPr>
        <w:rPr>
          <w:rFonts w:ascii="Times New Roman" w:hAnsi="Times New Roman" w:cs="Times New Roman"/>
          <w:sz w:val="25"/>
          <w:szCs w:val="25"/>
        </w:rPr>
      </w:pPr>
    </w:p>
    <w:p w14:paraId="251030A3"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Technical Implementation</w:t>
      </w:r>
    </w:p>
    <w:p w14:paraId="7926946F" w14:textId="77777777" w:rsidR="00957717" w:rsidRPr="00957717" w:rsidRDefault="00957717" w:rsidP="00957717">
      <w:pPr>
        <w:numPr>
          <w:ilvl w:val="0"/>
          <w:numId w:val="7"/>
        </w:numPr>
        <w:rPr>
          <w:rFonts w:ascii="Times New Roman" w:hAnsi="Times New Roman" w:cs="Times New Roman"/>
          <w:sz w:val="25"/>
          <w:szCs w:val="25"/>
        </w:rPr>
      </w:pPr>
      <w:r w:rsidRPr="00957717">
        <w:rPr>
          <w:rFonts w:ascii="Times New Roman" w:hAnsi="Times New Roman" w:cs="Times New Roman"/>
          <w:b/>
          <w:bCs/>
          <w:sz w:val="25"/>
          <w:szCs w:val="25"/>
        </w:rPr>
        <w:t>ETL Pipeline (load.py):</w:t>
      </w:r>
      <w:r w:rsidRPr="00957717">
        <w:rPr>
          <w:rFonts w:ascii="Times New Roman" w:hAnsi="Times New Roman" w:cs="Times New Roman"/>
          <w:sz w:val="25"/>
          <w:szCs w:val="25"/>
        </w:rPr>
        <w:t xml:space="preserve"> Python, pandas, and </w:t>
      </w:r>
      <w:proofErr w:type="spellStart"/>
      <w:r w:rsidRPr="00957717">
        <w:rPr>
          <w:rFonts w:ascii="Times New Roman" w:hAnsi="Times New Roman" w:cs="Times New Roman"/>
          <w:sz w:val="25"/>
          <w:szCs w:val="25"/>
        </w:rPr>
        <w:t>SQLAlchemy</w:t>
      </w:r>
      <w:proofErr w:type="spellEnd"/>
      <w:r w:rsidRPr="00957717">
        <w:rPr>
          <w:rFonts w:ascii="Times New Roman" w:hAnsi="Times New Roman" w:cs="Times New Roman"/>
          <w:sz w:val="25"/>
          <w:szCs w:val="25"/>
        </w:rPr>
        <w:t xml:space="preserve"> ensure proper data sequencing and integrity. An ordered dictionary enforces dimension → fact → time-series loading, preventing FK violations.</w:t>
      </w:r>
    </w:p>
    <w:p w14:paraId="58196181" w14:textId="77777777" w:rsidR="00957717" w:rsidRPr="00957717" w:rsidRDefault="00957717" w:rsidP="00957717">
      <w:pPr>
        <w:numPr>
          <w:ilvl w:val="0"/>
          <w:numId w:val="7"/>
        </w:numPr>
        <w:rPr>
          <w:rFonts w:ascii="Times New Roman" w:hAnsi="Times New Roman" w:cs="Times New Roman"/>
          <w:sz w:val="25"/>
          <w:szCs w:val="25"/>
        </w:rPr>
      </w:pPr>
      <w:r w:rsidRPr="00957717">
        <w:rPr>
          <w:rFonts w:ascii="Times New Roman" w:hAnsi="Times New Roman" w:cs="Times New Roman"/>
          <w:b/>
          <w:bCs/>
          <w:sz w:val="25"/>
          <w:szCs w:val="25"/>
        </w:rPr>
        <w:t>Audit System (</w:t>
      </w:r>
      <w:proofErr w:type="spellStart"/>
      <w:r w:rsidRPr="00957717">
        <w:rPr>
          <w:rFonts w:ascii="Times New Roman" w:hAnsi="Times New Roman" w:cs="Times New Roman"/>
          <w:b/>
          <w:bCs/>
          <w:sz w:val="25"/>
          <w:szCs w:val="25"/>
        </w:rPr>
        <w:t>municipal_triggers.sql</w:t>
      </w:r>
      <w:proofErr w:type="spellEnd"/>
      <w:r w:rsidRPr="00957717">
        <w:rPr>
          <w:rFonts w:ascii="Times New Roman" w:hAnsi="Times New Roman" w:cs="Times New Roman"/>
          <w:b/>
          <w:bCs/>
          <w:sz w:val="25"/>
          <w:szCs w:val="25"/>
        </w:rPr>
        <w:t>):</w:t>
      </w:r>
      <w:r w:rsidRPr="00957717">
        <w:rPr>
          <w:rFonts w:ascii="Times New Roman" w:hAnsi="Times New Roman" w:cs="Times New Roman"/>
          <w:sz w:val="25"/>
          <w:szCs w:val="25"/>
        </w:rPr>
        <w:t xml:space="preserve"> Triggers log all INSERT/UPDATE/DELETE events, recording user, timestamp, and record ID in an </w:t>
      </w:r>
      <w:proofErr w:type="spellStart"/>
      <w:r w:rsidRPr="00957717">
        <w:rPr>
          <w:rFonts w:ascii="Times New Roman" w:hAnsi="Times New Roman" w:cs="Times New Roman"/>
          <w:b/>
          <w:bCs/>
          <w:sz w:val="25"/>
          <w:szCs w:val="25"/>
        </w:rPr>
        <w:t>audit_logs</w:t>
      </w:r>
      <w:proofErr w:type="spellEnd"/>
      <w:r w:rsidRPr="00957717">
        <w:rPr>
          <w:rFonts w:ascii="Times New Roman" w:hAnsi="Times New Roman" w:cs="Times New Roman"/>
          <w:sz w:val="25"/>
          <w:szCs w:val="25"/>
        </w:rPr>
        <w:t xml:space="preserve"> table. This provides full traceability.</w:t>
      </w:r>
    </w:p>
    <w:p w14:paraId="60BE8361" w14:textId="77777777" w:rsidR="00957717" w:rsidRPr="00957717" w:rsidRDefault="00957717" w:rsidP="00957717">
      <w:pPr>
        <w:numPr>
          <w:ilvl w:val="0"/>
          <w:numId w:val="7"/>
        </w:numPr>
        <w:rPr>
          <w:rFonts w:ascii="Times New Roman" w:hAnsi="Times New Roman" w:cs="Times New Roman"/>
          <w:sz w:val="25"/>
          <w:szCs w:val="25"/>
        </w:rPr>
      </w:pPr>
      <w:r w:rsidRPr="00957717">
        <w:rPr>
          <w:rFonts w:ascii="Times New Roman" w:hAnsi="Times New Roman" w:cs="Times New Roman"/>
          <w:b/>
          <w:bCs/>
          <w:sz w:val="25"/>
          <w:szCs w:val="25"/>
        </w:rPr>
        <w:t>Dashboard (MuniBonds_dashboard.py):</w:t>
      </w:r>
      <w:r w:rsidRPr="00957717">
        <w:rPr>
          <w:rFonts w:ascii="Times New Roman" w:hAnsi="Times New Roman" w:cs="Times New Roman"/>
          <w:sz w:val="25"/>
          <w:szCs w:val="25"/>
        </w:rPr>
        <w:t xml:space="preserve"> </w:t>
      </w:r>
      <w:proofErr w:type="spellStart"/>
      <w:r w:rsidRPr="00957717">
        <w:rPr>
          <w:rFonts w:ascii="Times New Roman" w:hAnsi="Times New Roman" w:cs="Times New Roman"/>
          <w:sz w:val="25"/>
          <w:szCs w:val="25"/>
        </w:rPr>
        <w:t>Streamlit</w:t>
      </w:r>
      <w:proofErr w:type="spellEnd"/>
      <w:r w:rsidRPr="00957717">
        <w:rPr>
          <w:rFonts w:ascii="Times New Roman" w:hAnsi="Times New Roman" w:cs="Times New Roman"/>
          <w:sz w:val="25"/>
          <w:szCs w:val="25"/>
        </w:rPr>
        <w:t xml:space="preserve"> frontend with real-time database connection, caching for responsiveness, and tabs for different market views.</w:t>
      </w:r>
    </w:p>
    <w:p w14:paraId="07C30133" w14:textId="648481DF" w:rsidR="00957717" w:rsidRPr="00957717" w:rsidRDefault="00957717" w:rsidP="00957717">
      <w:pPr>
        <w:rPr>
          <w:rFonts w:ascii="Times New Roman" w:hAnsi="Times New Roman" w:cs="Times New Roman"/>
          <w:sz w:val="25"/>
          <w:szCs w:val="25"/>
        </w:rPr>
      </w:pPr>
    </w:p>
    <w:p w14:paraId="5F11B6A6"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Conclusions</w:t>
      </w:r>
    </w:p>
    <w:p w14:paraId="4598F631"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Learnings</w:t>
      </w:r>
    </w:p>
    <w:p w14:paraId="18298142"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A structured RDBMS proved far superior to flat files. Normalization eliminated redundancy and enabled complex analysis that would have been slow and error-prone in Excel. Schema constraints proved invaluable, stopping invalid data from entering the system.</w:t>
      </w:r>
    </w:p>
    <w:p w14:paraId="0B507116"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Real-World Application</w:t>
      </w:r>
    </w:p>
    <w:p w14:paraId="280EFDA2"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This system essentially mimics a professional financial terminal. With a real-time feed, it could support:</w:t>
      </w:r>
    </w:p>
    <w:p w14:paraId="622502DF" w14:textId="77777777" w:rsidR="00957717" w:rsidRPr="00957717" w:rsidRDefault="00957717" w:rsidP="00957717">
      <w:pPr>
        <w:numPr>
          <w:ilvl w:val="0"/>
          <w:numId w:val="8"/>
        </w:numPr>
        <w:rPr>
          <w:rFonts w:ascii="Times New Roman" w:hAnsi="Times New Roman" w:cs="Times New Roman"/>
          <w:sz w:val="25"/>
          <w:szCs w:val="25"/>
        </w:rPr>
      </w:pPr>
      <w:r w:rsidRPr="00957717">
        <w:rPr>
          <w:rFonts w:ascii="Times New Roman" w:hAnsi="Times New Roman" w:cs="Times New Roman"/>
          <w:sz w:val="25"/>
          <w:szCs w:val="25"/>
        </w:rPr>
        <w:t>Risk management reports</w:t>
      </w:r>
    </w:p>
    <w:p w14:paraId="40EC08BE" w14:textId="77777777" w:rsidR="00957717" w:rsidRPr="00957717" w:rsidRDefault="00957717" w:rsidP="00957717">
      <w:pPr>
        <w:numPr>
          <w:ilvl w:val="0"/>
          <w:numId w:val="8"/>
        </w:numPr>
        <w:rPr>
          <w:rFonts w:ascii="Times New Roman" w:hAnsi="Times New Roman" w:cs="Times New Roman"/>
          <w:sz w:val="25"/>
          <w:szCs w:val="25"/>
        </w:rPr>
      </w:pPr>
      <w:r w:rsidRPr="00957717">
        <w:rPr>
          <w:rFonts w:ascii="Times New Roman" w:hAnsi="Times New Roman" w:cs="Times New Roman"/>
          <w:sz w:val="25"/>
          <w:szCs w:val="25"/>
        </w:rPr>
        <w:t>Pricing models for new issuances</w:t>
      </w:r>
    </w:p>
    <w:p w14:paraId="3A1831CC" w14:textId="77777777" w:rsidR="00957717" w:rsidRPr="00957717" w:rsidRDefault="00957717" w:rsidP="00957717">
      <w:pPr>
        <w:numPr>
          <w:ilvl w:val="0"/>
          <w:numId w:val="8"/>
        </w:numPr>
        <w:rPr>
          <w:rFonts w:ascii="Times New Roman" w:hAnsi="Times New Roman" w:cs="Times New Roman"/>
          <w:sz w:val="25"/>
          <w:szCs w:val="25"/>
        </w:rPr>
      </w:pPr>
      <w:r w:rsidRPr="00957717">
        <w:rPr>
          <w:rFonts w:ascii="Times New Roman" w:hAnsi="Times New Roman" w:cs="Times New Roman"/>
          <w:sz w:val="25"/>
          <w:szCs w:val="25"/>
        </w:rPr>
        <w:t>Compliance auditing via detailed logs</w:t>
      </w:r>
    </w:p>
    <w:p w14:paraId="4D3B319B"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lastRenderedPageBreak/>
        <w:t>Extensions</w:t>
      </w:r>
    </w:p>
    <w:p w14:paraId="72EAE09F"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Future improvements could include:</w:t>
      </w:r>
    </w:p>
    <w:p w14:paraId="37B82162" w14:textId="77777777" w:rsidR="00957717" w:rsidRPr="00957717" w:rsidRDefault="00957717" w:rsidP="00957717">
      <w:pPr>
        <w:numPr>
          <w:ilvl w:val="0"/>
          <w:numId w:val="9"/>
        </w:numPr>
        <w:rPr>
          <w:rFonts w:ascii="Times New Roman" w:hAnsi="Times New Roman" w:cs="Times New Roman"/>
          <w:sz w:val="25"/>
          <w:szCs w:val="25"/>
        </w:rPr>
      </w:pPr>
      <w:r w:rsidRPr="00957717">
        <w:rPr>
          <w:rFonts w:ascii="Times New Roman" w:hAnsi="Times New Roman" w:cs="Times New Roman"/>
          <w:b/>
          <w:bCs/>
          <w:sz w:val="25"/>
          <w:szCs w:val="25"/>
        </w:rPr>
        <w:t>Partitioning</w:t>
      </w:r>
      <w:r w:rsidRPr="00957717">
        <w:rPr>
          <w:rFonts w:ascii="Times New Roman" w:hAnsi="Times New Roman" w:cs="Times New Roman"/>
          <w:sz w:val="25"/>
          <w:szCs w:val="25"/>
        </w:rPr>
        <w:t xml:space="preserve"> trades by year for faster historical queries.</w:t>
      </w:r>
    </w:p>
    <w:p w14:paraId="2DE57C8D" w14:textId="77777777" w:rsidR="00957717" w:rsidRPr="00957717" w:rsidRDefault="00957717" w:rsidP="00957717">
      <w:pPr>
        <w:numPr>
          <w:ilvl w:val="0"/>
          <w:numId w:val="9"/>
        </w:numPr>
        <w:rPr>
          <w:rFonts w:ascii="Times New Roman" w:hAnsi="Times New Roman" w:cs="Times New Roman"/>
          <w:sz w:val="25"/>
          <w:szCs w:val="25"/>
        </w:rPr>
      </w:pPr>
      <w:r w:rsidRPr="00957717">
        <w:rPr>
          <w:rFonts w:ascii="Times New Roman" w:hAnsi="Times New Roman" w:cs="Times New Roman"/>
          <w:b/>
          <w:bCs/>
          <w:sz w:val="25"/>
          <w:szCs w:val="25"/>
        </w:rPr>
        <w:t>Advanced Analytics</w:t>
      </w:r>
      <w:r w:rsidRPr="00957717">
        <w:rPr>
          <w:rFonts w:ascii="Times New Roman" w:hAnsi="Times New Roman" w:cs="Times New Roman"/>
          <w:sz w:val="25"/>
          <w:szCs w:val="25"/>
        </w:rPr>
        <w:t xml:space="preserve"> with ML to forecast yield spreads.</w:t>
      </w:r>
    </w:p>
    <w:p w14:paraId="57E7FFCB" w14:textId="77777777" w:rsidR="00957717" w:rsidRPr="00957717" w:rsidRDefault="00957717" w:rsidP="00957717">
      <w:pPr>
        <w:numPr>
          <w:ilvl w:val="0"/>
          <w:numId w:val="9"/>
        </w:numPr>
        <w:rPr>
          <w:rFonts w:ascii="Times New Roman" w:hAnsi="Times New Roman" w:cs="Times New Roman"/>
          <w:sz w:val="25"/>
          <w:szCs w:val="25"/>
        </w:rPr>
      </w:pPr>
      <w:r w:rsidRPr="00957717">
        <w:rPr>
          <w:rFonts w:ascii="Times New Roman" w:hAnsi="Times New Roman" w:cs="Times New Roman"/>
          <w:b/>
          <w:bCs/>
          <w:sz w:val="25"/>
          <w:szCs w:val="25"/>
        </w:rPr>
        <w:t>User Authentication</w:t>
      </w:r>
      <w:r w:rsidRPr="00957717">
        <w:rPr>
          <w:rFonts w:ascii="Times New Roman" w:hAnsi="Times New Roman" w:cs="Times New Roman"/>
          <w:sz w:val="25"/>
          <w:szCs w:val="25"/>
        </w:rPr>
        <w:t xml:space="preserve"> in the dashboard to protect sensitive data based on roles.</w:t>
      </w:r>
    </w:p>
    <w:p w14:paraId="40542A46" w14:textId="77777777" w:rsidR="00957717" w:rsidRPr="00957717" w:rsidRDefault="00957717">
      <w:pPr>
        <w:rPr>
          <w:rFonts w:ascii="Times New Roman" w:hAnsi="Times New Roman" w:cs="Times New Roman"/>
          <w:sz w:val="25"/>
          <w:szCs w:val="25"/>
        </w:rPr>
      </w:pPr>
    </w:p>
    <w:sectPr w:rsidR="00957717" w:rsidRPr="00957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05B"/>
    <w:multiLevelType w:val="multilevel"/>
    <w:tmpl w:val="436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5231"/>
    <w:multiLevelType w:val="hybridMultilevel"/>
    <w:tmpl w:val="A78AD8AE"/>
    <w:lvl w:ilvl="0" w:tplc="B7C229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3138E"/>
    <w:multiLevelType w:val="multilevel"/>
    <w:tmpl w:val="B01CD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31C10"/>
    <w:multiLevelType w:val="multilevel"/>
    <w:tmpl w:val="ABA0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B5330"/>
    <w:multiLevelType w:val="multilevel"/>
    <w:tmpl w:val="4FA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C2C7E"/>
    <w:multiLevelType w:val="multilevel"/>
    <w:tmpl w:val="44665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B64A6"/>
    <w:multiLevelType w:val="multilevel"/>
    <w:tmpl w:val="E5B2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43EEB"/>
    <w:multiLevelType w:val="multilevel"/>
    <w:tmpl w:val="FFFFFFFF"/>
    <w:lvl w:ilvl="0">
      <w:start w:val="1"/>
      <w:numFmt w:val="bullet"/>
      <w:lvlText w:val="●"/>
      <w:lvlJc w:val="left"/>
      <w:pPr>
        <w:ind w:left="465" w:hanging="360"/>
      </w:pPr>
      <w:rPr>
        <w:rFonts w:ascii="Arial" w:eastAsia="Times New Roman" w:hAnsi="Arial"/>
        <w:b w:val="0"/>
        <w:i w:val="0"/>
        <w:smallCaps w:val="0"/>
        <w:strike w:val="0"/>
        <w:color w:val="000000"/>
        <w:sz w:val="22"/>
        <w:u w:val="none"/>
        <w:vertAlign w:val="baseline"/>
      </w:rPr>
    </w:lvl>
    <w:lvl w:ilvl="1">
      <w:start w:val="1"/>
      <w:numFmt w:val="bullet"/>
      <w:lvlText w:val="○"/>
      <w:lvlJc w:val="left"/>
      <w:pPr>
        <w:ind w:left="1440" w:hanging="360"/>
      </w:pPr>
      <w:rPr>
        <w:rFonts w:ascii="Arial" w:eastAsia="Times New Roman" w:hAnsi="Arial"/>
        <w:b w:val="0"/>
        <w:i w:val="0"/>
        <w:smallCaps w:val="0"/>
        <w:strike w:val="0"/>
        <w:color w:val="000000"/>
        <w:sz w:val="22"/>
        <w:u w:val="none"/>
        <w:vertAlign w:val="baseline"/>
      </w:rPr>
    </w:lvl>
    <w:lvl w:ilvl="2">
      <w:start w:val="1"/>
      <w:numFmt w:val="bullet"/>
      <w:lvlText w:val="■"/>
      <w:lvlJc w:val="left"/>
      <w:pPr>
        <w:ind w:left="2160" w:hanging="360"/>
      </w:pPr>
      <w:rPr>
        <w:rFonts w:ascii="Arial" w:eastAsia="Times New Roman" w:hAnsi="Arial"/>
        <w:b w:val="0"/>
        <w:i w:val="0"/>
        <w:smallCaps w:val="0"/>
        <w:strike w:val="0"/>
        <w:color w:val="000000"/>
        <w:sz w:val="22"/>
        <w:u w:val="none"/>
        <w:vertAlign w:val="baseline"/>
      </w:rPr>
    </w:lvl>
    <w:lvl w:ilvl="3">
      <w:start w:val="1"/>
      <w:numFmt w:val="bullet"/>
      <w:lvlText w:val="■"/>
      <w:lvlJc w:val="left"/>
      <w:pPr>
        <w:ind w:left="2880" w:hanging="360"/>
      </w:pPr>
      <w:rPr>
        <w:rFonts w:ascii="Arial" w:eastAsia="Times New Roman" w:hAnsi="Arial"/>
        <w:b w:val="0"/>
        <w:i w:val="0"/>
        <w:smallCaps w:val="0"/>
        <w:strike w:val="0"/>
        <w:color w:val="000000"/>
        <w:sz w:val="22"/>
        <w:u w:val="none"/>
        <w:vertAlign w:val="baseline"/>
      </w:rPr>
    </w:lvl>
    <w:lvl w:ilvl="4">
      <w:start w:val="1"/>
      <w:numFmt w:val="bullet"/>
      <w:lvlText w:val="■"/>
      <w:lvlJc w:val="left"/>
      <w:pPr>
        <w:ind w:left="3600" w:hanging="360"/>
      </w:pPr>
      <w:rPr>
        <w:rFonts w:ascii="Arial" w:eastAsia="Times New Roman" w:hAnsi="Arial"/>
        <w:b w:val="0"/>
        <w:i w:val="0"/>
        <w:smallCaps w:val="0"/>
        <w:strike w:val="0"/>
        <w:color w:val="000000"/>
        <w:sz w:val="22"/>
        <w:u w:val="none"/>
        <w:vertAlign w:val="baseline"/>
      </w:rPr>
    </w:lvl>
    <w:lvl w:ilvl="5">
      <w:start w:val="1"/>
      <w:numFmt w:val="bullet"/>
      <w:lvlText w:val="■"/>
      <w:lvlJc w:val="left"/>
      <w:pPr>
        <w:ind w:left="4320" w:hanging="360"/>
      </w:pPr>
      <w:rPr>
        <w:rFonts w:ascii="Arial" w:eastAsia="Times New Roman" w:hAnsi="Arial"/>
        <w:b w:val="0"/>
        <w:i w:val="0"/>
        <w:smallCaps w:val="0"/>
        <w:strike w:val="0"/>
        <w:color w:val="000000"/>
        <w:sz w:val="22"/>
        <w:u w:val="none"/>
        <w:vertAlign w:val="baseline"/>
      </w:rPr>
    </w:lvl>
    <w:lvl w:ilvl="6">
      <w:start w:val="1"/>
      <w:numFmt w:val="bullet"/>
      <w:lvlText w:val="■"/>
      <w:lvlJc w:val="left"/>
      <w:pPr>
        <w:ind w:left="5040" w:hanging="360"/>
      </w:pPr>
      <w:rPr>
        <w:rFonts w:ascii="Arial" w:eastAsia="Times New Roman" w:hAnsi="Arial"/>
        <w:b w:val="0"/>
        <w:i w:val="0"/>
        <w:smallCaps w:val="0"/>
        <w:strike w:val="0"/>
        <w:color w:val="000000"/>
        <w:sz w:val="22"/>
        <w:u w:val="none"/>
        <w:vertAlign w:val="baseline"/>
      </w:rPr>
    </w:lvl>
    <w:lvl w:ilvl="7">
      <w:start w:val="1"/>
      <w:numFmt w:val="bullet"/>
      <w:lvlText w:val="■"/>
      <w:lvlJc w:val="left"/>
      <w:pPr>
        <w:ind w:left="5760" w:hanging="360"/>
      </w:pPr>
      <w:rPr>
        <w:rFonts w:ascii="Arial" w:eastAsia="Times New Roman" w:hAnsi="Arial"/>
        <w:b w:val="0"/>
        <w:i w:val="0"/>
        <w:smallCaps w:val="0"/>
        <w:strike w:val="0"/>
        <w:color w:val="000000"/>
        <w:sz w:val="22"/>
        <w:u w:val="none"/>
        <w:vertAlign w:val="baseline"/>
      </w:rPr>
    </w:lvl>
    <w:lvl w:ilvl="8">
      <w:start w:val="1"/>
      <w:numFmt w:val="bullet"/>
      <w:lvlText w:val="■"/>
      <w:lvlJc w:val="left"/>
      <w:pPr>
        <w:ind w:left="6480" w:hanging="360"/>
      </w:pPr>
      <w:rPr>
        <w:rFonts w:ascii="Arial" w:eastAsia="Times New Roman" w:hAnsi="Arial"/>
        <w:b w:val="0"/>
        <w:i w:val="0"/>
        <w:smallCaps w:val="0"/>
        <w:strike w:val="0"/>
        <w:color w:val="000000"/>
        <w:sz w:val="22"/>
        <w:u w:val="none"/>
        <w:vertAlign w:val="baseline"/>
      </w:rPr>
    </w:lvl>
  </w:abstractNum>
  <w:abstractNum w:abstractNumId="8" w15:restartNumberingAfterBreak="0">
    <w:nsid w:val="43B40326"/>
    <w:multiLevelType w:val="multilevel"/>
    <w:tmpl w:val="FFFFFFFF"/>
    <w:lvl w:ilvl="0">
      <w:start w:val="1"/>
      <w:numFmt w:val="bullet"/>
      <w:lvlText w:val="●"/>
      <w:lvlJc w:val="left"/>
      <w:pPr>
        <w:ind w:left="465" w:hanging="360"/>
      </w:pPr>
      <w:rPr>
        <w:rFonts w:ascii="Arial" w:eastAsia="Times New Roman" w:hAnsi="Arial"/>
        <w:b w:val="0"/>
        <w:i w:val="0"/>
        <w:smallCaps w:val="0"/>
        <w:strike w:val="0"/>
        <w:color w:val="000000"/>
        <w:sz w:val="22"/>
        <w:u w:val="none"/>
        <w:vertAlign w:val="baseline"/>
      </w:rPr>
    </w:lvl>
    <w:lvl w:ilvl="1">
      <w:start w:val="1"/>
      <w:numFmt w:val="bullet"/>
      <w:lvlText w:val="○"/>
      <w:lvlJc w:val="left"/>
      <w:pPr>
        <w:ind w:left="1440" w:hanging="360"/>
      </w:pPr>
      <w:rPr>
        <w:rFonts w:ascii="Arial" w:eastAsia="Times New Roman" w:hAnsi="Arial"/>
        <w:b w:val="0"/>
        <w:i w:val="0"/>
        <w:smallCaps w:val="0"/>
        <w:strike w:val="0"/>
        <w:color w:val="000000"/>
        <w:sz w:val="22"/>
        <w:u w:val="none"/>
        <w:vertAlign w:val="baseline"/>
      </w:rPr>
    </w:lvl>
    <w:lvl w:ilvl="2">
      <w:start w:val="1"/>
      <w:numFmt w:val="bullet"/>
      <w:lvlText w:val="■"/>
      <w:lvlJc w:val="left"/>
      <w:pPr>
        <w:ind w:left="2160" w:hanging="360"/>
      </w:pPr>
      <w:rPr>
        <w:rFonts w:ascii="Arial" w:eastAsia="Times New Roman" w:hAnsi="Arial"/>
        <w:b w:val="0"/>
        <w:i w:val="0"/>
        <w:smallCaps w:val="0"/>
        <w:strike w:val="0"/>
        <w:color w:val="000000"/>
        <w:sz w:val="22"/>
        <w:u w:val="none"/>
        <w:vertAlign w:val="baseline"/>
      </w:rPr>
    </w:lvl>
    <w:lvl w:ilvl="3">
      <w:start w:val="1"/>
      <w:numFmt w:val="bullet"/>
      <w:lvlText w:val="■"/>
      <w:lvlJc w:val="left"/>
      <w:pPr>
        <w:ind w:left="2880" w:hanging="360"/>
      </w:pPr>
      <w:rPr>
        <w:rFonts w:ascii="Arial" w:eastAsia="Times New Roman" w:hAnsi="Arial"/>
        <w:b w:val="0"/>
        <w:i w:val="0"/>
        <w:smallCaps w:val="0"/>
        <w:strike w:val="0"/>
        <w:color w:val="000000"/>
        <w:sz w:val="22"/>
        <w:u w:val="none"/>
        <w:vertAlign w:val="baseline"/>
      </w:rPr>
    </w:lvl>
    <w:lvl w:ilvl="4">
      <w:start w:val="1"/>
      <w:numFmt w:val="bullet"/>
      <w:lvlText w:val="■"/>
      <w:lvlJc w:val="left"/>
      <w:pPr>
        <w:ind w:left="3600" w:hanging="360"/>
      </w:pPr>
      <w:rPr>
        <w:rFonts w:ascii="Arial" w:eastAsia="Times New Roman" w:hAnsi="Arial"/>
        <w:b w:val="0"/>
        <w:i w:val="0"/>
        <w:smallCaps w:val="0"/>
        <w:strike w:val="0"/>
        <w:color w:val="000000"/>
        <w:sz w:val="22"/>
        <w:u w:val="none"/>
        <w:vertAlign w:val="baseline"/>
      </w:rPr>
    </w:lvl>
    <w:lvl w:ilvl="5">
      <w:start w:val="1"/>
      <w:numFmt w:val="bullet"/>
      <w:lvlText w:val="■"/>
      <w:lvlJc w:val="left"/>
      <w:pPr>
        <w:ind w:left="4320" w:hanging="360"/>
      </w:pPr>
      <w:rPr>
        <w:rFonts w:ascii="Arial" w:eastAsia="Times New Roman" w:hAnsi="Arial"/>
        <w:b w:val="0"/>
        <w:i w:val="0"/>
        <w:smallCaps w:val="0"/>
        <w:strike w:val="0"/>
        <w:color w:val="000000"/>
        <w:sz w:val="22"/>
        <w:u w:val="none"/>
        <w:vertAlign w:val="baseline"/>
      </w:rPr>
    </w:lvl>
    <w:lvl w:ilvl="6">
      <w:start w:val="1"/>
      <w:numFmt w:val="bullet"/>
      <w:lvlText w:val="■"/>
      <w:lvlJc w:val="left"/>
      <w:pPr>
        <w:ind w:left="5040" w:hanging="360"/>
      </w:pPr>
      <w:rPr>
        <w:rFonts w:ascii="Arial" w:eastAsia="Times New Roman" w:hAnsi="Arial"/>
        <w:b w:val="0"/>
        <w:i w:val="0"/>
        <w:smallCaps w:val="0"/>
        <w:strike w:val="0"/>
        <w:color w:val="000000"/>
        <w:sz w:val="22"/>
        <w:u w:val="none"/>
        <w:vertAlign w:val="baseline"/>
      </w:rPr>
    </w:lvl>
    <w:lvl w:ilvl="7">
      <w:start w:val="1"/>
      <w:numFmt w:val="bullet"/>
      <w:lvlText w:val="■"/>
      <w:lvlJc w:val="left"/>
      <w:pPr>
        <w:ind w:left="5760" w:hanging="360"/>
      </w:pPr>
      <w:rPr>
        <w:rFonts w:ascii="Arial" w:eastAsia="Times New Roman" w:hAnsi="Arial"/>
        <w:b w:val="0"/>
        <w:i w:val="0"/>
        <w:smallCaps w:val="0"/>
        <w:strike w:val="0"/>
        <w:color w:val="000000"/>
        <w:sz w:val="22"/>
        <w:u w:val="none"/>
        <w:vertAlign w:val="baseline"/>
      </w:rPr>
    </w:lvl>
    <w:lvl w:ilvl="8">
      <w:start w:val="1"/>
      <w:numFmt w:val="bullet"/>
      <w:lvlText w:val="■"/>
      <w:lvlJc w:val="left"/>
      <w:pPr>
        <w:ind w:left="6480" w:hanging="360"/>
      </w:pPr>
      <w:rPr>
        <w:rFonts w:ascii="Arial" w:eastAsia="Times New Roman" w:hAnsi="Arial"/>
        <w:b w:val="0"/>
        <w:i w:val="0"/>
        <w:smallCaps w:val="0"/>
        <w:strike w:val="0"/>
        <w:color w:val="000000"/>
        <w:sz w:val="22"/>
        <w:u w:val="none"/>
        <w:vertAlign w:val="baseline"/>
      </w:rPr>
    </w:lvl>
  </w:abstractNum>
  <w:abstractNum w:abstractNumId="9" w15:restartNumberingAfterBreak="0">
    <w:nsid w:val="463C1E84"/>
    <w:multiLevelType w:val="multilevel"/>
    <w:tmpl w:val="FFFFFFFF"/>
    <w:lvl w:ilvl="0">
      <w:start w:val="1"/>
      <w:numFmt w:val="bullet"/>
      <w:lvlText w:val="●"/>
      <w:lvlJc w:val="left"/>
      <w:pPr>
        <w:ind w:left="465" w:hanging="360"/>
      </w:pPr>
      <w:rPr>
        <w:rFonts w:ascii="Arial" w:eastAsia="Times New Roman" w:hAnsi="Arial"/>
        <w:b w:val="0"/>
        <w:i w:val="0"/>
        <w:smallCaps w:val="0"/>
        <w:strike w:val="0"/>
        <w:color w:val="000000"/>
        <w:sz w:val="22"/>
        <w:u w:val="none"/>
        <w:vertAlign w:val="baseline"/>
      </w:rPr>
    </w:lvl>
    <w:lvl w:ilvl="1">
      <w:start w:val="1"/>
      <w:numFmt w:val="bullet"/>
      <w:lvlText w:val="○"/>
      <w:lvlJc w:val="left"/>
      <w:pPr>
        <w:ind w:left="1440" w:hanging="360"/>
      </w:pPr>
      <w:rPr>
        <w:rFonts w:ascii="Arial" w:eastAsia="Times New Roman" w:hAnsi="Arial"/>
        <w:b w:val="0"/>
        <w:i w:val="0"/>
        <w:smallCaps w:val="0"/>
        <w:strike w:val="0"/>
        <w:color w:val="000000"/>
        <w:sz w:val="22"/>
        <w:u w:val="none"/>
        <w:vertAlign w:val="baseline"/>
      </w:rPr>
    </w:lvl>
    <w:lvl w:ilvl="2">
      <w:start w:val="1"/>
      <w:numFmt w:val="bullet"/>
      <w:lvlText w:val="■"/>
      <w:lvlJc w:val="left"/>
      <w:pPr>
        <w:ind w:left="2160" w:hanging="360"/>
      </w:pPr>
      <w:rPr>
        <w:rFonts w:ascii="Arial" w:eastAsia="Times New Roman" w:hAnsi="Arial"/>
        <w:b w:val="0"/>
        <w:i w:val="0"/>
        <w:smallCaps w:val="0"/>
        <w:strike w:val="0"/>
        <w:color w:val="000000"/>
        <w:sz w:val="22"/>
        <w:u w:val="none"/>
        <w:vertAlign w:val="baseline"/>
      </w:rPr>
    </w:lvl>
    <w:lvl w:ilvl="3">
      <w:start w:val="1"/>
      <w:numFmt w:val="bullet"/>
      <w:lvlText w:val="■"/>
      <w:lvlJc w:val="left"/>
      <w:pPr>
        <w:ind w:left="2880" w:hanging="360"/>
      </w:pPr>
      <w:rPr>
        <w:rFonts w:ascii="Arial" w:eastAsia="Times New Roman" w:hAnsi="Arial"/>
        <w:b w:val="0"/>
        <w:i w:val="0"/>
        <w:smallCaps w:val="0"/>
        <w:strike w:val="0"/>
        <w:color w:val="000000"/>
        <w:sz w:val="22"/>
        <w:u w:val="none"/>
        <w:vertAlign w:val="baseline"/>
      </w:rPr>
    </w:lvl>
    <w:lvl w:ilvl="4">
      <w:start w:val="1"/>
      <w:numFmt w:val="bullet"/>
      <w:lvlText w:val="■"/>
      <w:lvlJc w:val="left"/>
      <w:pPr>
        <w:ind w:left="3600" w:hanging="360"/>
      </w:pPr>
      <w:rPr>
        <w:rFonts w:ascii="Arial" w:eastAsia="Times New Roman" w:hAnsi="Arial"/>
        <w:b w:val="0"/>
        <w:i w:val="0"/>
        <w:smallCaps w:val="0"/>
        <w:strike w:val="0"/>
        <w:color w:val="000000"/>
        <w:sz w:val="22"/>
        <w:u w:val="none"/>
        <w:vertAlign w:val="baseline"/>
      </w:rPr>
    </w:lvl>
    <w:lvl w:ilvl="5">
      <w:start w:val="1"/>
      <w:numFmt w:val="bullet"/>
      <w:lvlText w:val="■"/>
      <w:lvlJc w:val="left"/>
      <w:pPr>
        <w:ind w:left="4320" w:hanging="360"/>
      </w:pPr>
      <w:rPr>
        <w:rFonts w:ascii="Arial" w:eastAsia="Times New Roman" w:hAnsi="Arial"/>
        <w:b w:val="0"/>
        <w:i w:val="0"/>
        <w:smallCaps w:val="0"/>
        <w:strike w:val="0"/>
        <w:color w:val="000000"/>
        <w:sz w:val="22"/>
        <w:u w:val="none"/>
        <w:vertAlign w:val="baseline"/>
      </w:rPr>
    </w:lvl>
    <w:lvl w:ilvl="6">
      <w:start w:val="1"/>
      <w:numFmt w:val="bullet"/>
      <w:lvlText w:val="■"/>
      <w:lvlJc w:val="left"/>
      <w:pPr>
        <w:ind w:left="5040" w:hanging="360"/>
      </w:pPr>
      <w:rPr>
        <w:rFonts w:ascii="Arial" w:eastAsia="Times New Roman" w:hAnsi="Arial"/>
        <w:b w:val="0"/>
        <w:i w:val="0"/>
        <w:smallCaps w:val="0"/>
        <w:strike w:val="0"/>
        <w:color w:val="000000"/>
        <w:sz w:val="22"/>
        <w:u w:val="none"/>
        <w:vertAlign w:val="baseline"/>
      </w:rPr>
    </w:lvl>
    <w:lvl w:ilvl="7">
      <w:start w:val="1"/>
      <w:numFmt w:val="bullet"/>
      <w:lvlText w:val="■"/>
      <w:lvlJc w:val="left"/>
      <w:pPr>
        <w:ind w:left="5760" w:hanging="360"/>
      </w:pPr>
      <w:rPr>
        <w:rFonts w:ascii="Arial" w:eastAsia="Times New Roman" w:hAnsi="Arial"/>
        <w:b w:val="0"/>
        <w:i w:val="0"/>
        <w:smallCaps w:val="0"/>
        <w:strike w:val="0"/>
        <w:color w:val="000000"/>
        <w:sz w:val="22"/>
        <w:u w:val="none"/>
        <w:vertAlign w:val="baseline"/>
      </w:rPr>
    </w:lvl>
    <w:lvl w:ilvl="8">
      <w:start w:val="1"/>
      <w:numFmt w:val="bullet"/>
      <w:lvlText w:val="■"/>
      <w:lvlJc w:val="left"/>
      <w:pPr>
        <w:ind w:left="6480" w:hanging="360"/>
      </w:pPr>
      <w:rPr>
        <w:rFonts w:ascii="Arial" w:eastAsia="Times New Roman" w:hAnsi="Arial"/>
        <w:b w:val="0"/>
        <w:i w:val="0"/>
        <w:smallCaps w:val="0"/>
        <w:strike w:val="0"/>
        <w:color w:val="000000"/>
        <w:sz w:val="22"/>
        <w:u w:val="none"/>
        <w:vertAlign w:val="baseline"/>
      </w:rPr>
    </w:lvl>
  </w:abstractNum>
  <w:abstractNum w:abstractNumId="10" w15:restartNumberingAfterBreak="0">
    <w:nsid w:val="51BF4E5C"/>
    <w:multiLevelType w:val="multilevel"/>
    <w:tmpl w:val="AE046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6A4945"/>
    <w:multiLevelType w:val="multilevel"/>
    <w:tmpl w:val="595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57CA9"/>
    <w:multiLevelType w:val="multilevel"/>
    <w:tmpl w:val="5F0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C7A5F"/>
    <w:multiLevelType w:val="multilevel"/>
    <w:tmpl w:val="FFFFFFFF"/>
    <w:lvl w:ilvl="0">
      <w:start w:val="1"/>
      <w:numFmt w:val="bullet"/>
      <w:lvlText w:val="●"/>
      <w:lvlJc w:val="left"/>
      <w:pPr>
        <w:ind w:left="465" w:hanging="360"/>
      </w:pPr>
      <w:rPr>
        <w:rFonts w:ascii="Arial" w:eastAsia="Times New Roman" w:hAnsi="Arial"/>
        <w:b w:val="0"/>
        <w:i w:val="0"/>
        <w:smallCaps w:val="0"/>
        <w:strike w:val="0"/>
        <w:color w:val="000000"/>
        <w:sz w:val="22"/>
        <w:u w:val="none"/>
        <w:vertAlign w:val="baseline"/>
      </w:rPr>
    </w:lvl>
    <w:lvl w:ilvl="1">
      <w:start w:val="1"/>
      <w:numFmt w:val="bullet"/>
      <w:lvlText w:val="○"/>
      <w:lvlJc w:val="left"/>
      <w:pPr>
        <w:ind w:left="1440" w:hanging="360"/>
      </w:pPr>
      <w:rPr>
        <w:rFonts w:ascii="Arial" w:eastAsia="Times New Roman" w:hAnsi="Arial"/>
        <w:b w:val="0"/>
        <w:i w:val="0"/>
        <w:smallCaps w:val="0"/>
        <w:strike w:val="0"/>
        <w:color w:val="000000"/>
        <w:sz w:val="22"/>
        <w:u w:val="none"/>
        <w:vertAlign w:val="baseline"/>
      </w:rPr>
    </w:lvl>
    <w:lvl w:ilvl="2">
      <w:start w:val="1"/>
      <w:numFmt w:val="bullet"/>
      <w:lvlText w:val="■"/>
      <w:lvlJc w:val="left"/>
      <w:pPr>
        <w:ind w:left="2160" w:hanging="360"/>
      </w:pPr>
      <w:rPr>
        <w:rFonts w:ascii="Arial" w:eastAsia="Times New Roman" w:hAnsi="Arial"/>
        <w:b w:val="0"/>
        <w:i w:val="0"/>
        <w:smallCaps w:val="0"/>
        <w:strike w:val="0"/>
        <w:color w:val="000000"/>
        <w:sz w:val="22"/>
        <w:u w:val="none"/>
        <w:vertAlign w:val="baseline"/>
      </w:rPr>
    </w:lvl>
    <w:lvl w:ilvl="3">
      <w:start w:val="1"/>
      <w:numFmt w:val="bullet"/>
      <w:lvlText w:val="■"/>
      <w:lvlJc w:val="left"/>
      <w:pPr>
        <w:ind w:left="2880" w:hanging="360"/>
      </w:pPr>
      <w:rPr>
        <w:rFonts w:ascii="Arial" w:eastAsia="Times New Roman" w:hAnsi="Arial"/>
        <w:b w:val="0"/>
        <w:i w:val="0"/>
        <w:smallCaps w:val="0"/>
        <w:strike w:val="0"/>
        <w:color w:val="000000"/>
        <w:sz w:val="22"/>
        <w:u w:val="none"/>
        <w:vertAlign w:val="baseline"/>
      </w:rPr>
    </w:lvl>
    <w:lvl w:ilvl="4">
      <w:start w:val="1"/>
      <w:numFmt w:val="bullet"/>
      <w:lvlText w:val="■"/>
      <w:lvlJc w:val="left"/>
      <w:pPr>
        <w:ind w:left="3600" w:hanging="360"/>
      </w:pPr>
      <w:rPr>
        <w:rFonts w:ascii="Arial" w:eastAsia="Times New Roman" w:hAnsi="Arial"/>
        <w:b w:val="0"/>
        <w:i w:val="0"/>
        <w:smallCaps w:val="0"/>
        <w:strike w:val="0"/>
        <w:color w:val="000000"/>
        <w:sz w:val="22"/>
        <w:u w:val="none"/>
        <w:vertAlign w:val="baseline"/>
      </w:rPr>
    </w:lvl>
    <w:lvl w:ilvl="5">
      <w:start w:val="1"/>
      <w:numFmt w:val="bullet"/>
      <w:lvlText w:val="■"/>
      <w:lvlJc w:val="left"/>
      <w:pPr>
        <w:ind w:left="4320" w:hanging="360"/>
      </w:pPr>
      <w:rPr>
        <w:rFonts w:ascii="Arial" w:eastAsia="Times New Roman" w:hAnsi="Arial"/>
        <w:b w:val="0"/>
        <w:i w:val="0"/>
        <w:smallCaps w:val="0"/>
        <w:strike w:val="0"/>
        <w:color w:val="000000"/>
        <w:sz w:val="22"/>
        <w:u w:val="none"/>
        <w:vertAlign w:val="baseline"/>
      </w:rPr>
    </w:lvl>
    <w:lvl w:ilvl="6">
      <w:start w:val="1"/>
      <w:numFmt w:val="bullet"/>
      <w:lvlText w:val="■"/>
      <w:lvlJc w:val="left"/>
      <w:pPr>
        <w:ind w:left="5040" w:hanging="360"/>
      </w:pPr>
      <w:rPr>
        <w:rFonts w:ascii="Arial" w:eastAsia="Times New Roman" w:hAnsi="Arial"/>
        <w:b w:val="0"/>
        <w:i w:val="0"/>
        <w:smallCaps w:val="0"/>
        <w:strike w:val="0"/>
        <w:color w:val="000000"/>
        <w:sz w:val="22"/>
        <w:u w:val="none"/>
        <w:vertAlign w:val="baseline"/>
      </w:rPr>
    </w:lvl>
    <w:lvl w:ilvl="7">
      <w:start w:val="1"/>
      <w:numFmt w:val="bullet"/>
      <w:lvlText w:val="■"/>
      <w:lvlJc w:val="left"/>
      <w:pPr>
        <w:ind w:left="5760" w:hanging="360"/>
      </w:pPr>
      <w:rPr>
        <w:rFonts w:ascii="Arial" w:eastAsia="Times New Roman" w:hAnsi="Arial"/>
        <w:b w:val="0"/>
        <w:i w:val="0"/>
        <w:smallCaps w:val="0"/>
        <w:strike w:val="0"/>
        <w:color w:val="000000"/>
        <w:sz w:val="22"/>
        <w:u w:val="none"/>
        <w:vertAlign w:val="baseline"/>
      </w:rPr>
    </w:lvl>
    <w:lvl w:ilvl="8">
      <w:start w:val="1"/>
      <w:numFmt w:val="bullet"/>
      <w:lvlText w:val="■"/>
      <w:lvlJc w:val="left"/>
      <w:pPr>
        <w:ind w:left="6480" w:hanging="360"/>
      </w:pPr>
      <w:rPr>
        <w:rFonts w:ascii="Arial" w:eastAsia="Times New Roman" w:hAnsi="Arial"/>
        <w:b w:val="0"/>
        <w:i w:val="0"/>
        <w:smallCaps w:val="0"/>
        <w:strike w:val="0"/>
        <w:color w:val="000000"/>
        <w:sz w:val="22"/>
        <w:u w:val="none"/>
        <w:vertAlign w:val="baseline"/>
      </w:rPr>
    </w:lvl>
  </w:abstractNum>
  <w:num w:numId="1" w16cid:durableId="1742828179">
    <w:abstractNumId w:val="12"/>
  </w:num>
  <w:num w:numId="2" w16cid:durableId="1481076476">
    <w:abstractNumId w:val="5"/>
  </w:num>
  <w:num w:numId="3" w16cid:durableId="79912882">
    <w:abstractNumId w:val="2"/>
  </w:num>
  <w:num w:numId="4" w16cid:durableId="2022853245">
    <w:abstractNumId w:val="0"/>
  </w:num>
  <w:num w:numId="5" w16cid:durableId="962880979">
    <w:abstractNumId w:val="10"/>
  </w:num>
  <w:num w:numId="6" w16cid:durableId="464548018">
    <w:abstractNumId w:val="4"/>
  </w:num>
  <w:num w:numId="7" w16cid:durableId="1099646125">
    <w:abstractNumId w:val="3"/>
  </w:num>
  <w:num w:numId="8" w16cid:durableId="1699694514">
    <w:abstractNumId w:val="11"/>
  </w:num>
  <w:num w:numId="9" w16cid:durableId="2126150223">
    <w:abstractNumId w:val="6"/>
  </w:num>
  <w:num w:numId="10" w16cid:durableId="665858636">
    <w:abstractNumId w:val="1"/>
  </w:num>
  <w:num w:numId="11" w16cid:durableId="1154570029">
    <w:abstractNumId w:val="9"/>
  </w:num>
  <w:num w:numId="12" w16cid:durableId="227150074">
    <w:abstractNumId w:val="8"/>
  </w:num>
  <w:num w:numId="13" w16cid:durableId="729156280">
    <w:abstractNumId w:val="13"/>
  </w:num>
  <w:num w:numId="14" w16cid:durableId="1445462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17"/>
    <w:rsid w:val="006B4456"/>
    <w:rsid w:val="00957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204A"/>
  <w15:chartTrackingRefBased/>
  <w15:docId w15:val="{32906BC2-7266-4324-B4AC-5ABC4D74C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717"/>
    <w:rPr>
      <w:rFonts w:eastAsiaTheme="majorEastAsia" w:cstheme="majorBidi"/>
      <w:color w:val="272727" w:themeColor="text1" w:themeTint="D8"/>
    </w:rPr>
  </w:style>
  <w:style w:type="paragraph" w:styleId="Title">
    <w:name w:val="Title"/>
    <w:basedOn w:val="Normal"/>
    <w:next w:val="Normal"/>
    <w:link w:val="TitleChar"/>
    <w:uiPriority w:val="10"/>
    <w:qFormat/>
    <w:rsid w:val="0095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717"/>
    <w:pPr>
      <w:spacing w:before="160"/>
      <w:jc w:val="center"/>
    </w:pPr>
    <w:rPr>
      <w:i/>
      <w:iCs/>
      <w:color w:val="404040" w:themeColor="text1" w:themeTint="BF"/>
    </w:rPr>
  </w:style>
  <w:style w:type="character" w:customStyle="1" w:styleId="QuoteChar">
    <w:name w:val="Quote Char"/>
    <w:basedOn w:val="DefaultParagraphFont"/>
    <w:link w:val="Quote"/>
    <w:uiPriority w:val="29"/>
    <w:rsid w:val="00957717"/>
    <w:rPr>
      <w:i/>
      <w:iCs/>
      <w:color w:val="404040" w:themeColor="text1" w:themeTint="BF"/>
    </w:rPr>
  </w:style>
  <w:style w:type="paragraph" w:styleId="ListParagraph">
    <w:name w:val="List Paragraph"/>
    <w:basedOn w:val="Normal"/>
    <w:uiPriority w:val="34"/>
    <w:qFormat/>
    <w:rsid w:val="00957717"/>
    <w:pPr>
      <w:ind w:left="720"/>
      <w:contextualSpacing/>
    </w:pPr>
  </w:style>
  <w:style w:type="character" w:styleId="IntenseEmphasis">
    <w:name w:val="Intense Emphasis"/>
    <w:basedOn w:val="DefaultParagraphFont"/>
    <w:uiPriority w:val="21"/>
    <w:qFormat/>
    <w:rsid w:val="00957717"/>
    <w:rPr>
      <w:i/>
      <w:iCs/>
      <w:color w:val="0F4761" w:themeColor="accent1" w:themeShade="BF"/>
    </w:rPr>
  </w:style>
  <w:style w:type="paragraph" w:styleId="IntenseQuote">
    <w:name w:val="Intense Quote"/>
    <w:basedOn w:val="Normal"/>
    <w:next w:val="Normal"/>
    <w:link w:val="IntenseQuoteChar"/>
    <w:uiPriority w:val="30"/>
    <w:qFormat/>
    <w:rsid w:val="00957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717"/>
    <w:rPr>
      <w:i/>
      <w:iCs/>
      <w:color w:val="0F4761" w:themeColor="accent1" w:themeShade="BF"/>
    </w:rPr>
  </w:style>
  <w:style w:type="character" w:styleId="IntenseReference">
    <w:name w:val="Intense Reference"/>
    <w:basedOn w:val="DefaultParagraphFont"/>
    <w:uiPriority w:val="32"/>
    <w:qFormat/>
    <w:rsid w:val="00957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0484">
      <w:bodyDiv w:val="1"/>
      <w:marLeft w:val="0"/>
      <w:marRight w:val="0"/>
      <w:marTop w:val="0"/>
      <w:marBottom w:val="0"/>
      <w:divBdr>
        <w:top w:val="none" w:sz="0" w:space="0" w:color="auto"/>
        <w:left w:val="none" w:sz="0" w:space="0" w:color="auto"/>
        <w:bottom w:val="none" w:sz="0" w:space="0" w:color="auto"/>
        <w:right w:val="none" w:sz="0" w:space="0" w:color="auto"/>
      </w:divBdr>
    </w:div>
    <w:div w:id="39747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1464</Words>
  <Characters>8350</Characters>
  <Application>Microsoft Office Word</Application>
  <DocSecurity>0</DocSecurity>
  <Lines>69</Lines>
  <Paragraphs>19</Paragraphs>
  <ScaleCrop>false</ScaleCrop>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Bishop</dc:creator>
  <cp:keywords/>
  <dc:description/>
  <cp:lastModifiedBy>Avery Bishop</cp:lastModifiedBy>
  <cp:revision>1</cp:revision>
  <dcterms:created xsi:type="dcterms:W3CDTF">2025-12-11T01:46:00Z</dcterms:created>
  <dcterms:modified xsi:type="dcterms:W3CDTF">2025-12-11T01:55:00Z</dcterms:modified>
</cp:coreProperties>
</file>