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23" w:rsidRPr="00F41545" w:rsidRDefault="00280B23" w:rsidP="00280B23">
      <w:pPr>
        <w:pBdr>
          <w:bottom w:val="single" w:sz="4" w:space="1" w:color="auto"/>
        </w:pBdr>
        <w:jc w:val="center"/>
        <w:rPr>
          <w:b/>
          <w:sz w:val="28"/>
        </w:rPr>
      </w:pPr>
      <w:r w:rsidRPr="00F41545">
        <w:rPr>
          <w:b/>
          <w:sz w:val="28"/>
        </w:rPr>
        <w:t xml:space="preserve">Efeito no </w:t>
      </w:r>
      <w:r w:rsidR="00D55E1B">
        <w:rPr>
          <w:b/>
          <w:sz w:val="28"/>
        </w:rPr>
        <w:t>p</w:t>
      </w:r>
      <w:r w:rsidRPr="00F41545">
        <w:rPr>
          <w:b/>
          <w:sz w:val="28"/>
        </w:rPr>
        <w:t xml:space="preserve">reço de </w:t>
      </w:r>
      <w:r w:rsidR="00D55E1B">
        <w:rPr>
          <w:b/>
          <w:sz w:val="28"/>
        </w:rPr>
        <w:t>e</w:t>
      </w:r>
      <w:r>
        <w:rPr>
          <w:b/>
          <w:sz w:val="28"/>
        </w:rPr>
        <w:t xml:space="preserve">mpreendimentos de </w:t>
      </w:r>
      <w:r w:rsidR="00D55E1B">
        <w:rPr>
          <w:b/>
          <w:sz w:val="28"/>
        </w:rPr>
        <w:t>e</w:t>
      </w:r>
      <w:r>
        <w:rPr>
          <w:b/>
          <w:sz w:val="28"/>
        </w:rPr>
        <w:t xml:space="preserve">nergia </w:t>
      </w:r>
      <w:r w:rsidR="00D55E1B">
        <w:rPr>
          <w:b/>
          <w:sz w:val="28"/>
        </w:rPr>
        <w:t>e</w:t>
      </w:r>
      <w:r>
        <w:rPr>
          <w:b/>
          <w:sz w:val="28"/>
        </w:rPr>
        <w:t xml:space="preserve">ólica no ACR </w:t>
      </w:r>
      <w:r w:rsidR="00D55E1B">
        <w:rPr>
          <w:b/>
          <w:sz w:val="28"/>
        </w:rPr>
        <w:br/>
        <w:t>d</w:t>
      </w:r>
      <w:r w:rsidRPr="00F41545">
        <w:rPr>
          <w:b/>
          <w:sz w:val="28"/>
        </w:rPr>
        <w:t xml:space="preserve">evido ao </w:t>
      </w:r>
      <w:r w:rsidR="00D55E1B">
        <w:rPr>
          <w:b/>
          <w:sz w:val="28"/>
        </w:rPr>
        <w:t>a</w:t>
      </w:r>
      <w:r w:rsidRPr="00F41545">
        <w:rPr>
          <w:b/>
          <w:sz w:val="28"/>
        </w:rPr>
        <w:t xml:space="preserve">umento de </w:t>
      </w:r>
      <w:r w:rsidR="00D55E1B">
        <w:rPr>
          <w:b/>
          <w:sz w:val="28"/>
        </w:rPr>
        <w:t>c</w:t>
      </w:r>
      <w:r w:rsidRPr="00F41545">
        <w:rPr>
          <w:b/>
          <w:sz w:val="28"/>
        </w:rPr>
        <w:t xml:space="preserve">onfiabilidade da </w:t>
      </w:r>
      <w:r w:rsidR="00D55E1B">
        <w:rPr>
          <w:b/>
          <w:sz w:val="28"/>
        </w:rPr>
        <w:t>g</w:t>
      </w:r>
      <w:r w:rsidRPr="00F41545">
        <w:rPr>
          <w:b/>
          <w:sz w:val="28"/>
        </w:rPr>
        <w:t xml:space="preserve">arantia </w:t>
      </w:r>
      <w:r w:rsidR="00D55E1B">
        <w:rPr>
          <w:b/>
          <w:sz w:val="28"/>
        </w:rPr>
        <w:t>f</w:t>
      </w:r>
      <w:r w:rsidRPr="00F41545">
        <w:rPr>
          <w:b/>
          <w:sz w:val="28"/>
        </w:rPr>
        <w:t xml:space="preserve">ísica </w:t>
      </w:r>
    </w:p>
    <w:p w:rsidR="00280B23" w:rsidRPr="00F41545" w:rsidRDefault="00280B23" w:rsidP="00280B23">
      <w:pPr>
        <w:jc w:val="center"/>
        <w:rPr>
          <w:b/>
        </w:rPr>
      </w:pPr>
      <w:r w:rsidRPr="00F41545">
        <w:rPr>
          <w:b/>
        </w:rPr>
        <w:t>(NOTA TÉCNICA</w:t>
      </w:r>
      <w:r w:rsidR="00AD16F0">
        <w:rPr>
          <w:b/>
        </w:rPr>
        <w:t xml:space="preserve"> – </w:t>
      </w:r>
      <w:r w:rsidR="00AD16F0" w:rsidRPr="00AD16F0">
        <w:rPr>
          <w:b/>
          <w:color w:val="C0504D" w:themeColor="accent2"/>
        </w:rPr>
        <w:t>VERSÃO PRELIMINAR</w:t>
      </w:r>
      <w:r w:rsidRPr="00F41545">
        <w:rPr>
          <w:b/>
        </w:rPr>
        <w:t>)</w:t>
      </w:r>
    </w:p>
    <w:p w:rsidR="00280B23" w:rsidRDefault="00280B23" w:rsidP="00280B23">
      <w:pPr>
        <w:jc w:val="center"/>
      </w:pPr>
    </w:p>
    <w:p w:rsidR="00413F4B" w:rsidRPr="00620E1E" w:rsidRDefault="00413F4B" w:rsidP="00D55E1B">
      <w:pPr>
        <w:jc w:val="center"/>
        <w:outlineLvl w:val="0"/>
      </w:pPr>
      <w:r w:rsidRPr="00620E1E">
        <w:rPr>
          <w:b/>
          <w:sz w:val="20"/>
        </w:rPr>
        <w:t>Prof. Alexandre Street – street@ele.puc-rio.br</w:t>
      </w:r>
    </w:p>
    <w:p w:rsidR="00413F4B" w:rsidRDefault="00413F4B" w:rsidP="00D55E1B">
      <w:pPr>
        <w:jc w:val="center"/>
        <w:outlineLvl w:val="0"/>
        <w:rPr>
          <w:b/>
          <w:sz w:val="20"/>
        </w:rPr>
      </w:pPr>
      <w:r>
        <w:rPr>
          <w:b/>
          <w:sz w:val="20"/>
        </w:rPr>
        <w:t>Laboratório de Métodos de Apoio à Decisão (</w:t>
      </w:r>
      <w:proofErr w:type="spellStart"/>
      <w:proofErr w:type="gramStart"/>
      <w:r w:rsidR="008D424E">
        <w:rPr>
          <w:b/>
          <w:sz w:val="20"/>
        </w:rPr>
        <w:t>lab</w:t>
      </w:r>
      <w:r>
        <w:rPr>
          <w:b/>
          <w:sz w:val="20"/>
        </w:rPr>
        <w:t>MAD</w:t>
      </w:r>
      <w:proofErr w:type="spellEnd"/>
      <w:proofErr w:type="gramEnd"/>
      <w:r>
        <w:rPr>
          <w:b/>
          <w:sz w:val="20"/>
        </w:rPr>
        <w:t>)</w:t>
      </w:r>
    </w:p>
    <w:p w:rsidR="00413F4B" w:rsidRPr="00F41545" w:rsidRDefault="00280B23" w:rsidP="00D55E1B">
      <w:pPr>
        <w:jc w:val="center"/>
        <w:outlineLvl w:val="0"/>
        <w:rPr>
          <w:b/>
          <w:sz w:val="20"/>
        </w:rPr>
      </w:pPr>
      <w:r w:rsidRPr="00F41545">
        <w:rPr>
          <w:b/>
          <w:sz w:val="20"/>
        </w:rPr>
        <w:t>Departamento de Engenharia</w:t>
      </w:r>
      <w:r w:rsidR="00413F4B">
        <w:rPr>
          <w:b/>
          <w:sz w:val="20"/>
        </w:rPr>
        <w:t xml:space="preserve"> </w:t>
      </w:r>
      <w:r w:rsidRPr="00F41545">
        <w:rPr>
          <w:b/>
          <w:sz w:val="20"/>
        </w:rPr>
        <w:t>Elétrica</w:t>
      </w:r>
      <w:r w:rsidR="00413F4B">
        <w:rPr>
          <w:b/>
          <w:sz w:val="20"/>
        </w:rPr>
        <w:t xml:space="preserve"> da </w:t>
      </w:r>
      <w:r w:rsidR="00413F4B" w:rsidRPr="00F41545">
        <w:rPr>
          <w:b/>
          <w:sz w:val="20"/>
        </w:rPr>
        <w:t>PUC-Rio</w:t>
      </w:r>
    </w:p>
    <w:p w:rsidR="00280B23" w:rsidRPr="00413F4B" w:rsidRDefault="00280B23" w:rsidP="00280B23">
      <w:pPr>
        <w:jc w:val="center"/>
        <w:rPr>
          <w:b/>
          <w:sz w:val="20"/>
        </w:rPr>
      </w:pPr>
    </w:p>
    <w:p w:rsidR="00280B23" w:rsidRPr="00F41545" w:rsidRDefault="00280B23" w:rsidP="00D55E1B">
      <w:pPr>
        <w:jc w:val="center"/>
        <w:outlineLvl w:val="0"/>
        <w:rPr>
          <w:b/>
          <w:sz w:val="20"/>
        </w:rPr>
      </w:pPr>
      <w:r w:rsidRPr="00F41545">
        <w:rPr>
          <w:b/>
          <w:sz w:val="20"/>
        </w:rPr>
        <w:t>Março de 2013</w:t>
      </w:r>
    </w:p>
    <w:p w:rsidR="00280B23" w:rsidRPr="00F41545" w:rsidRDefault="00280B23" w:rsidP="00280B23"/>
    <w:p w:rsidR="00280B23" w:rsidRPr="00F41545" w:rsidRDefault="00280B23" w:rsidP="00280B23">
      <w:pPr>
        <w:pBdr>
          <w:bottom w:val="single" w:sz="4" w:space="1" w:color="auto"/>
        </w:pBdr>
        <w:jc w:val="both"/>
      </w:pPr>
      <w:r w:rsidRPr="00F41545">
        <w:rPr>
          <w:b/>
          <w:sz w:val="20"/>
        </w:rPr>
        <w:t>Resumo:</w:t>
      </w:r>
      <w:r w:rsidRPr="00F41545">
        <w:rPr>
          <w:sz w:val="20"/>
        </w:rPr>
        <w:t xml:space="preserve"> O objetivo desta nota técnica é quantificar o aumento de preço que os projetos de geração de energia eólica deverão apresentar em função de um aumento no </w:t>
      </w:r>
      <w:r w:rsidR="00620E1E">
        <w:rPr>
          <w:sz w:val="20"/>
        </w:rPr>
        <w:t>nível</w:t>
      </w:r>
      <w:r w:rsidRPr="00F41545">
        <w:rPr>
          <w:sz w:val="20"/>
        </w:rPr>
        <w:t xml:space="preserve"> de confiabilidade da </w:t>
      </w:r>
      <w:r w:rsidR="00620E1E">
        <w:rPr>
          <w:sz w:val="20"/>
        </w:rPr>
        <w:t xml:space="preserve">sua </w:t>
      </w:r>
      <w:r w:rsidRPr="00F41545">
        <w:rPr>
          <w:sz w:val="20"/>
        </w:rPr>
        <w:t>garantia física. Outros efeitos</w:t>
      </w:r>
      <w:r w:rsidR="00620E1E">
        <w:rPr>
          <w:sz w:val="20"/>
        </w:rPr>
        <w:t xml:space="preserve"> secundários</w:t>
      </w:r>
      <w:r w:rsidRPr="00F41545">
        <w:rPr>
          <w:sz w:val="20"/>
        </w:rPr>
        <w:t xml:space="preserve"> também serão abordados nesta nota.  </w:t>
      </w:r>
    </w:p>
    <w:p w:rsidR="00280B23" w:rsidRDefault="00280B23" w:rsidP="00280B23"/>
    <w:p w:rsidR="00280B23" w:rsidRDefault="00280B23" w:rsidP="008F1C3A">
      <w:pPr>
        <w:numPr>
          <w:ilvl w:val="0"/>
          <w:numId w:val="1"/>
        </w:numPr>
        <w:spacing w:line="276" w:lineRule="auto"/>
        <w:ind w:left="0"/>
        <w:jc w:val="center"/>
        <w:rPr>
          <w:b/>
        </w:rPr>
      </w:pPr>
      <w:r w:rsidRPr="00573BD3">
        <w:rPr>
          <w:b/>
        </w:rPr>
        <w:t>INTRODUÇÃO</w:t>
      </w:r>
    </w:p>
    <w:p w:rsidR="00A3537A" w:rsidRPr="004B42F4" w:rsidRDefault="00280B23" w:rsidP="00280B23">
      <w:pPr>
        <w:spacing w:line="288" w:lineRule="auto"/>
        <w:jc w:val="both"/>
        <w:rPr>
          <w:sz w:val="20"/>
          <w:szCs w:val="20"/>
        </w:rPr>
      </w:pPr>
      <w:r w:rsidRPr="004B42F4">
        <w:rPr>
          <w:sz w:val="20"/>
          <w:szCs w:val="20"/>
        </w:rPr>
        <w:t xml:space="preserve">Segundo a portaria ANEEL 258 de julho de 2008, o cálculo da garantia física (GF) dos empreendimentos de energia eólica é realizado com base na média da produção mensal certificada (ver </w:t>
      </w:r>
      <w:r w:rsidR="008D424E">
        <w:rPr>
          <w:sz w:val="20"/>
          <w:szCs w:val="20"/>
        </w:rPr>
        <w:t>ú</w:t>
      </w:r>
      <w:r w:rsidRPr="004B42F4">
        <w:rPr>
          <w:sz w:val="20"/>
          <w:szCs w:val="20"/>
        </w:rPr>
        <w:t>ltima fórmula do documento</w:t>
      </w:r>
      <w:r>
        <w:rPr>
          <w:sz w:val="20"/>
          <w:szCs w:val="20"/>
        </w:rPr>
        <w:t xml:space="preserve"> referenciado em </w:t>
      </w:r>
      <w:r w:rsidR="003B62E6"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REF _Ref349835398 \r \h </w:instrText>
      </w:r>
      <w:r w:rsidR="003B62E6">
        <w:rPr>
          <w:sz w:val="20"/>
          <w:szCs w:val="20"/>
        </w:rPr>
      </w:r>
      <w:r w:rsidR="003B62E6">
        <w:rPr>
          <w:sz w:val="20"/>
          <w:szCs w:val="20"/>
        </w:rPr>
        <w:fldChar w:fldCharType="separate"/>
      </w:r>
      <w:r w:rsidR="00BD5E6C">
        <w:rPr>
          <w:sz w:val="20"/>
          <w:szCs w:val="20"/>
        </w:rPr>
        <w:t>[1]</w:t>
      </w:r>
      <w:r w:rsidR="003B62E6">
        <w:rPr>
          <w:sz w:val="20"/>
          <w:szCs w:val="20"/>
        </w:rPr>
        <w:fldChar w:fldCharType="end"/>
      </w:r>
      <w:r w:rsidRPr="004B42F4">
        <w:rPr>
          <w:sz w:val="20"/>
          <w:szCs w:val="20"/>
        </w:rPr>
        <w:t xml:space="preserve">). </w:t>
      </w:r>
      <w:r>
        <w:rPr>
          <w:sz w:val="20"/>
          <w:szCs w:val="20"/>
        </w:rPr>
        <w:t>A energia certificada é determinada pelo percentil 50% (mediana), ou simplesmente P50</w:t>
      </w:r>
      <w:r w:rsidR="008D424E">
        <w:rPr>
          <w:sz w:val="20"/>
          <w:szCs w:val="20"/>
        </w:rPr>
        <w:t>%</w:t>
      </w:r>
      <w:r>
        <w:rPr>
          <w:sz w:val="20"/>
          <w:szCs w:val="20"/>
        </w:rPr>
        <w:t>, da produção histórica de cada mês do ano. Assim, o certificador entrega para o empreendedor um conjunto de 12 valores</w:t>
      </w:r>
      <w:r w:rsidR="005128BD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(50%)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m=1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12</m:t>
            </m:r>
          </m:sup>
        </m:sSubSup>
      </m:oMath>
      <w:r w:rsidR="003A3FDB">
        <w:rPr>
          <w:sz w:val="20"/>
          <w:szCs w:val="20"/>
        </w:rPr>
        <w:t xml:space="preserve"> em MWmédio</w:t>
      </w:r>
      <w:r w:rsidR="005128BD">
        <w:rPr>
          <w:sz w:val="20"/>
          <w:szCs w:val="20"/>
        </w:rPr>
        <w:t>, de energia certificada a P50</w:t>
      </w:r>
      <w:r w:rsidR="008D424E">
        <w:rPr>
          <w:sz w:val="20"/>
          <w:szCs w:val="20"/>
        </w:rPr>
        <w:t>%</w:t>
      </w:r>
      <w:r w:rsidR="005128BD">
        <w:rPr>
          <w:sz w:val="20"/>
          <w:szCs w:val="20"/>
        </w:rPr>
        <w:t xml:space="preserve">, e a ANEEL determina que a garantia física </w:t>
      </w:r>
      <w:r w:rsidR="003A3FDB">
        <w:rPr>
          <w:sz w:val="20"/>
          <w:szCs w:val="20"/>
        </w:rPr>
        <w:t xml:space="preserve">(também em MWmédio) </w:t>
      </w:r>
      <w:r w:rsidR="005128BD">
        <w:rPr>
          <w:sz w:val="20"/>
          <w:szCs w:val="20"/>
        </w:rPr>
        <w:t xml:space="preserve">seja igual a 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2"/>
        <w:gridCol w:w="611"/>
      </w:tblGrid>
      <w:tr w:rsidR="00A3537A" w:rsidRPr="00340F5C" w:rsidTr="00AE4F08">
        <w:trPr>
          <w:trHeight w:val="283"/>
          <w:jc w:val="center"/>
        </w:trPr>
        <w:tc>
          <w:tcPr>
            <w:tcW w:w="8712" w:type="dxa"/>
            <w:vAlign w:val="center"/>
          </w:tcPr>
          <w:p w:rsidR="00A3537A" w:rsidRPr="00A3537A" w:rsidRDefault="00F4104C" w:rsidP="003A3FDB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(50%)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8760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12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(50%)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</m:oMath>
            </m:oMathPara>
          </w:p>
        </w:tc>
        <w:tc>
          <w:tcPr>
            <w:tcW w:w="611" w:type="dxa"/>
            <w:vAlign w:val="center"/>
          </w:tcPr>
          <w:p w:rsidR="00A3537A" w:rsidRPr="00A3537A" w:rsidRDefault="00A3537A" w:rsidP="00590DDF">
            <w:pPr>
              <w:jc w:val="center"/>
              <w:rPr>
                <w:sz w:val="20"/>
                <w:szCs w:val="20"/>
              </w:rPr>
            </w:pPr>
            <w:bookmarkStart w:id="0" w:name="_Ref337114463"/>
            <w:r w:rsidRPr="00A3537A">
              <w:rPr>
                <w:sz w:val="20"/>
                <w:szCs w:val="20"/>
              </w:rPr>
              <w:t>(</w:t>
            </w:r>
            <w:r w:rsidR="003B62E6" w:rsidRPr="00A3537A">
              <w:rPr>
                <w:sz w:val="20"/>
                <w:szCs w:val="20"/>
              </w:rPr>
              <w:fldChar w:fldCharType="begin"/>
            </w:r>
            <w:r w:rsidRPr="00A3537A">
              <w:rPr>
                <w:sz w:val="20"/>
                <w:szCs w:val="20"/>
              </w:rPr>
              <w:instrText xml:space="preserve"> SEQ Equação \* ARABIC </w:instrText>
            </w:r>
            <w:r w:rsidR="003B62E6" w:rsidRPr="00A3537A">
              <w:rPr>
                <w:sz w:val="20"/>
                <w:szCs w:val="20"/>
              </w:rPr>
              <w:fldChar w:fldCharType="separate"/>
            </w:r>
            <w:r w:rsidR="00BD5E6C">
              <w:rPr>
                <w:noProof/>
                <w:sz w:val="20"/>
                <w:szCs w:val="20"/>
              </w:rPr>
              <w:t>1</w:t>
            </w:r>
            <w:r w:rsidR="003B62E6" w:rsidRPr="00A3537A">
              <w:rPr>
                <w:sz w:val="20"/>
                <w:szCs w:val="20"/>
              </w:rPr>
              <w:fldChar w:fldCharType="end"/>
            </w:r>
            <w:r w:rsidRPr="00A3537A">
              <w:rPr>
                <w:sz w:val="20"/>
                <w:szCs w:val="20"/>
              </w:rPr>
              <w:t>)</w:t>
            </w:r>
            <w:bookmarkEnd w:id="0"/>
          </w:p>
        </w:tc>
      </w:tr>
    </w:tbl>
    <w:p w:rsidR="00280B23" w:rsidRPr="004B42F4" w:rsidRDefault="003A3FDB" w:rsidP="00280B23">
      <w:pPr>
        <w:spacing w:line="288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Onde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>
        <w:rPr>
          <w:sz w:val="20"/>
          <w:szCs w:val="20"/>
        </w:rPr>
        <w:t xml:space="preserve"> é o número de horas de cada mês.</w:t>
      </w:r>
    </w:p>
    <w:p w:rsidR="00280B23" w:rsidRPr="004B42F4" w:rsidRDefault="00D9287D" w:rsidP="008D424E">
      <w:pPr>
        <w:spacing w:after="100" w:line="288" w:lineRule="auto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O critério P50% indica que em 50% dos anos do histórico</w:t>
      </w:r>
      <w:r w:rsidR="00BA73C4">
        <w:rPr>
          <w:sz w:val="20"/>
          <w:szCs w:val="20"/>
        </w:rPr>
        <w:t xml:space="preserve"> utilizado</w:t>
      </w:r>
      <w:r>
        <w:rPr>
          <w:sz w:val="20"/>
          <w:szCs w:val="20"/>
        </w:rPr>
        <w:t xml:space="preserve">, a energia produzida em um determinado mês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superou </w:t>
      </w:r>
      <w:r w:rsidR="00D14ABA">
        <w:rPr>
          <w:sz w:val="20"/>
          <w:szCs w:val="20"/>
        </w:rPr>
        <w:t xml:space="preserve">o </w:t>
      </w:r>
      <w:r w:rsidR="00BA73C4">
        <w:rPr>
          <w:sz w:val="20"/>
          <w:szCs w:val="20"/>
        </w:rPr>
        <w:t xml:space="preserve">valor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(50%)</m:t>
            </m:r>
          </m:sup>
        </m:sSubSup>
      </m:oMath>
      <w:r>
        <w:rPr>
          <w:sz w:val="20"/>
          <w:szCs w:val="20"/>
        </w:rPr>
        <w:t xml:space="preserve">. Quando aumentamos o critério de confiabilidade de 50% para um valor </w:t>
      </w:r>
      <m:oMath>
        <m:r>
          <w:rPr>
            <w:rFonts w:ascii="Cambria Math" w:hAnsi="Cambria Math"/>
            <w:sz w:val="20"/>
            <w:szCs w:val="20"/>
          </w:rPr>
          <m:t>α</m:t>
        </m:r>
      </m:oMath>
      <w:r>
        <w:rPr>
          <w:sz w:val="20"/>
          <w:szCs w:val="20"/>
        </w:rPr>
        <w:t xml:space="preserve"> &gt; 50, esperamos ver uma redução da GF. </w:t>
      </w:r>
      <w:r w:rsidR="003911A7">
        <w:rPr>
          <w:sz w:val="20"/>
          <w:szCs w:val="20"/>
        </w:rPr>
        <w:t>O</w:t>
      </w:r>
      <w:r w:rsidR="001E3C6E">
        <w:rPr>
          <w:sz w:val="20"/>
          <w:szCs w:val="20"/>
        </w:rPr>
        <w:t xml:space="preserve">s dois </w:t>
      </w:r>
      <w:r w:rsidR="003911A7">
        <w:rPr>
          <w:sz w:val="20"/>
          <w:szCs w:val="20"/>
        </w:rPr>
        <w:t>gráfico</w:t>
      </w:r>
      <w:r w:rsidR="001E3C6E">
        <w:rPr>
          <w:sz w:val="20"/>
          <w:szCs w:val="20"/>
        </w:rPr>
        <w:t>s</w:t>
      </w:r>
      <w:r w:rsidR="003911A7">
        <w:rPr>
          <w:sz w:val="20"/>
          <w:szCs w:val="20"/>
        </w:rPr>
        <w:t xml:space="preserve"> </w:t>
      </w:r>
      <w:r w:rsidR="001E3C6E">
        <w:rPr>
          <w:sz w:val="20"/>
          <w:szCs w:val="20"/>
        </w:rPr>
        <w:t xml:space="preserve">que são exibidos a </w:t>
      </w:r>
      <w:r w:rsidR="003911A7">
        <w:rPr>
          <w:sz w:val="20"/>
          <w:szCs w:val="20"/>
        </w:rPr>
        <w:t>seguir mostra</w:t>
      </w:r>
      <w:r w:rsidR="001E3C6E">
        <w:rPr>
          <w:sz w:val="20"/>
          <w:szCs w:val="20"/>
        </w:rPr>
        <w:t>m,</w:t>
      </w:r>
      <w:r w:rsidR="001E3C6E" w:rsidRPr="001E3C6E">
        <w:rPr>
          <w:sz w:val="20"/>
          <w:szCs w:val="20"/>
        </w:rPr>
        <w:t xml:space="preserve"> </w:t>
      </w:r>
      <w:r w:rsidR="001E3C6E">
        <w:rPr>
          <w:sz w:val="20"/>
          <w:szCs w:val="20"/>
        </w:rPr>
        <w:t>para um parque no Nordeste do Brasil (</w:t>
      </w:r>
      <w:proofErr w:type="spellStart"/>
      <w:r w:rsidR="001E3C6E">
        <w:rPr>
          <w:sz w:val="20"/>
          <w:szCs w:val="20"/>
        </w:rPr>
        <w:t>Icaraizinho</w:t>
      </w:r>
      <w:proofErr w:type="spellEnd"/>
      <w:r w:rsidR="001E3C6E">
        <w:rPr>
          <w:sz w:val="20"/>
          <w:szCs w:val="20"/>
        </w:rPr>
        <w:t xml:space="preserve">), as estimativas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(α%)</m:t>
            </m:r>
          </m:sup>
        </m:sSubSup>
      </m:oMath>
      <w:r w:rsidR="001E3C6E">
        <w:rPr>
          <w:sz w:val="20"/>
          <w:szCs w:val="20"/>
        </w:rPr>
        <w:t xml:space="preserve"> e </w:t>
      </w:r>
      <m:oMath>
        <m:r>
          <w:rPr>
            <w:rFonts w:ascii="Cambria Math" w:hAnsi="Cambria Math"/>
            <w:sz w:val="20"/>
            <w:szCs w:val="20"/>
          </w:rPr>
          <m:t>G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(α%)</m:t>
            </m:r>
          </m:sup>
        </m:sSup>
      </m:oMath>
      <w:r w:rsidR="008D424E">
        <w:rPr>
          <w:sz w:val="20"/>
          <w:szCs w:val="20"/>
        </w:rPr>
        <w:t xml:space="preserve"> </w:t>
      </w:r>
      <w:r w:rsidR="003911A7">
        <w:rPr>
          <w:sz w:val="20"/>
          <w:szCs w:val="20"/>
        </w:rPr>
        <w:t xml:space="preserve">para diversos valores de confiabilidade </w:t>
      </w:r>
      <m:oMath>
        <m:r>
          <w:rPr>
            <w:rFonts w:ascii="Cambria Math" w:hAnsi="Cambria Math"/>
            <w:sz w:val="20"/>
            <w:szCs w:val="20"/>
          </w:rPr>
          <m:t>α∈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50,55,…,95</m:t>
            </m:r>
          </m:e>
        </m:d>
      </m:oMath>
      <w:r w:rsidR="003911A7">
        <w:rPr>
          <w:sz w:val="20"/>
          <w:szCs w:val="20"/>
        </w:rPr>
        <w:t>.</w:t>
      </w:r>
    </w:p>
    <w:p w:rsidR="00280B23" w:rsidRDefault="00873E81" w:rsidP="008D424E">
      <w:pPr>
        <w:keepNext/>
        <w:spacing w:line="288" w:lineRule="auto"/>
        <w:jc w:val="center"/>
        <w:rPr>
          <w:sz w:val="20"/>
          <w:szCs w:val="20"/>
        </w:rPr>
      </w:pPr>
      <w:r w:rsidRPr="00873E81">
        <w:rPr>
          <w:noProof/>
          <w:lang w:val="en-US" w:eastAsia="en-US"/>
        </w:rPr>
        <w:drawing>
          <wp:inline distT="0" distB="0" distL="0" distR="0">
            <wp:extent cx="4788000" cy="2044111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204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E81" w:rsidRDefault="00873E81" w:rsidP="00D55E1B">
      <w:pPr>
        <w:pStyle w:val="Legenda"/>
        <w:outlineLvl w:val="0"/>
      </w:pPr>
      <w:r w:rsidRPr="00873E81">
        <w:t xml:space="preserve">Fig. </w:t>
      </w:r>
      <w:r w:rsidR="003B62E6" w:rsidRPr="00873E81">
        <w:fldChar w:fldCharType="begin"/>
      </w:r>
      <w:r w:rsidRPr="00873E81">
        <w:instrText xml:space="preserve"> SEQ Figura \* ARABIC </w:instrText>
      </w:r>
      <w:r w:rsidR="003B62E6" w:rsidRPr="00873E81">
        <w:fldChar w:fldCharType="separate"/>
      </w:r>
      <w:r w:rsidR="00BD5E6C">
        <w:rPr>
          <w:noProof/>
        </w:rPr>
        <w:t>1</w:t>
      </w:r>
      <w:r w:rsidR="003B62E6" w:rsidRPr="00873E81">
        <w:fldChar w:fldCharType="end"/>
      </w:r>
      <w:r w:rsidRPr="00873E81">
        <w:t xml:space="preserve"> – Percentis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%)</m:t>
            </m:r>
          </m:sup>
        </m:sSubSup>
      </m:oMath>
      <w:r w:rsidRPr="00873E81">
        <w:t xml:space="preserve"> para cada mês </w:t>
      </w:r>
      <m:oMath>
        <m:r>
          <w:rPr>
            <w:rFonts w:ascii="Cambria Math" w:hAnsi="Cambria Math"/>
          </w:rPr>
          <m:t>m</m:t>
        </m:r>
      </m:oMath>
      <w:r w:rsidRPr="00873E81">
        <w:t xml:space="preserve"> e critério de confiabilidade </w:t>
      </w:r>
      <m:oMath>
        <m:r>
          <w:rPr>
            <w:rFonts w:ascii="Cambria Math" w:hAnsi="Cambria Math"/>
          </w:rPr>
          <m:t>α</m:t>
        </m:r>
      </m:oMath>
      <w:r w:rsidR="008D424E">
        <w:t>.</w:t>
      </w:r>
    </w:p>
    <w:p w:rsidR="00873E81" w:rsidRPr="001D0693" w:rsidRDefault="001D0693" w:rsidP="00873E81">
      <w:pPr>
        <w:jc w:val="center"/>
      </w:pPr>
      <w:r w:rsidRPr="001D0693">
        <w:rPr>
          <w:noProof/>
          <w:lang w:val="en-US" w:eastAsia="en-US"/>
        </w:rPr>
        <w:lastRenderedPageBreak/>
        <w:drawing>
          <wp:inline distT="0" distB="0" distL="0" distR="0" wp14:anchorId="1E8D95DB" wp14:editId="38BABFA9">
            <wp:extent cx="5195455" cy="216381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455" cy="216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E81" w:rsidRPr="00873E81" w:rsidRDefault="00873E81" w:rsidP="00D55E1B">
      <w:pPr>
        <w:pStyle w:val="Legenda"/>
        <w:outlineLvl w:val="0"/>
      </w:pPr>
      <w:r w:rsidRPr="00873E81">
        <w:t xml:space="preserve">Fig. </w:t>
      </w:r>
      <w:r w:rsidR="003B62E6" w:rsidRPr="00873E81">
        <w:fldChar w:fldCharType="begin"/>
      </w:r>
      <w:r w:rsidRPr="00873E81">
        <w:instrText xml:space="preserve"> SEQ Figura \* ARABIC </w:instrText>
      </w:r>
      <w:r w:rsidR="003B62E6" w:rsidRPr="00873E81">
        <w:fldChar w:fldCharType="separate"/>
      </w:r>
      <w:r w:rsidR="00BD5E6C">
        <w:rPr>
          <w:noProof/>
        </w:rPr>
        <w:t>2</w:t>
      </w:r>
      <w:r w:rsidR="003B62E6" w:rsidRPr="00873E81">
        <w:fldChar w:fldCharType="end"/>
      </w:r>
      <w:r w:rsidRPr="00873E81">
        <w:t xml:space="preserve"> – </w:t>
      </w:r>
      <m:oMath>
        <m:r>
          <w:rPr>
            <w:rFonts w:ascii="Cambria Math" w:hAnsi="Cambria Math"/>
          </w:rPr>
          <m:t>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(α%)</m:t>
            </m:r>
          </m:sup>
        </m:sSup>
      </m:oMath>
      <w:r w:rsidRPr="00873E81">
        <w:t xml:space="preserve"> para cada critério de confiabilidade </w:t>
      </w:r>
      <m:oMath>
        <m:r>
          <w:rPr>
            <w:rFonts w:ascii="Cambria Math" w:hAnsi="Cambria Math"/>
          </w:rPr>
          <m:t>α</m:t>
        </m:r>
      </m:oMath>
      <w:r w:rsidR="00324B66">
        <w:rPr>
          <w:iCs/>
        </w:rPr>
        <w:t>.</w:t>
      </w:r>
    </w:p>
    <w:p w:rsidR="00873E81" w:rsidRDefault="003A3FDB" w:rsidP="003A3FDB">
      <w:pPr>
        <w:spacing w:line="288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Na figura 2, podemos notar que a GF é reduzida em 13% ao elevarmos a confiabilidade de 50% para 75%. Essa redução passa para aproximadamente 24% ao adotarmos uma confiabilidade de 90%. </w:t>
      </w:r>
    </w:p>
    <w:p w:rsidR="009032C5" w:rsidRDefault="003A3FDB" w:rsidP="00574D91">
      <w:pPr>
        <w:spacing w:line="288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O aumento </w:t>
      </w:r>
      <w:r w:rsidR="00574D91">
        <w:rPr>
          <w:sz w:val="20"/>
          <w:szCs w:val="20"/>
        </w:rPr>
        <w:t>na</w:t>
      </w:r>
      <w:r>
        <w:rPr>
          <w:sz w:val="20"/>
          <w:szCs w:val="20"/>
        </w:rPr>
        <w:t xml:space="preserve"> confiabilidade </w:t>
      </w:r>
      <w:r w:rsidR="00574D91">
        <w:rPr>
          <w:sz w:val="20"/>
          <w:szCs w:val="20"/>
        </w:rPr>
        <w:t xml:space="preserve">da GF dos parques eólicos torna o </w:t>
      </w:r>
      <w:proofErr w:type="gramStart"/>
      <w:r w:rsidR="00574D91">
        <w:rPr>
          <w:sz w:val="20"/>
          <w:szCs w:val="20"/>
        </w:rPr>
        <w:t>MWmédio</w:t>
      </w:r>
      <w:proofErr w:type="gramEnd"/>
      <w:r w:rsidR="00574D91">
        <w:rPr>
          <w:sz w:val="20"/>
          <w:szCs w:val="20"/>
        </w:rPr>
        <w:t xml:space="preserve"> dessas usinas mais atrativo para </w:t>
      </w:r>
      <w:r w:rsidR="006C6DA6">
        <w:rPr>
          <w:sz w:val="20"/>
          <w:szCs w:val="20"/>
        </w:rPr>
        <w:t xml:space="preserve">os </w:t>
      </w:r>
      <w:r w:rsidR="00574D91">
        <w:rPr>
          <w:sz w:val="20"/>
          <w:szCs w:val="20"/>
        </w:rPr>
        <w:t xml:space="preserve">consumidores </w:t>
      </w:r>
      <w:r w:rsidR="006C6DA6">
        <w:rPr>
          <w:sz w:val="20"/>
          <w:szCs w:val="20"/>
        </w:rPr>
        <w:t>e</w:t>
      </w:r>
      <w:r w:rsidR="00574D91">
        <w:rPr>
          <w:sz w:val="20"/>
          <w:szCs w:val="20"/>
        </w:rPr>
        <w:t xml:space="preserve"> </w:t>
      </w:r>
      <w:r w:rsidR="006C6DA6">
        <w:rPr>
          <w:sz w:val="20"/>
          <w:szCs w:val="20"/>
        </w:rPr>
        <w:t xml:space="preserve">para o </w:t>
      </w:r>
      <w:r w:rsidR="00574D91">
        <w:rPr>
          <w:sz w:val="20"/>
          <w:szCs w:val="20"/>
        </w:rPr>
        <w:t>sistema</w:t>
      </w:r>
      <w:r w:rsidR="000F6F1A">
        <w:rPr>
          <w:sz w:val="20"/>
          <w:szCs w:val="20"/>
        </w:rPr>
        <w:t xml:space="preserve">. </w:t>
      </w:r>
      <w:r w:rsidR="004421A4">
        <w:rPr>
          <w:sz w:val="20"/>
          <w:szCs w:val="20"/>
        </w:rPr>
        <w:t>S</w:t>
      </w:r>
      <w:r w:rsidR="006411C9">
        <w:rPr>
          <w:sz w:val="20"/>
          <w:szCs w:val="20"/>
        </w:rPr>
        <w:t xml:space="preserve">uponha duas usinas eólicas, ambas </w:t>
      </w:r>
      <w:r w:rsidR="004421A4">
        <w:rPr>
          <w:sz w:val="20"/>
          <w:szCs w:val="20"/>
        </w:rPr>
        <w:t>com a mesma</w:t>
      </w:r>
      <w:r w:rsidR="006411C9">
        <w:rPr>
          <w:sz w:val="20"/>
          <w:szCs w:val="20"/>
        </w:rPr>
        <w:t xml:space="preserve"> GF</w:t>
      </w:r>
      <w:r w:rsidR="004421A4">
        <w:rPr>
          <w:sz w:val="20"/>
          <w:szCs w:val="20"/>
        </w:rPr>
        <w:t xml:space="preserve"> </w:t>
      </w:r>
      <w:r w:rsidR="006411C9">
        <w:rPr>
          <w:sz w:val="20"/>
          <w:szCs w:val="20"/>
        </w:rPr>
        <w:t>e 100% contratada</w:t>
      </w:r>
      <w:r w:rsidR="004421A4">
        <w:rPr>
          <w:sz w:val="20"/>
          <w:szCs w:val="20"/>
        </w:rPr>
        <w:t>s</w:t>
      </w:r>
      <w:r w:rsidR="006411C9">
        <w:rPr>
          <w:sz w:val="20"/>
          <w:szCs w:val="20"/>
        </w:rPr>
        <w:t xml:space="preserve"> por disponibilidade com um mesmo consumidor. Se a usina </w:t>
      </w:r>
      <w:proofErr w:type="gramStart"/>
      <w:r w:rsidR="006411C9">
        <w:rPr>
          <w:sz w:val="20"/>
          <w:szCs w:val="20"/>
        </w:rPr>
        <w:t>1</w:t>
      </w:r>
      <w:proofErr w:type="gramEnd"/>
      <w:r w:rsidR="006411C9">
        <w:rPr>
          <w:sz w:val="20"/>
          <w:szCs w:val="20"/>
        </w:rPr>
        <w:t xml:space="preserve"> tiver sua GF calculada a P50% e a usina 2 a P</w:t>
      </w:r>
      <w:r w:rsidR="00B03F90">
        <w:rPr>
          <w:sz w:val="20"/>
          <w:szCs w:val="20"/>
        </w:rPr>
        <w:t>75</w:t>
      </w:r>
      <w:r w:rsidR="006411C9">
        <w:rPr>
          <w:sz w:val="20"/>
          <w:szCs w:val="20"/>
        </w:rPr>
        <w:t xml:space="preserve">%, o consumidor deverá enxergar </w:t>
      </w:r>
      <w:r w:rsidR="00B03F90">
        <w:rPr>
          <w:sz w:val="20"/>
          <w:szCs w:val="20"/>
        </w:rPr>
        <w:t>um maior valor associado a</w:t>
      </w:r>
      <w:r w:rsidR="006411C9">
        <w:rPr>
          <w:sz w:val="20"/>
          <w:szCs w:val="20"/>
        </w:rPr>
        <w:t xml:space="preserve">o contrato </w:t>
      </w:r>
      <w:r w:rsidR="00B03F90">
        <w:rPr>
          <w:sz w:val="20"/>
          <w:szCs w:val="20"/>
        </w:rPr>
        <w:t xml:space="preserve">com a usina 2. Isso porque o contrato </w:t>
      </w:r>
      <w:proofErr w:type="gramStart"/>
      <w:r w:rsidR="00B03F90">
        <w:rPr>
          <w:sz w:val="20"/>
          <w:szCs w:val="20"/>
        </w:rPr>
        <w:t>2</w:t>
      </w:r>
      <w:proofErr w:type="gramEnd"/>
      <w:r w:rsidR="00B03F90">
        <w:rPr>
          <w:sz w:val="20"/>
          <w:szCs w:val="20"/>
        </w:rPr>
        <w:t xml:space="preserve"> tende a exceder seu montante em 75% do tempo e o contrato 1 em apenas 50</w:t>
      </w:r>
      <w:r w:rsidR="00FA7F4C">
        <w:rPr>
          <w:sz w:val="20"/>
          <w:szCs w:val="20"/>
        </w:rPr>
        <w:t>%</w:t>
      </w:r>
      <w:r w:rsidR="00B03F90">
        <w:rPr>
          <w:sz w:val="20"/>
          <w:szCs w:val="20"/>
        </w:rPr>
        <w:t>.</w:t>
      </w:r>
      <w:r w:rsidR="004421A4">
        <w:rPr>
          <w:sz w:val="20"/>
          <w:szCs w:val="20"/>
        </w:rPr>
        <w:t xml:space="preserve"> </w:t>
      </w:r>
      <w:r w:rsidR="00B03F90">
        <w:rPr>
          <w:sz w:val="20"/>
          <w:szCs w:val="20"/>
        </w:rPr>
        <w:t xml:space="preserve">Assim, o consumidor </w:t>
      </w:r>
      <w:r w:rsidR="004421A4">
        <w:rPr>
          <w:sz w:val="20"/>
          <w:szCs w:val="20"/>
        </w:rPr>
        <w:t xml:space="preserve">deverá </w:t>
      </w:r>
      <w:r w:rsidR="00EC7B3D">
        <w:rPr>
          <w:sz w:val="20"/>
          <w:szCs w:val="20"/>
        </w:rPr>
        <w:t xml:space="preserve">obter com o contrato </w:t>
      </w:r>
      <w:proofErr w:type="gramStart"/>
      <w:r w:rsidR="00EC7B3D">
        <w:rPr>
          <w:sz w:val="20"/>
          <w:szCs w:val="20"/>
        </w:rPr>
        <w:t>2</w:t>
      </w:r>
      <w:proofErr w:type="gramEnd"/>
      <w:r w:rsidR="00EC7B3D">
        <w:rPr>
          <w:sz w:val="20"/>
          <w:szCs w:val="20"/>
        </w:rPr>
        <w:t xml:space="preserve"> uma receita </w:t>
      </w:r>
      <w:r w:rsidR="00FA7F4C">
        <w:rPr>
          <w:sz w:val="20"/>
          <w:szCs w:val="20"/>
        </w:rPr>
        <w:t xml:space="preserve">maior e </w:t>
      </w:r>
      <w:r w:rsidR="00EC7B3D">
        <w:rPr>
          <w:sz w:val="20"/>
          <w:szCs w:val="20"/>
        </w:rPr>
        <w:t xml:space="preserve">mais frequente </w:t>
      </w:r>
      <w:r w:rsidR="00FA7F4C">
        <w:rPr>
          <w:sz w:val="20"/>
          <w:szCs w:val="20"/>
        </w:rPr>
        <w:t xml:space="preserve">no curto prazo </w:t>
      </w:r>
      <w:r w:rsidR="00EC7B3D">
        <w:rPr>
          <w:sz w:val="20"/>
          <w:szCs w:val="20"/>
        </w:rPr>
        <w:t xml:space="preserve">que </w:t>
      </w:r>
      <w:r w:rsidR="00D52EC8">
        <w:rPr>
          <w:sz w:val="20"/>
          <w:szCs w:val="20"/>
        </w:rPr>
        <w:t>a obtida com o</w:t>
      </w:r>
      <w:r w:rsidR="00EC7B3D">
        <w:rPr>
          <w:sz w:val="20"/>
          <w:szCs w:val="20"/>
        </w:rPr>
        <w:t xml:space="preserve"> contrato 1</w:t>
      </w:r>
      <w:r w:rsidR="00B03F90">
        <w:rPr>
          <w:sz w:val="20"/>
          <w:szCs w:val="20"/>
        </w:rPr>
        <w:t>.</w:t>
      </w:r>
      <w:r w:rsidR="004421A4">
        <w:rPr>
          <w:sz w:val="20"/>
          <w:szCs w:val="20"/>
        </w:rPr>
        <w:t xml:space="preserve"> Além do benefício financeiro </w:t>
      </w:r>
      <w:r w:rsidR="00D52EC8">
        <w:rPr>
          <w:sz w:val="20"/>
          <w:szCs w:val="20"/>
        </w:rPr>
        <w:t xml:space="preserve">para </w:t>
      </w:r>
      <w:r w:rsidR="004421A4">
        <w:rPr>
          <w:sz w:val="20"/>
          <w:szCs w:val="20"/>
        </w:rPr>
        <w:t xml:space="preserve">os consumidores, </w:t>
      </w:r>
      <w:r w:rsidR="00D52EC8">
        <w:rPr>
          <w:sz w:val="20"/>
          <w:szCs w:val="20"/>
        </w:rPr>
        <w:t>o sistema</w:t>
      </w:r>
      <w:r w:rsidR="004421A4">
        <w:rPr>
          <w:sz w:val="20"/>
          <w:szCs w:val="20"/>
        </w:rPr>
        <w:t xml:space="preserve"> também </w:t>
      </w:r>
      <w:r w:rsidR="006C6DA6">
        <w:rPr>
          <w:sz w:val="20"/>
          <w:szCs w:val="20"/>
        </w:rPr>
        <w:t>se beneficia com o aumento na confiabilidade da GF das eólicas</w:t>
      </w:r>
      <w:r w:rsidR="004421A4">
        <w:rPr>
          <w:sz w:val="20"/>
          <w:szCs w:val="20"/>
        </w:rPr>
        <w:t xml:space="preserve">. </w:t>
      </w:r>
      <w:r w:rsidR="00BA73C4">
        <w:rPr>
          <w:sz w:val="20"/>
          <w:szCs w:val="20"/>
        </w:rPr>
        <w:t>Sob um maior nível de confiabilidade</w:t>
      </w:r>
      <w:r w:rsidR="006C6DA6">
        <w:rPr>
          <w:sz w:val="20"/>
          <w:szCs w:val="20"/>
        </w:rPr>
        <w:t>,</w:t>
      </w:r>
      <w:r w:rsidR="000A4390">
        <w:rPr>
          <w:sz w:val="20"/>
          <w:szCs w:val="20"/>
        </w:rPr>
        <w:t xml:space="preserve"> </w:t>
      </w:r>
      <w:r w:rsidR="006C6DA6">
        <w:rPr>
          <w:sz w:val="20"/>
          <w:szCs w:val="20"/>
        </w:rPr>
        <w:t xml:space="preserve">o </w:t>
      </w:r>
      <w:r w:rsidR="000A4390">
        <w:rPr>
          <w:sz w:val="20"/>
          <w:szCs w:val="20"/>
        </w:rPr>
        <w:t xml:space="preserve">ONS (operador) contará com um </w:t>
      </w:r>
      <w:r w:rsidR="006C6DA6">
        <w:rPr>
          <w:sz w:val="20"/>
          <w:szCs w:val="20"/>
        </w:rPr>
        <w:t xml:space="preserve">maior </w:t>
      </w:r>
      <w:r w:rsidR="00413F4B">
        <w:rPr>
          <w:sz w:val="20"/>
          <w:szCs w:val="20"/>
        </w:rPr>
        <w:t xml:space="preserve">e mais frequente </w:t>
      </w:r>
      <w:proofErr w:type="spellStart"/>
      <w:r w:rsidR="006C6DA6" w:rsidRPr="00BA73C4">
        <w:rPr>
          <w:i/>
          <w:sz w:val="20"/>
          <w:szCs w:val="20"/>
        </w:rPr>
        <w:t>surplus</w:t>
      </w:r>
      <w:proofErr w:type="spellEnd"/>
      <w:r w:rsidR="006C6DA6">
        <w:rPr>
          <w:sz w:val="20"/>
          <w:szCs w:val="20"/>
        </w:rPr>
        <w:t xml:space="preserve"> de energia </w:t>
      </w:r>
      <w:r w:rsidR="000A4390">
        <w:rPr>
          <w:sz w:val="20"/>
          <w:szCs w:val="20"/>
        </w:rPr>
        <w:t>para o atendimento à demanda.</w:t>
      </w:r>
      <w:r w:rsidR="008C5CBE">
        <w:rPr>
          <w:sz w:val="20"/>
          <w:szCs w:val="20"/>
        </w:rPr>
        <w:t xml:space="preserve"> Entretanto, como tudo que possui mais valor </w:t>
      </w:r>
      <w:r w:rsidR="0039608B">
        <w:rPr>
          <w:sz w:val="20"/>
          <w:szCs w:val="20"/>
        </w:rPr>
        <w:t xml:space="preserve">deve </w:t>
      </w:r>
      <w:r w:rsidR="008C5CBE">
        <w:rPr>
          <w:sz w:val="20"/>
          <w:szCs w:val="20"/>
        </w:rPr>
        <w:t>custa</w:t>
      </w:r>
      <w:r w:rsidR="0039608B">
        <w:rPr>
          <w:sz w:val="20"/>
          <w:szCs w:val="20"/>
        </w:rPr>
        <w:t>r</w:t>
      </w:r>
      <w:r w:rsidR="008C5CBE">
        <w:rPr>
          <w:sz w:val="20"/>
          <w:szCs w:val="20"/>
        </w:rPr>
        <w:t xml:space="preserve"> mais caro, o</w:t>
      </w:r>
      <w:r w:rsidR="00413F4B">
        <w:rPr>
          <w:sz w:val="20"/>
          <w:szCs w:val="20"/>
        </w:rPr>
        <w:t>s</w:t>
      </w:r>
      <w:r w:rsidR="008C5CBE">
        <w:rPr>
          <w:sz w:val="20"/>
          <w:szCs w:val="20"/>
        </w:rPr>
        <w:t xml:space="preserve"> preço</w:t>
      </w:r>
      <w:r w:rsidR="00413F4B">
        <w:rPr>
          <w:sz w:val="20"/>
          <w:szCs w:val="20"/>
        </w:rPr>
        <w:t>s</w:t>
      </w:r>
      <w:r w:rsidR="008C5CBE">
        <w:rPr>
          <w:sz w:val="20"/>
          <w:szCs w:val="20"/>
        </w:rPr>
        <w:t xml:space="preserve"> </w:t>
      </w:r>
      <w:r w:rsidR="00BA73C4">
        <w:rPr>
          <w:sz w:val="20"/>
          <w:szCs w:val="20"/>
        </w:rPr>
        <w:t xml:space="preserve">de </w:t>
      </w:r>
      <w:proofErr w:type="spellStart"/>
      <w:r w:rsidR="00BA73C4" w:rsidRPr="00BA73C4">
        <w:rPr>
          <w:i/>
          <w:sz w:val="20"/>
          <w:szCs w:val="20"/>
        </w:rPr>
        <w:t>breakeven</w:t>
      </w:r>
      <w:proofErr w:type="spellEnd"/>
      <w:r w:rsidR="00BA73C4">
        <w:rPr>
          <w:sz w:val="20"/>
          <w:szCs w:val="20"/>
        </w:rPr>
        <w:t xml:space="preserve"> </w:t>
      </w:r>
      <w:r w:rsidR="00413F4B">
        <w:rPr>
          <w:sz w:val="20"/>
          <w:szCs w:val="20"/>
        </w:rPr>
        <w:t>de empreendimentos</w:t>
      </w:r>
      <w:r w:rsidR="008C5CBE">
        <w:rPr>
          <w:sz w:val="20"/>
          <w:szCs w:val="20"/>
        </w:rPr>
        <w:t xml:space="preserve"> eólic</w:t>
      </w:r>
      <w:r w:rsidR="00413F4B">
        <w:rPr>
          <w:sz w:val="20"/>
          <w:szCs w:val="20"/>
        </w:rPr>
        <w:t>os</w:t>
      </w:r>
      <w:r w:rsidR="008C5CBE">
        <w:rPr>
          <w:sz w:val="20"/>
          <w:szCs w:val="20"/>
        </w:rPr>
        <w:t xml:space="preserve"> dever</w:t>
      </w:r>
      <w:r w:rsidR="00413F4B">
        <w:rPr>
          <w:sz w:val="20"/>
          <w:szCs w:val="20"/>
        </w:rPr>
        <w:t>ão</w:t>
      </w:r>
      <w:r w:rsidR="008C5CBE">
        <w:rPr>
          <w:sz w:val="20"/>
          <w:szCs w:val="20"/>
        </w:rPr>
        <w:t xml:space="preserve"> </w:t>
      </w:r>
      <w:r w:rsidR="00EE295F">
        <w:rPr>
          <w:sz w:val="20"/>
          <w:szCs w:val="20"/>
        </w:rPr>
        <w:t>acompanhar</w:t>
      </w:r>
      <w:r w:rsidR="008C5CBE">
        <w:rPr>
          <w:sz w:val="20"/>
          <w:szCs w:val="20"/>
        </w:rPr>
        <w:t xml:space="preserve"> o aumento da confiabilidade </w:t>
      </w:r>
      <w:r w:rsidR="00EE295F">
        <w:rPr>
          <w:sz w:val="20"/>
          <w:szCs w:val="20"/>
        </w:rPr>
        <w:t>de forma a</w:t>
      </w:r>
      <w:r w:rsidR="008C5CBE">
        <w:rPr>
          <w:sz w:val="20"/>
          <w:szCs w:val="20"/>
        </w:rPr>
        <w:t xml:space="preserve"> compensar a </w:t>
      </w:r>
      <w:r w:rsidR="00EE295F">
        <w:rPr>
          <w:sz w:val="20"/>
          <w:szCs w:val="20"/>
        </w:rPr>
        <w:t>redução de GF</w:t>
      </w:r>
      <w:r w:rsidR="0039608B">
        <w:rPr>
          <w:sz w:val="20"/>
          <w:szCs w:val="20"/>
        </w:rPr>
        <w:t xml:space="preserve">. Assim, </w:t>
      </w:r>
      <w:r w:rsidR="00BA73C4">
        <w:rPr>
          <w:sz w:val="20"/>
          <w:szCs w:val="20"/>
        </w:rPr>
        <w:t>existe</w:t>
      </w:r>
      <w:r w:rsidR="0039608B">
        <w:rPr>
          <w:sz w:val="20"/>
          <w:szCs w:val="20"/>
        </w:rPr>
        <w:t xml:space="preserve"> um claro </w:t>
      </w:r>
      <w:proofErr w:type="spellStart"/>
      <w:r w:rsidR="0039608B" w:rsidRPr="0039608B">
        <w:rPr>
          <w:i/>
          <w:sz w:val="20"/>
          <w:szCs w:val="20"/>
        </w:rPr>
        <w:t>tradeoff</w:t>
      </w:r>
      <w:proofErr w:type="spellEnd"/>
      <w:r w:rsidR="0039608B">
        <w:rPr>
          <w:sz w:val="20"/>
          <w:szCs w:val="20"/>
        </w:rPr>
        <w:t xml:space="preserve"> entre o aumento da qualidade da energia para o sistema e o aumento do preço </w:t>
      </w:r>
      <w:r w:rsidR="00BA73C4">
        <w:rPr>
          <w:sz w:val="20"/>
          <w:szCs w:val="20"/>
        </w:rPr>
        <w:t xml:space="preserve">que poderá ser oferecido nos leilões por esses </w:t>
      </w:r>
      <w:r w:rsidR="0039608B">
        <w:rPr>
          <w:sz w:val="20"/>
          <w:szCs w:val="20"/>
        </w:rPr>
        <w:t>empreendimentos</w:t>
      </w:r>
      <w:r w:rsidR="00EE295F">
        <w:rPr>
          <w:sz w:val="20"/>
          <w:szCs w:val="20"/>
        </w:rPr>
        <w:t>.</w:t>
      </w:r>
      <w:r w:rsidR="0039608B">
        <w:rPr>
          <w:sz w:val="20"/>
          <w:szCs w:val="20"/>
        </w:rPr>
        <w:t xml:space="preserve"> Na seção seguinte, apresentamos uma análise quantitativa simples para medir o potencial impacto no preço dos empreendimentos eólicos </w:t>
      </w:r>
      <w:r w:rsidR="0098617A">
        <w:rPr>
          <w:sz w:val="20"/>
          <w:szCs w:val="20"/>
        </w:rPr>
        <w:t>n</w:t>
      </w:r>
      <w:r w:rsidR="008F1C3A">
        <w:rPr>
          <w:sz w:val="20"/>
          <w:szCs w:val="20"/>
        </w:rPr>
        <w:t>o</w:t>
      </w:r>
      <w:r w:rsidR="0039608B">
        <w:rPr>
          <w:sz w:val="20"/>
          <w:szCs w:val="20"/>
        </w:rPr>
        <w:t xml:space="preserve"> </w:t>
      </w:r>
      <w:r w:rsidR="0098617A">
        <w:rPr>
          <w:sz w:val="20"/>
          <w:szCs w:val="20"/>
        </w:rPr>
        <w:t xml:space="preserve">âmbito do </w:t>
      </w:r>
      <w:r w:rsidR="0039608B">
        <w:rPr>
          <w:sz w:val="20"/>
          <w:szCs w:val="20"/>
        </w:rPr>
        <w:t>ACR</w:t>
      </w:r>
      <w:r w:rsidR="00427F02">
        <w:rPr>
          <w:sz w:val="20"/>
          <w:szCs w:val="20"/>
        </w:rPr>
        <w:t>.</w:t>
      </w:r>
    </w:p>
    <w:p w:rsidR="002567A8" w:rsidRDefault="002567A8" w:rsidP="002567A8">
      <w:pPr>
        <w:spacing w:line="288" w:lineRule="auto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Por fim, é importante ressaltar que</w:t>
      </w:r>
      <w:r w:rsidR="000D618B">
        <w:rPr>
          <w:sz w:val="20"/>
          <w:szCs w:val="20"/>
        </w:rPr>
        <w:t xml:space="preserve"> neste documento</w:t>
      </w:r>
      <w:r>
        <w:rPr>
          <w:sz w:val="20"/>
          <w:szCs w:val="20"/>
        </w:rPr>
        <w:t xml:space="preserve"> estamos estudando </w:t>
      </w:r>
      <w:r w:rsidR="000D618B">
        <w:rPr>
          <w:sz w:val="20"/>
          <w:szCs w:val="20"/>
        </w:rPr>
        <w:t xml:space="preserve">apenas </w:t>
      </w:r>
      <w:r>
        <w:rPr>
          <w:sz w:val="20"/>
          <w:szCs w:val="20"/>
        </w:rPr>
        <w:t xml:space="preserve">uma visão individualizada da confiabilidade, onde cada parque recebe um certificado de GF que assegura a sua própria produção. No caso de um critério de confiabilidade superior a P50%, por exemplo, P75%, a confiabilidade da GF total eólica de um subsistema </w:t>
      </w:r>
      <w:r w:rsidR="000D618B">
        <w:rPr>
          <w:sz w:val="20"/>
          <w:szCs w:val="20"/>
        </w:rPr>
        <w:t xml:space="preserve">como um todo </w:t>
      </w:r>
      <w:r>
        <w:rPr>
          <w:sz w:val="20"/>
          <w:szCs w:val="20"/>
        </w:rPr>
        <w:t xml:space="preserve">tende a ser superior à confiabilidade individual. E a razão disso decorre de um fato estatístico. Como os eventos de </w:t>
      </w:r>
      <w:r w:rsidRPr="000D618B">
        <w:rPr>
          <w:i/>
          <w:sz w:val="20"/>
          <w:szCs w:val="20"/>
        </w:rPr>
        <w:t>déficit</w:t>
      </w:r>
      <w:r>
        <w:rPr>
          <w:sz w:val="20"/>
          <w:szCs w:val="20"/>
        </w:rPr>
        <w:t xml:space="preserve"> de produção com relação a GF passam a ser menos </w:t>
      </w:r>
      <w:proofErr w:type="gramStart"/>
      <w:r>
        <w:rPr>
          <w:sz w:val="20"/>
          <w:szCs w:val="20"/>
        </w:rPr>
        <w:t xml:space="preserve">frequentes que os de </w:t>
      </w:r>
      <w:proofErr w:type="spellStart"/>
      <w:r w:rsidRPr="000D618B">
        <w:rPr>
          <w:i/>
          <w:sz w:val="20"/>
          <w:szCs w:val="20"/>
        </w:rPr>
        <w:t>surplus</w:t>
      </w:r>
      <w:proofErr w:type="spellEnd"/>
      <w:r w:rsidR="003A60E0">
        <w:rPr>
          <w:sz w:val="20"/>
          <w:szCs w:val="20"/>
        </w:rPr>
        <w:t>,</w:t>
      </w:r>
      <w:r>
        <w:rPr>
          <w:sz w:val="20"/>
          <w:szCs w:val="20"/>
        </w:rPr>
        <w:t xml:space="preserve"> e como a</w:t>
      </w:r>
      <w:r w:rsidR="000D618B">
        <w:rPr>
          <w:sz w:val="20"/>
          <w:szCs w:val="20"/>
        </w:rPr>
        <w:t>s</w:t>
      </w:r>
      <w:r>
        <w:rPr>
          <w:sz w:val="20"/>
          <w:szCs w:val="20"/>
        </w:rPr>
        <w:t xml:space="preserve"> produç</w:t>
      </w:r>
      <w:r w:rsidR="000D618B">
        <w:rPr>
          <w:sz w:val="20"/>
          <w:szCs w:val="20"/>
        </w:rPr>
        <w:t>ões</w:t>
      </w:r>
      <w:r>
        <w:rPr>
          <w:sz w:val="20"/>
          <w:szCs w:val="20"/>
        </w:rPr>
        <w:t xml:space="preserve"> dos parques não </w:t>
      </w:r>
      <w:r w:rsidR="000D618B">
        <w:rPr>
          <w:sz w:val="20"/>
          <w:szCs w:val="20"/>
        </w:rPr>
        <w:t>são</w:t>
      </w:r>
      <w:r>
        <w:rPr>
          <w:sz w:val="20"/>
          <w:szCs w:val="20"/>
        </w:rPr>
        <w:t xml:space="preserve"> perfeitamente correlacionada</w:t>
      </w:r>
      <w:r w:rsidR="000D618B">
        <w:rPr>
          <w:sz w:val="20"/>
          <w:szCs w:val="20"/>
        </w:rPr>
        <w:t>s entre si</w:t>
      </w:r>
      <w:r>
        <w:rPr>
          <w:sz w:val="20"/>
          <w:szCs w:val="20"/>
        </w:rPr>
        <w:t>, existe</w:t>
      </w:r>
      <w:proofErr w:type="gramEnd"/>
      <w:r>
        <w:rPr>
          <w:sz w:val="20"/>
          <w:szCs w:val="20"/>
        </w:rPr>
        <w:t xml:space="preserve"> uma chance de </w:t>
      </w:r>
      <w:r w:rsidR="000D618B">
        <w:rPr>
          <w:sz w:val="20"/>
          <w:szCs w:val="20"/>
        </w:rPr>
        <w:t xml:space="preserve">certos </w:t>
      </w:r>
      <w:r>
        <w:rPr>
          <w:sz w:val="20"/>
          <w:szCs w:val="20"/>
        </w:rPr>
        <w:t xml:space="preserve">eventos de </w:t>
      </w:r>
      <w:r w:rsidRPr="000D618B">
        <w:rPr>
          <w:i/>
          <w:sz w:val="20"/>
          <w:szCs w:val="20"/>
        </w:rPr>
        <w:t>déficit</w:t>
      </w:r>
      <w:r>
        <w:rPr>
          <w:sz w:val="20"/>
          <w:szCs w:val="20"/>
        </w:rPr>
        <w:t xml:space="preserve"> serem mais que compensados por eventos de </w:t>
      </w:r>
      <w:proofErr w:type="spellStart"/>
      <w:r w:rsidRPr="000D618B">
        <w:rPr>
          <w:i/>
          <w:sz w:val="20"/>
          <w:szCs w:val="20"/>
        </w:rPr>
        <w:t>surplus</w:t>
      </w:r>
      <w:proofErr w:type="spellEnd"/>
      <w:r>
        <w:rPr>
          <w:sz w:val="20"/>
          <w:szCs w:val="20"/>
        </w:rPr>
        <w:t xml:space="preserve">. Assim, torna-se importante estimar os ganhos sinérgicos </w:t>
      </w:r>
      <w:r w:rsidR="000D618B">
        <w:rPr>
          <w:sz w:val="20"/>
          <w:szCs w:val="20"/>
        </w:rPr>
        <w:t xml:space="preserve">de confiabilidade conjunta </w:t>
      </w:r>
      <w:r>
        <w:rPr>
          <w:sz w:val="20"/>
          <w:szCs w:val="20"/>
        </w:rPr>
        <w:t>para que se</w:t>
      </w:r>
      <w:r w:rsidR="00EE521D">
        <w:rPr>
          <w:sz w:val="20"/>
          <w:szCs w:val="20"/>
        </w:rPr>
        <w:t>ja possível</w:t>
      </w:r>
      <w:r>
        <w:rPr>
          <w:sz w:val="20"/>
          <w:szCs w:val="20"/>
        </w:rPr>
        <w:t xml:space="preserve"> </w:t>
      </w:r>
      <w:r w:rsidR="00EE521D">
        <w:rPr>
          <w:sz w:val="20"/>
          <w:szCs w:val="20"/>
        </w:rPr>
        <w:t>contrastá-los</w:t>
      </w:r>
      <w:r w:rsidR="000D618B">
        <w:rPr>
          <w:sz w:val="20"/>
          <w:szCs w:val="20"/>
        </w:rPr>
        <w:t xml:space="preserve"> com o aumento de custo da energia e seus consequentes impactos</w:t>
      </w:r>
      <w:r>
        <w:rPr>
          <w:sz w:val="20"/>
          <w:szCs w:val="20"/>
        </w:rPr>
        <w:t xml:space="preserve">. Contudo, esse estudo exige um detalhado conhecimento do padrão estatístico dos parques e está além do escopo deste documento. </w:t>
      </w:r>
    </w:p>
    <w:p w:rsidR="00280B23" w:rsidRPr="004B42F4" w:rsidRDefault="00280B23" w:rsidP="00280B23">
      <w:pPr>
        <w:spacing w:line="288" w:lineRule="auto"/>
        <w:jc w:val="both"/>
        <w:rPr>
          <w:sz w:val="20"/>
          <w:szCs w:val="20"/>
        </w:rPr>
      </w:pPr>
    </w:p>
    <w:p w:rsidR="008F1C3A" w:rsidRDefault="008F1C3A" w:rsidP="0015533E">
      <w:pPr>
        <w:keepNext/>
        <w:numPr>
          <w:ilvl w:val="0"/>
          <w:numId w:val="1"/>
        </w:numPr>
        <w:spacing w:line="276" w:lineRule="auto"/>
        <w:ind w:left="0"/>
        <w:jc w:val="center"/>
        <w:rPr>
          <w:b/>
        </w:rPr>
      </w:pPr>
      <w:r>
        <w:rPr>
          <w:b/>
        </w:rPr>
        <w:t>AUMENTO DO PREÇO NO ACR</w:t>
      </w:r>
    </w:p>
    <w:p w:rsidR="00280B23" w:rsidRPr="004B42F4" w:rsidRDefault="00D805F3" w:rsidP="0015533E">
      <w:pPr>
        <w:keepNext/>
        <w:spacing w:line="288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aumento da confiabilidade </w:t>
      </w:r>
      <w:r w:rsidR="00EE521D">
        <w:rPr>
          <w:sz w:val="20"/>
          <w:szCs w:val="20"/>
        </w:rPr>
        <w:t>d</w:t>
      </w:r>
      <w:r>
        <w:rPr>
          <w:sz w:val="20"/>
          <w:szCs w:val="20"/>
        </w:rPr>
        <w:t xml:space="preserve">a GF de parques eólicos afeta diretamente </w:t>
      </w:r>
      <w:r w:rsidR="00427F02">
        <w:rPr>
          <w:sz w:val="20"/>
          <w:szCs w:val="20"/>
        </w:rPr>
        <w:t>o fluxo de caixa do</w:t>
      </w:r>
      <w:r>
        <w:rPr>
          <w:sz w:val="20"/>
          <w:szCs w:val="20"/>
        </w:rPr>
        <w:t>s</w:t>
      </w:r>
      <w:r w:rsidR="00427F02">
        <w:rPr>
          <w:sz w:val="20"/>
          <w:szCs w:val="20"/>
        </w:rPr>
        <w:t xml:space="preserve"> empreendedor</w:t>
      </w:r>
      <w:r>
        <w:rPr>
          <w:sz w:val="20"/>
          <w:szCs w:val="20"/>
        </w:rPr>
        <w:t>es.</w:t>
      </w:r>
      <w:r w:rsidR="00427F0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Como visto anteriormente, a GF de um parque é reduzida à medida que </w:t>
      </w:r>
      <w:r w:rsidR="00EE521D">
        <w:rPr>
          <w:sz w:val="20"/>
          <w:szCs w:val="20"/>
        </w:rPr>
        <w:t>a sua confiabilidade</w:t>
      </w:r>
      <w:r>
        <w:rPr>
          <w:sz w:val="20"/>
          <w:szCs w:val="20"/>
        </w:rPr>
        <w:t xml:space="preserve"> aumenta. </w:t>
      </w:r>
      <w:r w:rsidR="00271A24">
        <w:rPr>
          <w:sz w:val="20"/>
          <w:szCs w:val="20"/>
        </w:rPr>
        <w:t xml:space="preserve">Assim, para </w:t>
      </w:r>
      <w:r w:rsidR="00271A24">
        <w:rPr>
          <w:sz w:val="20"/>
          <w:szCs w:val="20"/>
        </w:rPr>
        <w:lastRenderedPageBreak/>
        <w:t xml:space="preserve">manter </w:t>
      </w:r>
      <w:r w:rsidR="0061020C">
        <w:rPr>
          <w:sz w:val="20"/>
          <w:szCs w:val="20"/>
        </w:rPr>
        <w:t xml:space="preserve">inalterada </w:t>
      </w:r>
      <w:r w:rsidR="00271A24">
        <w:rPr>
          <w:sz w:val="20"/>
          <w:szCs w:val="20"/>
        </w:rPr>
        <w:t xml:space="preserve">a renda </w:t>
      </w:r>
      <w:r w:rsidR="0061020C">
        <w:rPr>
          <w:sz w:val="20"/>
          <w:szCs w:val="20"/>
        </w:rPr>
        <w:t>proveniente do</w:t>
      </w:r>
      <w:r w:rsidR="00271A24">
        <w:rPr>
          <w:sz w:val="20"/>
          <w:szCs w:val="20"/>
        </w:rPr>
        <w:t xml:space="preserve"> contrato, e assim preservar a viabilidade do empreendimento, essa redução deverá ser compensada por um aumento </w:t>
      </w:r>
      <w:r w:rsidR="0061020C">
        <w:rPr>
          <w:sz w:val="20"/>
          <w:szCs w:val="20"/>
        </w:rPr>
        <w:t>no</w:t>
      </w:r>
      <w:r w:rsidR="00271A24">
        <w:rPr>
          <w:sz w:val="20"/>
          <w:szCs w:val="20"/>
        </w:rPr>
        <w:t xml:space="preserve"> preço</w:t>
      </w:r>
      <w:r w:rsidR="0061020C">
        <w:rPr>
          <w:sz w:val="20"/>
          <w:szCs w:val="20"/>
        </w:rPr>
        <w:t xml:space="preserve"> do contrato</w:t>
      </w:r>
      <w:r w:rsidR="00271A24">
        <w:rPr>
          <w:sz w:val="20"/>
          <w:szCs w:val="20"/>
        </w:rPr>
        <w:t xml:space="preserve">. Nesse cenário, estamos desprezando qualquer aumento de eficiência </w:t>
      </w:r>
      <w:r w:rsidR="0030181F">
        <w:rPr>
          <w:sz w:val="20"/>
          <w:szCs w:val="20"/>
        </w:rPr>
        <w:t>tecnológica</w:t>
      </w:r>
      <w:r w:rsidR="00271A24">
        <w:rPr>
          <w:sz w:val="20"/>
          <w:szCs w:val="20"/>
        </w:rPr>
        <w:t xml:space="preserve"> ou financeira que os empreendedores poderiam obter para compensar essa redução</w:t>
      </w:r>
      <w:r w:rsidR="0030181F">
        <w:rPr>
          <w:sz w:val="20"/>
          <w:szCs w:val="20"/>
        </w:rPr>
        <w:t>. Como hipótese,</w:t>
      </w:r>
      <w:r w:rsidR="00271A24">
        <w:rPr>
          <w:sz w:val="20"/>
          <w:szCs w:val="20"/>
        </w:rPr>
        <w:t xml:space="preserve"> vamos atribuir toda a compensação </w:t>
      </w:r>
      <w:r w:rsidR="0030181F">
        <w:rPr>
          <w:sz w:val="20"/>
          <w:szCs w:val="20"/>
        </w:rPr>
        <w:t xml:space="preserve">da redução na GF dos parques </w:t>
      </w:r>
      <w:r w:rsidR="00271A24">
        <w:rPr>
          <w:sz w:val="20"/>
          <w:szCs w:val="20"/>
        </w:rPr>
        <w:t>ao</w:t>
      </w:r>
      <w:r w:rsidR="0030181F">
        <w:rPr>
          <w:sz w:val="20"/>
          <w:szCs w:val="20"/>
        </w:rPr>
        <w:t>s</w:t>
      </w:r>
      <w:r w:rsidR="00271A24">
        <w:rPr>
          <w:sz w:val="20"/>
          <w:szCs w:val="20"/>
        </w:rPr>
        <w:t xml:space="preserve"> preço</w:t>
      </w:r>
      <w:r w:rsidR="0030181F">
        <w:rPr>
          <w:sz w:val="20"/>
          <w:szCs w:val="20"/>
        </w:rPr>
        <w:t>s</w:t>
      </w:r>
      <w:r w:rsidR="00271A24">
        <w:rPr>
          <w:sz w:val="20"/>
          <w:szCs w:val="20"/>
        </w:rPr>
        <w:t xml:space="preserve"> d</w:t>
      </w:r>
      <w:r w:rsidR="0030181F">
        <w:rPr>
          <w:sz w:val="20"/>
          <w:szCs w:val="20"/>
        </w:rPr>
        <w:t>os</w:t>
      </w:r>
      <w:r w:rsidR="00271A24">
        <w:rPr>
          <w:sz w:val="20"/>
          <w:szCs w:val="20"/>
        </w:rPr>
        <w:t xml:space="preserve"> contrato</w:t>
      </w:r>
      <w:r w:rsidR="0030181F">
        <w:rPr>
          <w:sz w:val="20"/>
          <w:szCs w:val="20"/>
        </w:rPr>
        <w:t>s</w:t>
      </w:r>
      <w:r w:rsidR="00271A24">
        <w:rPr>
          <w:sz w:val="20"/>
          <w:szCs w:val="20"/>
        </w:rPr>
        <w:t xml:space="preserve">. Essa justificativa é razoável e realista </w:t>
      </w:r>
      <w:r w:rsidR="001C79E4">
        <w:rPr>
          <w:sz w:val="20"/>
          <w:szCs w:val="20"/>
        </w:rPr>
        <w:t>sob a hipótese de</w:t>
      </w:r>
      <w:r w:rsidR="00271A24">
        <w:rPr>
          <w:sz w:val="20"/>
          <w:szCs w:val="20"/>
        </w:rPr>
        <w:t xml:space="preserve"> que </w:t>
      </w:r>
      <w:r w:rsidR="00023D8A">
        <w:rPr>
          <w:sz w:val="20"/>
          <w:szCs w:val="20"/>
        </w:rPr>
        <w:t xml:space="preserve">o ato da </w:t>
      </w:r>
      <w:r w:rsidR="00271A24">
        <w:rPr>
          <w:sz w:val="20"/>
          <w:szCs w:val="20"/>
        </w:rPr>
        <w:t>alteração do nível de confiabilidade não esteja vinculad</w:t>
      </w:r>
      <w:r w:rsidR="00023D8A">
        <w:rPr>
          <w:sz w:val="20"/>
          <w:szCs w:val="20"/>
        </w:rPr>
        <w:t>o</w:t>
      </w:r>
      <w:r w:rsidR="00271A24">
        <w:rPr>
          <w:sz w:val="20"/>
          <w:szCs w:val="20"/>
        </w:rPr>
        <w:t xml:space="preserve"> a nenhuma inovação tecnológica ou medida de incentivo governamental.</w:t>
      </w:r>
    </w:p>
    <w:p w:rsidR="00280B23" w:rsidRPr="004B42F4" w:rsidRDefault="001D6513" w:rsidP="00280B23">
      <w:pPr>
        <w:spacing w:line="288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Supondo </w:t>
      </w:r>
      <w:r w:rsidR="00A926DC">
        <w:rPr>
          <w:sz w:val="20"/>
          <w:szCs w:val="20"/>
        </w:rPr>
        <w:t xml:space="preserve">o atual nível de confiabilidade, baseado no P50%, vamos assumir que </w:t>
      </w:r>
      <w:r w:rsidR="00561F34">
        <w:rPr>
          <w:sz w:val="20"/>
          <w:szCs w:val="20"/>
        </w:rPr>
        <w:t>um projeto de parque eólico</w:t>
      </w:r>
      <w:r w:rsidR="00E834AF">
        <w:rPr>
          <w:sz w:val="20"/>
          <w:szCs w:val="20"/>
        </w:rPr>
        <w:t>,</w:t>
      </w:r>
      <w:r w:rsidR="00561F34">
        <w:rPr>
          <w:sz w:val="20"/>
          <w:szCs w:val="20"/>
        </w:rPr>
        <w:t xml:space="preserve"> de </w:t>
      </w:r>
      <w:r w:rsidR="0061020C">
        <w:rPr>
          <w:sz w:val="20"/>
          <w:szCs w:val="20"/>
        </w:rPr>
        <w:t>30</w:t>
      </w:r>
      <w:r w:rsidR="00561F34">
        <w:rPr>
          <w:sz w:val="20"/>
          <w:szCs w:val="20"/>
        </w:rPr>
        <w:t xml:space="preserve"> MW de potência e </w:t>
      </w:r>
      <m:oMath>
        <m:r>
          <w:rPr>
            <w:rFonts w:ascii="Cambria Math" w:hAnsi="Cambria Math"/>
            <w:sz w:val="20"/>
            <w:szCs w:val="20"/>
          </w:rPr>
          <m:t>G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(50%)</m:t>
            </m:r>
          </m:sup>
        </m:sSup>
        <m:r>
          <w:rPr>
            <w:rFonts w:ascii="Cambria Math" w:hAnsi="Cambria Math"/>
            <w:sz w:val="20"/>
            <w:szCs w:val="20"/>
          </w:rPr>
          <m:t>=10.91</m:t>
        </m:r>
      </m:oMath>
      <w:r w:rsidR="00561F34">
        <w:rPr>
          <w:sz w:val="20"/>
          <w:szCs w:val="20"/>
        </w:rPr>
        <w:t xml:space="preserve"> MWmédio</w:t>
      </w:r>
      <w:r w:rsidR="00E834AF">
        <w:rPr>
          <w:sz w:val="20"/>
          <w:szCs w:val="20"/>
        </w:rPr>
        <w:t xml:space="preserve">, </w:t>
      </w:r>
      <w:r w:rsidR="0061020C">
        <w:rPr>
          <w:sz w:val="20"/>
          <w:szCs w:val="20"/>
        </w:rPr>
        <w:t>demande</w:t>
      </w:r>
      <w:r w:rsidR="00A926DC">
        <w:rPr>
          <w:sz w:val="20"/>
          <w:szCs w:val="20"/>
        </w:rPr>
        <w:t xml:space="preserve"> </w:t>
      </w:r>
      <w:r w:rsidR="00E834AF">
        <w:rPr>
          <w:sz w:val="20"/>
          <w:szCs w:val="20"/>
        </w:rPr>
        <w:t xml:space="preserve">um contrato de disponibilidade com preço igual a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(50%)</m:t>
            </m:r>
          </m:sup>
        </m:sSup>
        <m:r>
          <w:rPr>
            <w:rFonts w:ascii="Cambria Math" w:hAnsi="Cambria Math"/>
            <w:sz w:val="20"/>
            <w:szCs w:val="20"/>
          </w:rPr>
          <m:t>=100</m:t>
        </m:r>
      </m:oMath>
      <w:r w:rsidR="00E834AF">
        <w:rPr>
          <w:sz w:val="20"/>
          <w:szCs w:val="20"/>
        </w:rPr>
        <w:t xml:space="preserve"> R$/MWh</w:t>
      </w:r>
      <w:r w:rsidR="00A926DC">
        <w:rPr>
          <w:sz w:val="20"/>
          <w:szCs w:val="20"/>
        </w:rPr>
        <w:t xml:space="preserve"> para obter o retorno exigido pelo acionista</w:t>
      </w:r>
      <w:r w:rsidR="00E834AF">
        <w:rPr>
          <w:sz w:val="20"/>
          <w:szCs w:val="20"/>
        </w:rPr>
        <w:t xml:space="preserve">. De maneira simplificada, desprezando os termos de liquidação </w:t>
      </w:r>
      <w:r w:rsidR="00DC3D31">
        <w:rPr>
          <w:sz w:val="20"/>
          <w:szCs w:val="20"/>
        </w:rPr>
        <w:t>d</w:t>
      </w:r>
      <w:r w:rsidR="0061020C">
        <w:rPr>
          <w:sz w:val="20"/>
          <w:szCs w:val="20"/>
        </w:rPr>
        <w:t>e</w:t>
      </w:r>
      <w:r w:rsidR="00E834AF">
        <w:rPr>
          <w:sz w:val="20"/>
          <w:szCs w:val="20"/>
        </w:rPr>
        <w:t xml:space="preserve"> </w:t>
      </w:r>
      <w:proofErr w:type="spellStart"/>
      <w:r w:rsidR="00E834AF" w:rsidRPr="0061020C">
        <w:rPr>
          <w:i/>
          <w:sz w:val="20"/>
          <w:szCs w:val="20"/>
        </w:rPr>
        <w:t>surplus</w:t>
      </w:r>
      <w:proofErr w:type="spellEnd"/>
      <w:r w:rsidR="00E834AF">
        <w:rPr>
          <w:sz w:val="20"/>
          <w:szCs w:val="20"/>
        </w:rPr>
        <w:t xml:space="preserve"> e </w:t>
      </w:r>
      <w:r w:rsidR="00E834AF" w:rsidRPr="0061020C">
        <w:rPr>
          <w:i/>
          <w:sz w:val="20"/>
          <w:szCs w:val="20"/>
        </w:rPr>
        <w:t>déficit</w:t>
      </w:r>
      <w:r w:rsidR="00DC3D31">
        <w:rPr>
          <w:sz w:val="20"/>
          <w:szCs w:val="20"/>
        </w:rPr>
        <w:t xml:space="preserve"> no curto prazo</w:t>
      </w:r>
      <w:r w:rsidR="00E834AF">
        <w:rPr>
          <w:sz w:val="20"/>
          <w:szCs w:val="20"/>
        </w:rPr>
        <w:t>, a receita fixa anual</w:t>
      </w:r>
      <w:r w:rsidR="00055230"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 w:rsidR="00055230">
        <w:rPr>
          <w:sz w:val="20"/>
          <w:szCs w:val="20"/>
        </w:rPr>
        <w:t>,</w:t>
      </w:r>
      <w:r w:rsidR="00E834AF">
        <w:rPr>
          <w:sz w:val="20"/>
          <w:szCs w:val="20"/>
        </w:rPr>
        <w:t xml:space="preserve"> do contrato deverá ser igual a</w:t>
      </w:r>
      <w:r w:rsidR="00DC3D31">
        <w:rPr>
          <w:sz w:val="20"/>
          <w:szCs w:val="20"/>
        </w:rPr>
        <w:t xml:space="preserve"> </w:t>
      </w:r>
      <w:r w:rsidR="00613D7E">
        <w:rPr>
          <w:sz w:val="20"/>
          <w:szCs w:val="20"/>
        </w:rPr>
        <w:t xml:space="preserve">9.56 MMR$/ano. Essa renda poder ser obtida pela </w:t>
      </w:r>
      <w:r w:rsidR="00A926DC">
        <w:rPr>
          <w:sz w:val="20"/>
          <w:szCs w:val="20"/>
        </w:rPr>
        <w:t>expressão abaixo</w:t>
      </w:r>
      <w:r w:rsidR="00970109">
        <w:rPr>
          <w:sz w:val="20"/>
          <w:szCs w:val="20"/>
        </w:rPr>
        <w:t>: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2"/>
        <w:gridCol w:w="611"/>
      </w:tblGrid>
      <w:tr w:rsidR="00E834AF" w:rsidRPr="00340F5C" w:rsidTr="0061020C">
        <w:trPr>
          <w:trHeight w:val="414"/>
          <w:jc w:val="center"/>
        </w:trPr>
        <w:tc>
          <w:tcPr>
            <w:tcW w:w="8712" w:type="dxa"/>
            <w:vAlign w:val="center"/>
          </w:tcPr>
          <w:p w:rsidR="00E834AF" w:rsidRPr="00A3537A" w:rsidRDefault="00970109" w:rsidP="0097010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R=G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(50%)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(50%)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⋅8760.</m:t>
                </m:r>
              </m:oMath>
            </m:oMathPara>
          </w:p>
        </w:tc>
        <w:tc>
          <w:tcPr>
            <w:tcW w:w="611" w:type="dxa"/>
            <w:vAlign w:val="center"/>
          </w:tcPr>
          <w:p w:rsidR="00E834AF" w:rsidRPr="00A3537A" w:rsidRDefault="00E834AF" w:rsidP="00590DDF">
            <w:pPr>
              <w:jc w:val="center"/>
              <w:rPr>
                <w:sz w:val="20"/>
                <w:szCs w:val="20"/>
              </w:rPr>
            </w:pPr>
            <w:bookmarkStart w:id="1" w:name="_Ref349917708"/>
            <w:r w:rsidRPr="00A3537A">
              <w:rPr>
                <w:sz w:val="20"/>
                <w:szCs w:val="20"/>
              </w:rPr>
              <w:t>(</w:t>
            </w:r>
            <w:r w:rsidR="003B62E6" w:rsidRPr="00A3537A">
              <w:rPr>
                <w:sz w:val="20"/>
                <w:szCs w:val="20"/>
              </w:rPr>
              <w:fldChar w:fldCharType="begin"/>
            </w:r>
            <w:r w:rsidRPr="00A3537A">
              <w:rPr>
                <w:sz w:val="20"/>
                <w:szCs w:val="20"/>
              </w:rPr>
              <w:instrText xml:space="preserve"> SEQ Equação \* ARABIC </w:instrText>
            </w:r>
            <w:r w:rsidR="003B62E6" w:rsidRPr="00A3537A">
              <w:rPr>
                <w:sz w:val="20"/>
                <w:szCs w:val="20"/>
              </w:rPr>
              <w:fldChar w:fldCharType="separate"/>
            </w:r>
            <w:r w:rsidR="00BD5E6C">
              <w:rPr>
                <w:noProof/>
                <w:sz w:val="20"/>
                <w:szCs w:val="20"/>
              </w:rPr>
              <w:t>2</w:t>
            </w:r>
            <w:r w:rsidR="003B62E6" w:rsidRPr="00A3537A">
              <w:rPr>
                <w:sz w:val="20"/>
                <w:szCs w:val="20"/>
              </w:rPr>
              <w:fldChar w:fldCharType="end"/>
            </w:r>
            <w:r w:rsidRPr="00A3537A">
              <w:rPr>
                <w:sz w:val="20"/>
                <w:szCs w:val="20"/>
              </w:rPr>
              <w:t>)</w:t>
            </w:r>
            <w:bookmarkEnd w:id="1"/>
          </w:p>
        </w:tc>
      </w:tr>
    </w:tbl>
    <w:p w:rsidR="00280B23" w:rsidRPr="004B42F4" w:rsidRDefault="009671A6" w:rsidP="0061020C">
      <w:pPr>
        <w:spacing w:line="288" w:lineRule="auto"/>
        <w:jc w:val="both"/>
        <w:rPr>
          <w:sz w:val="20"/>
          <w:szCs w:val="20"/>
        </w:rPr>
      </w:pPr>
      <w:r>
        <w:rPr>
          <w:sz w:val="20"/>
          <w:szCs w:val="20"/>
        </w:rPr>
        <w:t>Caso o nível de confiabilidade</w:t>
      </w:r>
      <w:r w:rsidR="00550B01">
        <w:rPr>
          <w:sz w:val="20"/>
          <w:szCs w:val="20"/>
        </w:rPr>
        <w:t xml:space="preserve"> </w:t>
      </w:r>
      <w:r>
        <w:rPr>
          <w:sz w:val="20"/>
          <w:szCs w:val="20"/>
        </w:rPr>
        <w:t>da GF seja alterado</w:t>
      </w:r>
      <w:r w:rsidR="00550B01">
        <w:rPr>
          <w:sz w:val="20"/>
          <w:szCs w:val="20"/>
        </w:rPr>
        <w:t xml:space="preserve"> de 50% para </w:t>
      </w:r>
      <m:oMath>
        <m:r>
          <w:rPr>
            <w:rFonts w:ascii="Cambria Math" w:hAnsi="Cambria Math"/>
            <w:sz w:val="20"/>
            <w:szCs w:val="20"/>
          </w:rPr>
          <m:t>α</m:t>
        </m:r>
      </m:oMath>
      <w:r w:rsidR="00550B01">
        <w:rPr>
          <w:sz w:val="20"/>
          <w:szCs w:val="20"/>
        </w:rPr>
        <w:t>%</w:t>
      </w:r>
      <w:r>
        <w:rPr>
          <w:sz w:val="20"/>
          <w:szCs w:val="20"/>
        </w:rPr>
        <w:t>, podemos estimar</w:t>
      </w:r>
      <w:r w:rsidR="00193CA5">
        <w:rPr>
          <w:sz w:val="20"/>
          <w:szCs w:val="20"/>
        </w:rPr>
        <w:t xml:space="preserve"> </w:t>
      </w:r>
      <w:r w:rsidR="00970109">
        <w:rPr>
          <w:sz w:val="20"/>
          <w:szCs w:val="20"/>
        </w:rPr>
        <w:t>o</w:t>
      </w:r>
      <w:r w:rsidR="00193CA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novo </w:t>
      </w:r>
      <w:r w:rsidR="00193CA5">
        <w:rPr>
          <w:sz w:val="20"/>
          <w:szCs w:val="20"/>
        </w:rPr>
        <w:t xml:space="preserve">preço </w:t>
      </w:r>
      <w:r w:rsidR="00970109">
        <w:rPr>
          <w:sz w:val="20"/>
          <w:szCs w:val="20"/>
        </w:rPr>
        <w:t>de</w:t>
      </w:r>
      <w:r w:rsidR="00550B01">
        <w:rPr>
          <w:sz w:val="20"/>
          <w:szCs w:val="20"/>
        </w:rPr>
        <w:t xml:space="preserve"> </w:t>
      </w:r>
      <w:proofErr w:type="spellStart"/>
      <w:r w:rsidRPr="009671A6">
        <w:rPr>
          <w:i/>
          <w:sz w:val="20"/>
          <w:szCs w:val="20"/>
        </w:rPr>
        <w:t>breakeven</w:t>
      </w:r>
      <w:proofErr w:type="spellEnd"/>
      <w:r>
        <w:rPr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α%</m:t>
                </m:r>
              </m:e>
            </m:d>
          </m:sup>
        </m:sSup>
      </m:oMath>
      <w:r>
        <w:rPr>
          <w:sz w:val="20"/>
          <w:szCs w:val="20"/>
        </w:rPr>
        <w:t xml:space="preserve">, para o </w:t>
      </w:r>
      <w:r w:rsidR="00970109">
        <w:rPr>
          <w:sz w:val="20"/>
          <w:szCs w:val="20"/>
        </w:rPr>
        <w:t>contrato</w:t>
      </w:r>
      <w:r>
        <w:rPr>
          <w:sz w:val="20"/>
          <w:szCs w:val="20"/>
        </w:rPr>
        <w:t xml:space="preserve"> de forma a </w:t>
      </w:r>
      <w:r w:rsidR="00193CA5">
        <w:rPr>
          <w:sz w:val="20"/>
          <w:szCs w:val="20"/>
        </w:rPr>
        <w:t>mante</w:t>
      </w:r>
      <w:r>
        <w:rPr>
          <w:sz w:val="20"/>
          <w:szCs w:val="20"/>
        </w:rPr>
        <w:t>r</w:t>
      </w:r>
      <w:r w:rsidR="00193CA5">
        <w:rPr>
          <w:sz w:val="20"/>
          <w:szCs w:val="20"/>
        </w:rPr>
        <w:t xml:space="preserve"> a renda anual </w:t>
      </w:r>
      <w:r>
        <w:rPr>
          <w:sz w:val="20"/>
          <w:szCs w:val="20"/>
        </w:rPr>
        <w:t>do parque inalterada. Para isso,</w:t>
      </w:r>
      <w:r w:rsidR="00970109">
        <w:rPr>
          <w:sz w:val="20"/>
          <w:szCs w:val="20"/>
        </w:rPr>
        <w:t xml:space="preserve"> basta substituirmos o termo </w:t>
      </w:r>
      <m:oMath>
        <m:r>
          <w:rPr>
            <w:rFonts w:ascii="Cambria Math" w:hAnsi="Cambria Math"/>
            <w:sz w:val="20"/>
            <w:szCs w:val="20"/>
          </w:rPr>
          <m:t>G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w:proofErr w:type="gramStart"/>
            <m:r>
              <w:rPr>
                <w:rFonts w:ascii="Cambria Math" w:hAnsi="Cambria Math"/>
                <w:sz w:val="20"/>
                <w:szCs w:val="20"/>
              </w:rPr>
              <m:t>(</m:t>
            </m:r>
            <w:proofErr w:type="gramEnd"/>
            <m:r>
              <w:rPr>
                <w:rFonts w:ascii="Cambria Math" w:hAnsi="Cambria Math"/>
                <w:sz w:val="20"/>
                <w:szCs w:val="20"/>
              </w:rPr>
              <m:t>50%)</m:t>
            </m:r>
          </m:sup>
        </m:sSup>
        <m:r>
          <w:rPr>
            <w:rFonts w:ascii="Cambria Math" w:hAnsi="Cambria Math"/>
            <w:sz w:val="20"/>
            <w:szCs w:val="20"/>
          </w:rPr>
          <m:t>⋅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(50%)</m:t>
            </m:r>
          </m:sup>
        </m:sSup>
      </m:oMath>
      <w:r w:rsidR="00970109">
        <w:rPr>
          <w:sz w:val="20"/>
          <w:szCs w:val="20"/>
        </w:rPr>
        <w:t xml:space="preserve"> por </w:t>
      </w:r>
      <m:oMath>
        <m:r>
          <w:rPr>
            <w:rFonts w:ascii="Cambria Math" w:hAnsi="Cambria Math"/>
            <w:sz w:val="20"/>
            <w:szCs w:val="20"/>
          </w:rPr>
          <m:t>G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(α%)</m:t>
            </m:r>
          </m:sup>
        </m:sSup>
        <m:r>
          <w:rPr>
            <w:rFonts w:ascii="Cambria Math" w:hAnsi="Cambria Math"/>
            <w:sz w:val="20"/>
            <w:szCs w:val="20"/>
          </w:rPr>
          <m:t>⋅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α%</m:t>
                </m:r>
              </m:e>
            </m:d>
          </m:sup>
        </m:sSup>
      </m:oMath>
      <w:r w:rsidR="00970109">
        <w:rPr>
          <w:sz w:val="20"/>
          <w:szCs w:val="20"/>
        </w:rPr>
        <w:t xml:space="preserve"> na expressão </w:t>
      </w:r>
      <w:r w:rsidR="003B62E6">
        <w:rPr>
          <w:sz w:val="20"/>
          <w:szCs w:val="20"/>
        </w:rPr>
        <w:fldChar w:fldCharType="begin"/>
      </w:r>
      <w:r w:rsidR="00970109">
        <w:rPr>
          <w:sz w:val="20"/>
          <w:szCs w:val="20"/>
        </w:rPr>
        <w:instrText xml:space="preserve"> REF _Ref349917708 \h </w:instrText>
      </w:r>
      <w:r w:rsidR="003B62E6">
        <w:rPr>
          <w:sz w:val="20"/>
          <w:szCs w:val="20"/>
        </w:rPr>
      </w:r>
      <w:r w:rsidR="003B62E6">
        <w:rPr>
          <w:sz w:val="20"/>
          <w:szCs w:val="20"/>
        </w:rPr>
        <w:fldChar w:fldCharType="separate"/>
      </w:r>
      <w:r w:rsidR="00BD5E6C" w:rsidRPr="00A3537A">
        <w:rPr>
          <w:sz w:val="20"/>
          <w:szCs w:val="20"/>
        </w:rPr>
        <w:t>(</w:t>
      </w:r>
      <w:r w:rsidR="00BD5E6C">
        <w:rPr>
          <w:noProof/>
          <w:sz w:val="20"/>
          <w:szCs w:val="20"/>
        </w:rPr>
        <w:t>2</w:t>
      </w:r>
      <w:r w:rsidR="00BD5E6C" w:rsidRPr="00A3537A">
        <w:rPr>
          <w:sz w:val="20"/>
          <w:szCs w:val="20"/>
        </w:rPr>
        <w:t>)</w:t>
      </w:r>
      <w:r w:rsidR="003B62E6">
        <w:rPr>
          <w:sz w:val="20"/>
          <w:szCs w:val="20"/>
        </w:rPr>
        <w:fldChar w:fldCharType="end"/>
      </w:r>
      <w:r w:rsidR="00970109">
        <w:rPr>
          <w:sz w:val="20"/>
          <w:szCs w:val="20"/>
        </w:rPr>
        <w:t xml:space="preserve"> e isolarmos o valor de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α%</m:t>
                </m:r>
              </m:e>
            </m:d>
          </m:sup>
        </m:sSup>
      </m:oMath>
      <w:r>
        <w:rPr>
          <w:sz w:val="20"/>
          <w:szCs w:val="20"/>
        </w:rPr>
        <w:t xml:space="preserve">. A expressão a seguir apresenta a forma final do novo preço de </w:t>
      </w:r>
      <w:proofErr w:type="spellStart"/>
      <w:r w:rsidRPr="009671A6">
        <w:rPr>
          <w:i/>
          <w:sz w:val="20"/>
          <w:szCs w:val="20"/>
        </w:rPr>
        <w:t>breakeven</w:t>
      </w:r>
      <w:proofErr w:type="spellEnd"/>
      <w:r>
        <w:rPr>
          <w:sz w:val="20"/>
          <w:szCs w:val="20"/>
        </w:rPr>
        <w:t xml:space="preserve"> do parque sob um critério de confiabilidade </w:t>
      </w:r>
      <m:oMath>
        <m:r>
          <w:rPr>
            <w:rFonts w:ascii="Cambria Math" w:hAnsi="Cambria Math"/>
            <w:sz w:val="20"/>
            <w:szCs w:val="20"/>
          </w:rPr>
          <m:t>α</m:t>
        </m:r>
      </m:oMath>
      <w:r>
        <w:rPr>
          <w:sz w:val="20"/>
          <w:szCs w:val="20"/>
        </w:rPr>
        <w:t xml:space="preserve"> qualquer: 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2"/>
        <w:gridCol w:w="611"/>
      </w:tblGrid>
      <w:tr w:rsidR="00970109" w:rsidRPr="00340F5C" w:rsidTr="00970109">
        <w:trPr>
          <w:trHeight w:val="630"/>
          <w:jc w:val="center"/>
        </w:trPr>
        <w:tc>
          <w:tcPr>
            <w:tcW w:w="8712" w:type="dxa"/>
            <w:vAlign w:val="center"/>
          </w:tcPr>
          <w:p w:rsidR="00970109" w:rsidRPr="00A3537A" w:rsidRDefault="00FA7E3C" w:rsidP="00970109">
            <w:pPr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%)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%)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⋅8760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.</m:t>
                </m:r>
              </m:oMath>
            </m:oMathPara>
          </w:p>
        </w:tc>
        <w:tc>
          <w:tcPr>
            <w:tcW w:w="611" w:type="dxa"/>
            <w:vAlign w:val="center"/>
          </w:tcPr>
          <w:p w:rsidR="00970109" w:rsidRPr="00A3537A" w:rsidRDefault="00970109" w:rsidP="00590DDF">
            <w:pPr>
              <w:jc w:val="center"/>
              <w:rPr>
                <w:sz w:val="20"/>
                <w:szCs w:val="20"/>
              </w:rPr>
            </w:pPr>
            <w:r w:rsidRPr="00A3537A">
              <w:rPr>
                <w:sz w:val="20"/>
                <w:szCs w:val="20"/>
              </w:rPr>
              <w:t>(</w:t>
            </w:r>
            <w:r w:rsidR="003B62E6" w:rsidRPr="00A3537A">
              <w:rPr>
                <w:sz w:val="20"/>
                <w:szCs w:val="20"/>
              </w:rPr>
              <w:fldChar w:fldCharType="begin"/>
            </w:r>
            <w:r w:rsidRPr="00A3537A">
              <w:rPr>
                <w:sz w:val="20"/>
                <w:szCs w:val="20"/>
              </w:rPr>
              <w:instrText xml:space="preserve"> SEQ Equação \* ARABIC </w:instrText>
            </w:r>
            <w:r w:rsidR="003B62E6" w:rsidRPr="00A3537A">
              <w:rPr>
                <w:sz w:val="20"/>
                <w:szCs w:val="20"/>
              </w:rPr>
              <w:fldChar w:fldCharType="separate"/>
            </w:r>
            <w:r w:rsidR="00BD5E6C">
              <w:rPr>
                <w:noProof/>
                <w:sz w:val="20"/>
                <w:szCs w:val="20"/>
              </w:rPr>
              <w:t>3</w:t>
            </w:r>
            <w:r w:rsidR="003B62E6" w:rsidRPr="00A3537A">
              <w:rPr>
                <w:sz w:val="20"/>
                <w:szCs w:val="20"/>
              </w:rPr>
              <w:fldChar w:fldCharType="end"/>
            </w:r>
            <w:r w:rsidRPr="00A3537A">
              <w:rPr>
                <w:sz w:val="20"/>
                <w:szCs w:val="20"/>
              </w:rPr>
              <w:t>)</w:t>
            </w:r>
          </w:p>
        </w:tc>
      </w:tr>
    </w:tbl>
    <w:p w:rsidR="003B0EDA" w:rsidRDefault="00E01A41" w:rsidP="00280B23">
      <w:pPr>
        <w:spacing w:line="288" w:lineRule="auto"/>
        <w:jc w:val="both"/>
        <w:rPr>
          <w:sz w:val="20"/>
          <w:szCs w:val="20"/>
        </w:rPr>
      </w:pPr>
      <w:r>
        <w:rPr>
          <w:sz w:val="20"/>
          <w:szCs w:val="20"/>
        </w:rPr>
        <w:t>A tabela a seguir mostra, para cada nível de confiabilidade</w:t>
      </w:r>
      <w:r w:rsidR="002A2EC5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α∈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50, 55,…,95</m:t>
            </m:r>
          </m:e>
        </m:d>
      </m:oMath>
      <w:r>
        <w:rPr>
          <w:sz w:val="20"/>
          <w:szCs w:val="20"/>
        </w:rPr>
        <w:t xml:space="preserve">, o valor da garantia física (em MWmédio e em % da potência), a redução percentual da garantia física, o preço de </w:t>
      </w:r>
      <w:proofErr w:type="spellStart"/>
      <w:r w:rsidRPr="00E01A41">
        <w:rPr>
          <w:i/>
          <w:sz w:val="20"/>
          <w:szCs w:val="20"/>
        </w:rPr>
        <w:t>breakeven</w:t>
      </w:r>
      <w:proofErr w:type="spellEnd"/>
      <w:r>
        <w:rPr>
          <w:sz w:val="20"/>
          <w:szCs w:val="20"/>
        </w:rPr>
        <w:t xml:space="preserve"> e </w:t>
      </w:r>
      <w:r w:rsidR="002A2EC5">
        <w:rPr>
          <w:sz w:val="20"/>
          <w:szCs w:val="20"/>
        </w:rPr>
        <w:t>o</w:t>
      </w:r>
      <w:r>
        <w:rPr>
          <w:sz w:val="20"/>
          <w:szCs w:val="20"/>
        </w:rPr>
        <w:t xml:space="preserve"> aumento de preço</w:t>
      </w:r>
      <w:r w:rsidR="002A2EC5">
        <w:rPr>
          <w:sz w:val="20"/>
          <w:szCs w:val="20"/>
        </w:rPr>
        <w:t>,</w:t>
      </w:r>
      <w:r w:rsidR="002A2EC5" w:rsidRPr="002A2EC5">
        <w:rPr>
          <w:sz w:val="20"/>
          <w:szCs w:val="20"/>
        </w:rPr>
        <w:t xml:space="preserve"> </w:t>
      </w:r>
      <w:r w:rsidR="002A2EC5">
        <w:rPr>
          <w:sz w:val="20"/>
          <w:szCs w:val="20"/>
        </w:rPr>
        <w:t>em R$/MWh e em %,</w:t>
      </w:r>
      <w:r>
        <w:rPr>
          <w:sz w:val="20"/>
          <w:szCs w:val="20"/>
        </w:rPr>
        <w:t xml:space="preserve"> com relação ao</w:t>
      </w:r>
      <w:r w:rsidR="002A2EC5">
        <w:rPr>
          <w:sz w:val="20"/>
          <w:szCs w:val="20"/>
        </w:rPr>
        <w:t xml:space="preserve"> preço decorrente do</w:t>
      </w:r>
      <w:r>
        <w:rPr>
          <w:sz w:val="20"/>
          <w:szCs w:val="20"/>
        </w:rPr>
        <w:t xml:space="preserve"> nível de confiabilidade atual (50%)</w:t>
      </w:r>
      <w:r w:rsidR="002A2EC5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C4769B" w:rsidRDefault="00C4769B" w:rsidP="00C4769B">
      <w:pPr>
        <w:pStyle w:val="Legenda"/>
        <w:spacing w:after="0"/>
      </w:pPr>
      <w:r w:rsidRPr="00340F5C">
        <w:t xml:space="preserve">Tabela </w:t>
      </w:r>
      <w:r w:rsidR="003B62E6">
        <w:fldChar w:fldCharType="begin"/>
      </w:r>
      <w:r>
        <w:instrText xml:space="preserve"> SEQ Tabela \* ARABIC </w:instrText>
      </w:r>
      <w:r w:rsidR="003B62E6">
        <w:fldChar w:fldCharType="separate"/>
      </w:r>
      <w:r w:rsidR="00BD5E6C">
        <w:rPr>
          <w:noProof/>
        </w:rPr>
        <w:t>1</w:t>
      </w:r>
      <w:r w:rsidR="003B62E6">
        <w:fldChar w:fldCharType="end"/>
      </w:r>
      <w:r w:rsidRPr="00340F5C">
        <w:t xml:space="preserve"> – </w:t>
      </w:r>
      <w:r w:rsidR="00464E4D">
        <w:t>GF</w:t>
      </w:r>
      <w:r>
        <w:t xml:space="preserve"> e preço de contrato para </w:t>
      </w:r>
      <w:proofErr w:type="spellStart"/>
      <w:r w:rsidRPr="00C4769B">
        <w:rPr>
          <w:i/>
        </w:rPr>
        <w:t>breakeven</w:t>
      </w:r>
      <w:proofErr w:type="spellEnd"/>
      <w:r>
        <w:t xml:space="preserve"> em função do nível de confiabilidade da GF.</w:t>
      </w:r>
    </w:p>
    <w:tbl>
      <w:tblPr>
        <w:tblW w:w="5000" w:type="pct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840"/>
        <w:gridCol w:w="1229"/>
        <w:gridCol w:w="944"/>
        <w:gridCol w:w="1089"/>
        <w:gridCol w:w="831"/>
        <w:gridCol w:w="916"/>
        <w:gridCol w:w="832"/>
        <w:gridCol w:w="916"/>
        <w:gridCol w:w="975"/>
        <w:gridCol w:w="816"/>
      </w:tblGrid>
      <w:tr w:rsidR="00FA7E3C" w:rsidRPr="00FA7E3C" w:rsidTr="00FA7E3C">
        <w:trPr>
          <w:trHeight w:val="1215"/>
        </w:trPr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rFonts w:asciiTheme="minorHAnsi" w:hAnsiTheme="minorHAnsi"/>
                <w:color w:val="FFFFFF"/>
                <w:sz w:val="20"/>
                <w:szCs w:val="20"/>
                <w:lang w:val="en-US" w:eastAsia="en-US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</w:pPr>
            <w:proofErr w:type="spellStart"/>
            <w:r w:rsidRPr="00FA7E3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  <w:t>Confiabilidade</w:t>
            </w:r>
            <w:proofErr w:type="spellEnd"/>
            <w:r w:rsidRPr="00FA7E3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  <w:t xml:space="preserve"> da G</w:t>
            </w:r>
            <w:r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  <w:t>F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  <w:t xml:space="preserve">GF </w:t>
            </w:r>
            <w:r w:rsidRPr="00FA7E3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  <w:t>(MWméd)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  <w:t xml:space="preserve">GF </w:t>
            </w:r>
            <w:r w:rsidRPr="00FA7E3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  <w:t>(%</w:t>
            </w:r>
            <w:proofErr w:type="spellStart"/>
            <w:r w:rsidRPr="00FA7E3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  <w:t>Potência</w:t>
            </w:r>
            <w:proofErr w:type="spellEnd"/>
            <w:r w:rsidRPr="00FA7E3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</w:pPr>
            <w:proofErr w:type="spellStart"/>
            <w:r w:rsidRPr="00FA7E3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  <w:t>Redução</w:t>
            </w:r>
            <w:proofErr w:type="spellEnd"/>
            <w:r w:rsidRPr="00FA7E3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  <w:t xml:space="preserve"> de GF (%)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</w:pPr>
            <w:r w:rsidRPr="00FA7E3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  <w:t>CEC (R$/</w:t>
            </w:r>
            <w:proofErr w:type="spellStart"/>
            <w:r w:rsidRPr="00FA7E3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  <w:t>MWh</w:t>
            </w:r>
            <w:proofErr w:type="spellEnd"/>
            <w:r w:rsidRPr="00FA7E3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</w:pPr>
            <w:proofErr w:type="spellStart"/>
            <w:r w:rsidRPr="00FA7E3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  <w:t>Receita</w:t>
            </w:r>
            <w:proofErr w:type="spellEnd"/>
            <w:r w:rsidRPr="00FA7E3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FA7E3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  <w:t>Fixa</w:t>
            </w:r>
            <w:proofErr w:type="spellEnd"/>
            <w:r w:rsidRPr="00FA7E3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FA7E3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  <w:t>Anual</w:t>
            </w:r>
            <w:proofErr w:type="spellEnd"/>
            <w:r w:rsidRPr="00FA7E3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  <w:t xml:space="preserve"> (MMR$)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</w:pPr>
            <w:r w:rsidRPr="00FA7E3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  <w:t xml:space="preserve">ICB </w:t>
            </w:r>
            <w:proofErr w:type="spellStart"/>
            <w:r w:rsidRPr="00FA7E3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  <w:t>para</w:t>
            </w:r>
            <w:proofErr w:type="spellEnd"/>
            <w:r w:rsidRPr="00FA7E3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  <w:t xml:space="preserve"> </w:t>
            </w:r>
            <w:r w:rsidRPr="00FA7E3C">
              <w:rPr>
                <w:rFonts w:asciiTheme="minorHAnsi" w:hAnsiTheme="minorHAnsi"/>
                <w:b/>
                <w:bCs/>
                <w:i/>
                <w:iCs/>
                <w:color w:val="FFFFFF"/>
                <w:sz w:val="20"/>
                <w:szCs w:val="20"/>
                <w:lang w:val="en-US" w:eastAsia="en-US"/>
              </w:rPr>
              <w:t>breakeven</w:t>
            </w:r>
            <w:r w:rsidRPr="00FA7E3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  <w:t xml:space="preserve"> (R$/</w:t>
            </w:r>
            <w:proofErr w:type="spellStart"/>
            <w:r w:rsidRPr="00FA7E3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  <w:t>MWh</w:t>
            </w:r>
            <w:proofErr w:type="spellEnd"/>
            <w:r w:rsidRPr="00FA7E3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</w:pPr>
            <w:r w:rsidRPr="00FA7E3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  <w:t>Δ</w:t>
            </w:r>
            <w:r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  <w:t>ICB</w:t>
            </w:r>
            <w:r w:rsidRPr="00FA7E3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  <w:t xml:space="preserve"> (R$/</w:t>
            </w:r>
            <w:proofErr w:type="spellStart"/>
            <w:r w:rsidRPr="00FA7E3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  <w:t>MWh</w:t>
            </w:r>
            <w:proofErr w:type="spellEnd"/>
            <w:r w:rsidRPr="00FA7E3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</w:pPr>
            <w:r w:rsidRPr="00FA7E3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  <w:t>Δ</w:t>
            </w:r>
            <w:r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  <w:t>ICB</w:t>
            </w:r>
            <w:r w:rsidRPr="00FA7E3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n-US" w:eastAsia="en-US"/>
              </w:rPr>
              <w:t xml:space="preserve"> (%)</w:t>
            </w:r>
          </w:p>
        </w:tc>
      </w:tr>
      <w:tr w:rsidR="00FA7E3C" w:rsidRPr="00FA7E3C" w:rsidTr="00FA7E3C">
        <w:trPr>
          <w:trHeight w:val="300"/>
        </w:trPr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FA7E3C" w:rsidRPr="00FA7E3C" w:rsidRDefault="00FA7E3C" w:rsidP="00FA7E3C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FA7E3C"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  <w:t>Atual</w:t>
            </w:r>
            <w:proofErr w:type="spellEnd"/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50%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10.91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36.4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0.0%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FF0000"/>
                <w:sz w:val="20"/>
                <w:szCs w:val="20"/>
                <w:lang w:val="en-US" w:eastAsia="en-US"/>
              </w:rPr>
            </w:pPr>
            <w:r w:rsidRPr="00FA7E3C">
              <w:rPr>
                <w:color w:val="FF0000"/>
                <w:sz w:val="20"/>
                <w:szCs w:val="20"/>
                <w:lang w:val="en-US" w:eastAsia="en-US"/>
              </w:rPr>
              <w:t>-3.88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9.93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100.00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0.00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0.0%</w:t>
            </w:r>
          </w:p>
        </w:tc>
      </w:tr>
      <w:tr w:rsidR="00FA7E3C" w:rsidRPr="00FA7E3C" w:rsidTr="00FA7E3C">
        <w:trPr>
          <w:trHeight w:val="300"/>
        </w:trPr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E3C" w:rsidRPr="00FA7E3C" w:rsidRDefault="00FA7E3C" w:rsidP="00FA7E3C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55%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10.69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35.6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2.0%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FF0000"/>
                <w:sz w:val="20"/>
                <w:szCs w:val="20"/>
                <w:lang w:val="en-US" w:eastAsia="en-US"/>
              </w:rPr>
            </w:pPr>
            <w:r w:rsidRPr="00FA7E3C">
              <w:rPr>
                <w:color w:val="FF0000"/>
                <w:sz w:val="20"/>
                <w:szCs w:val="20"/>
                <w:lang w:val="en-US" w:eastAsia="en-US"/>
              </w:rPr>
              <w:t>-4.05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9.93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102.00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2.00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1.8%</w:t>
            </w:r>
          </w:p>
        </w:tc>
      </w:tr>
      <w:tr w:rsidR="00FA7E3C" w:rsidRPr="00FA7E3C" w:rsidTr="00FA7E3C">
        <w:trPr>
          <w:trHeight w:val="300"/>
        </w:trPr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E3C" w:rsidRPr="00FA7E3C" w:rsidRDefault="00FA7E3C" w:rsidP="00FA7E3C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60%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10.36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34.5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5.1%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FF0000"/>
                <w:sz w:val="20"/>
                <w:szCs w:val="20"/>
                <w:lang w:val="en-US" w:eastAsia="en-US"/>
              </w:rPr>
            </w:pPr>
            <w:r w:rsidRPr="00FA7E3C">
              <w:rPr>
                <w:color w:val="FF0000"/>
                <w:sz w:val="20"/>
                <w:szCs w:val="20"/>
                <w:lang w:val="en-US" w:eastAsia="en-US"/>
              </w:rPr>
              <w:t>-4.22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9.93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105.23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5.23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4.7%</w:t>
            </w:r>
          </w:p>
        </w:tc>
      </w:tr>
      <w:tr w:rsidR="00FA7E3C" w:rsidRPr="00FA7E3C" w:rsidTr="00FA7E3C">
        <w:trPr>
          <w:trHeight w:val="300"/>
        </w:trPr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E3C" w:rsidRPr="00FA7E3C" w:rsidRDefault="00FA7E3C" w:rsidP="00FA7E3C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65%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10.10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33.7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7.4%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FF0000"/>
                <w:sz w:val="20"/>
                <w:szCs w:val="20"/>
                <w:lang w:val="en-US" w:eastAsia="en-US"/>
              </w:rPr>
            </w:pPr>
            <w:r w:rsidRPr="00FA7E3C">
              <w:rPr>
                <w:color w:val="FF0000"/>
                <w:sz w:val="20"/>
                <w:szCs w:val="20"/>
                <w:lang w:val="en-US" w:eastAsia="en-US"/>
              </w:rPr>
              <w:t>-4.44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9.93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107.78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7.78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6.9%</w:t>
            </w:r>
          </w:p>
        </w:tc>
      </w:tr>
      <w:tr w:rsidR="00FA7E3C" w:rsidRPr="00FA7E3C" w:rsidTr="00FA7E3C">
        <w:trPr>
          <w:trHeight w:val="300"/>
        </w:trPr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E3C" w:rsidRPr="00FA7E3C" w:rsidRDefault="00FA7E3C" w:rsidP="00FA7E3C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70%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9.85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32.8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9.7%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FF0000"/>
                <w:sz w:val="20"/>
                <w:szCs w:val="20"/>
                <w:lang w:val="en-US" w:eastAsia="en-US"/>
              </w:rPr>
            </w:pPr>
            <w:r w:rsidRPr="00FA7E3C">
              <w:rPr>
                <w:color w:val="FF0000"/>
                <w:sz w:val="20"/>
                <w:szCs w:val="20"/>
                <w:lang w:val="en-US" w:eastAsia="en-US"/>
              </w:rPr>
              <w:t>-4.61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9.93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110.41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10.41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9.3%</w:t>
            </w:r>
          </w:p>
        </w:tc>
      </w:tr>
      <w:tr w:rsidR="00FA7E3C" w:rsidRPr="00FA7E3C" w:rsidTr="00FA7E3C">
        <w:trPr>
          <w:trHeight w:val="300"/>
        </w:trPr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A7E3C" w:rsidRPr="00FA7E3C" w:rsidRDefault="00FA7E3C" w:rsidP="00FA7E3C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FA7E3C"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  <w:t>ABEólica</w:t>
            </w:r>
            <w:proofErr w:type="spellEnd"/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75%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9.49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31.6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13.0%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FF0000"/>
                <w:sz w:val="20"/>
                <w:szCs w:val="20"/>
                <w:lang w:val="en-US" w:eastAsia="en-US"/>
              </w:rPr>
            </w:pPr>
            <w:r w:rsidRPr="00FA7E3C">
              <w:rPr>
                <w:color w:val="FF0000"/>
                <w:sz w:val="20"/>
                <w:szCs w:val="20"/>
                <w:lang w:val="en-US" w:eastAsia="en-US"/>
              </w:rPr>
              <w:t>-4.82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9.93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114.56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14.56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13.0%</w:t>
            </w:r>
          </w:p>
        </w:tc>
      </w:tr>
      <w:tr w:rsidR="00FA7E3C" w:rsidRPr="00FA7E3C" w:rsidTr="00FA7E3C">
        <w:trPr>
          <w:trHeight w:val="300"/>
        </w:trPr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E3C" w:rsidRPr="00FA7E3C" w:rsidRDefault="00FA7E3C" w:rsidP="00FA7E3C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80%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9.13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30.4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16.3%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FF0000"/>
                <w:sz w:val="20"/>
                <w:szCs w:val="20"/>
                <w:lang w:val="en-US" w:eastAsia="en-US"/>
              </w:rPr>
            </w:pPr>
            <w:r w:rsidRPr="00FA7E3C">
              <w:rPr>
                <w:color w:val="FF0000"/>
                <w:sz w:val="20"/>
                <w:szCs w:val="20"/>
                <w:lang w:val="en-US" w:eastAsia="en-US"/>
              </w:rPr>
              <w:t>-4.83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9.93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119.30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19.30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17.2%</w:t>
            </w:r>
          </w:p>
        </w:tc>
      </w:tr>
      <w:tr w:rsidR="00FA7E3C" w:rsidRPr="00FA7E3C" w:rsidTr="00FA7E3C">
        <w:trPr>
          <w:trHeight w:val="300"/>
        </w:trPr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E3C" w:rsidRPr="00FA7E3C" w:rsidRDefault="00FA7E3C" w:rsidP="00FA7E3C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85%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8.67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28.9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20.6%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FF0000"/>
                <w:sz w:val="20"/>
                <w:szCs w:val="20"/>
                <w:lang w:val="en-US" w:eastAsia="en-US"/>
              </w:rPr>
            </w:pPr>
            <w:r w:rsidRPr="00FA7E3C">
              <w:rPr>
                <w:color w:val="FF0000"/>
                <w:sz w:val="20"/>
                <w:szCs w:val="20"/>
                <w:lang w:val="en-US" w:eastAsia="en-US"/>
              </w:rPr>
              <w:t>-5.03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9.93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125.76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25.76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23.0%</w:t>
            </w:r>
          </w:p>
        </w:tc>
      </w:tr>
      <w:tr w:rsidR="00FA7E3C" w:rsidRPr="00FA7E3C" w:rsidTr="00FA7E3C">
        <w:trPr>
          <w:trHeight w:val="300"/>
        </w:trPr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FA7E3C" w:rsidRPr="00FA7E3C" w:rsidRDefault="00FA7E3C" w:rsidP="00FA7E3C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  <w:t>EPE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90%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8.27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27.6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24.2%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FF0000"/>
                <w:sz w:val="20"/>
                <w:szCs w:val="20"/>
                <w:lang w:val="en-US" w:eastAsia="en-US"/>
              </w:rPr>
            </w:pPr>
            <w:r w:rsidRPr="00FA7E3C">
              <w:rPr>
                <w:color w:val="FF0000"/>
                <w:sz w:val="20"/>
                <w:szCs w:val="20"/>
                <w:lang w:val="en-US" w:eastAsia="en-US"/>
              </w:rPr>
              <w:t>-5.11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9.93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132.00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32.00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28.6%</w:t>
            </w:r>
          </w:p>
        </w:tc>
      </w:tr>
      <w:tr w:rsidR="00FA7E3C" w:rsidRPr="00FA7E3C" w:rsidTr="00FA7E3C">
        <w:trPr>
          <w:trHeight w:val="300"/>
        </w:trPr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E3C" w:rsidRPr="00FA7E3C" w:rsidRDefault="00FA7E3C" w:rsidP="00FA7E3C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95%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7.66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25.5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29.8%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FF0000"/>
                <w:sz w:val="20"/>
                <w:szCs w:val="20"/>
                <w:lang w:val="en-US" w:eastAsia="en-US"/>
              </w:rPr>
            </w:pPr>
            <w:r w:rsidRPr="00FA7E3C">
              <w:rPr>
                <w:color w:val="FF0000"/>
                <w:sz w:val="20"/>
                <w:szCs w:val="20"/>
                <w:lang w:val="en-US" w:eastAsia="en-US"/>
              </w:rPr>
              <w:t>-5.41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9.93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142.61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42.61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38.0%</w:t>
            </w:r>
          </w:p>
        </w:tc>
      </w:tr>
      <w:tr w:rsidR="00FA7E3C" w:rsidRPr="00FA7E3C" w:rsidTr="00FA7E3C">
        <w:trPr>
          <w:trHeight w:val="300"/>
        </w:trPr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E3C" w:rsidRPr="00FA7E3C" w:rsidRDefault="00FA7E3C" w:rsidP="00FA7E3C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99%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7.40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24.7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32.2%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FF0000"/>
                <w:sz w:val="20"/>
                <w:szCs w:val="20"/>
                <w:lang w:val="en-US" w:eastAsia="en-US"/>
              </w:rPr>
            </w:pPr>
            <w:r w:rsidRPr="00FA7E3C">
              <w:rPr>
                <w:color w:val="FF0000"/>
                <w:sz w:val="20"/>
                <w:szCs w:val="20"/>
                <w:lang w:val="en-US" w:eastAsia="en-US"/>
              </w:rPr>
              <w:t>-5.49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9.93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147.77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47.77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E3C" w:rsidRPr="00FA7E3C" w:rsidRDefault="00FA7E3C" w:rsidP="00FA7E3C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FA7E3C">
              <w:rPr>
                <w:color w:val="000000"/>
                <w:sz w:val="20"/>
                <w:szCs w:val="20"/>
                <w:lang w:val="en-US" w:eastAsia="en-US"/>
              </w:rPr>
              <w:t>42.7%</w:t>
            </w:r>
          </w:p>
        </w:tc>
      </w:tr>
    </w:tbl>
    <w:p w:rsidR="00FA7E3C" w:rsidRDefault="00FA7E3C" w:rsidP="00FA7E3C"/>
    <w:p w:rsidR="00FA7E3C" w:rsidRDefault="00FA7E3C" w:rsidP="00FA7E3C">
      <w:bookmarkStart w:id="2" w:name="_GoBack"/>
      <w:bookmarkEnd w:id="2"/>
    </w:p>
    <w:p w:rsidR="00FA7E3C" w:rsidRPr="00FA7E3C" w:rsidRDefault="00FA7E3C" w:rsidP="00FA7E3C"/>
    <w:tbl>
      <w:tblPr>
        <w:tblW w:w="5000" w:type="pct"/>
        <w:tblLook w:val="04A0" w:firstRow="1" w:lastRow="0" w:firstColumn="1" w:lastColumn="0" w:noHBand="0" w:noVBand="1"/>
      </w:tblPr>
      <w:tblGrid>
        <w:gridCol w:w="938"/>
        <w:gridCol w:w="1358"/>
        <w:gridCol w:w="1122"/>
        <w:gridCol w:w="1291"/>
        <w:gridCol w:w="988"/>
        <w:gridCol w:w="1073"/>
        <w:gridCol w:w="1016"/>
        <w:gridCol w:w="1055"/>
        <w:gridCol w:w="735"/>
      </w:tblGrid>
      <w:tr w:rsidR="006A7D22" w:rsidRPr="006A7D22" w:rsidTr="00C4769B">
        <w:trPr>
          <w:trHeight w:val="900"/>
        </w:trPr>
        <w:tc>
          <w:tcPr>
            <w:tcW w:w="489" w:type="pct"/>
            <w:tcBorders>
              <w:top w:val="nil"/>
              <w:left w:val="nil"/>
              <w:right w:val="nil"/>
            </w:tcBorders>
            <w:shd w:val="clear" w:color="000000" w:fill="4F81BD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color w:val="FFFFFF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color w:val="FFFFFF"/>
                <w:sz w:val="18"/>
                <w:szCs w:val="22"/>
                <w:lang w:eastAsia="en-US"/>
              </w:rPr>
              <w:lastRenderedPageBreak/>
              <w:t>Critério</w:t>
            </w:r>
          </w:p>
        </w:tc>
        <w:tc>
          <w:tcPr>
            <w:tcW w:w="709" w:type="pct"/>
            <w:tcBorders>
              <w:top w:val="nil"/>
              <w:left w:val="nil"/>
              <w:right w:val="nil"/>
            </w:tcBorders>
            <w:shd w:val="clear" w:color="000000" w:fill="4F81BD"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bCs/>
                <w:color w:val="FFFFFF"/>
                <w:sz w:val="18"/>
                <w:szCs w:val="22"/>
                <w:lang w:eastAsia="en-US"/>
              </w:rPr>
              <w:t>Confiabilidade da Garantia Física</w:t>
            </w:r>
          </w:p>
        </w:tc>
        <w:tc>
          <w:tcPr>
            <w:tcW w:w="586" w:type="pct"/>
            <w:tcBorders>
              <w:top w:val="nil"/>
              <w:left w:val="nil"/>
              <w:right w:val="nil"/>
            </w:tcBorders>
            <w:shd w:val="clear" w:color="000000" w:fill="4F81BD"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bCs/>
                <w:color w:val="FFFFFF"/>
                <w:sz w:val="18"/>
                <w:szCs w:val="22"/>
                <w:lang w:eastAsia="en-US"/>
              </w:rPr>
              <w:t>Garantia Física</w:t>
            </w:r>
          </w:p>
        </w:tc>
        <w:tc>
          <w:tcPr>
            <w:tcW w:w="674" w:type="pct"/>
            <w:tcBorders>
              <w:top w:val="nil"/>
              <w:left w:val="nil"/>
              <w:right w:val="nil"/>
            </w:tcBorders>
            <w:shd w:val="clear" w:color="000000" w:fill="4F81BD"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bCs/>
                <w:color w:val="FFFFFF"/>
                <w:sz w:val="18"/>
                <w:szCs w:val="22"/>
                <w:lang w:eastAsia="en-US"/>
              </w:rPr>
              <w:t>Garantia Física</w:t>
            </w:r>
          </w:p>
        </w:tc>
        <w:tc>
          <w:tcPr>
            <w:tcW w:w="516" w:type="pct"/>
            <w:tcBorders>
              <w:top w:val="nil"/>
              <w:left w:val="nil"/>
              <w:right w:val="nil"/>
            </w:tcBorders>
            <w:shd w:val="clear" w:color="000000" w:fill="4F81BD"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bCs/>
                <w:color w:val="FFFFFF"/>
                <w:sz w:val="18"/>
                <w:szCs w:val="22"/>
                <w:lang w:eastAsia="en-US"/>
              </w:rPr>
              <w:t>Redução de GF</w:t>
            </w:r>
          </w:p>
        </w:tc>
        <w:tc>
          <w:tcPr>
            <w:tcW w:w="560" w:type="pct"/>
            <w:tcBorders>
              <w:top w:val="nil"/>
              <w:left w:val="nil"/>
              <w:right w:val="nil"/>
            </w:tcBorders>
            <w:shd w:val="clear" w:color="000000" w:fill="4F81BD"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bCs/>
                <w:color w:val="FFFFFF"/>
                <w:sz w:val="18"/>
                <w:szCs w:val="22"/>
                <w:lang w:eastAsia="en-US"/>
              </w:rPr>
              <w:t xml:space="preserve">Receita </w:t>
            </w:r>
            <w:proofErr w:type="spellStart"/>
            <w:r w:rsidRPr="006A7D22">
              <w:rPr>
                <w:rFonts w:ascii="Calibri" w:hAnsi="Calibri"/>
                <w:b/>
                <w:bCs/>
                <w:color w:val="FFFFFF"/>
                <w:sz w:val="18"/>
                <w:szCs w:val="22"/>
                <w:lang w:eastAsia="en-US"/>
              </w:rPr>
              <w:t>Annual</w:t>
            </w:r>
            <w:proofErr w:type="spellEnd"/>
          </w:p>
        </w:tc>
        <w:tc>
          <w:tcPr>
            <w:tcW w:w="530" w:type="pct"/>
            <w:tcBorders>
              <w:top w:val="nil"/>
              <w:left w:val="nil"/>
              <w:right w:val="nil"/>
            </w:tcBorders>
            <w:shd w:val="clear" w:color="000000" w:fill="4F81BD"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bCs/>
                <w:color w:val="FFFFFF"/>
                <w:sz w:val="18"/>
                <w:szCs w:val="22"/>
                <w:lang w:eastAsia="en-US"/>
              </w:rPr>
              <w:t xml:space="preserve">Preço para </w:t>
            </w:r>
            <w:proofErr w:type="spellStart"/>
            <w:r w:rsidRPr="006A7D22">
              <w:rPr>
                <w:rFonts w:ascii="Calibri" w:hAnsi="Calibri"/>
                <w:b/>
                <w:bCs/>
                <w:i/>
                <w:iCs/>
                <w:color w:val="FFFFFF"/>
                <w:sz w:val="18"/>
                <w:szCs w:val="22"/>
                <w:lang w:eastAsia="en-US"/>
              </w:rPr>
              <w:t>breakeven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right w:val="nil"/>
            </w:tcBorders>
            <w:shd w:val="clear" w:color="000000" w:fill="4F81BD"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bCs/>
                <w:color w:val="FFFFFF"/>
                <w:sz w:val="18"/>
                <w:szCs w:val="22"/>
                <w:lang w:eastAsia="en-US"/>
              </w:rPr>
              <w:t>ΔP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shd w:val="clear" w:color="000000" w:fill="4F81BD"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bCs/>
                <w:color w:val="FFFFFF"/>
                <w:sz w:val="18"/>
                <w:szCs w:val="22"/>
                <w:lang w:eastAsia="en-US"/>
              </w:rPr>
              <w:t>ΔP</w:t>
            </w:r>
          </w:p>
        </w:tc>
      </w:tr>
      <w:tr w:rsidR="006A7D22" w:rsidRPr="006A7D22" w:rsidTr="00C4769B">
        <w:trPr>
          <w:trHeight w:val="300"/>
        </w:trPr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000000" w:fill="4F81BD" w:themeFill="accent1"/>
            <w:noWrap/>
            <w:vAlign w:val="center"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lang w:eastAsia="en-US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000000" w:fill="4F81BD" w:themeFill="accent1"/>
            <w:noWrap/>
            <w:vAlign w:val="center"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000000" w:fill="4F81BD" w:themeFill="accent1"/>
            <w:noWrap/>
            <w:vAlign w:val="center"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bCs/>
                <w:color w:val="FFFFFF"/>
                <w:sz w:val="18"/>
                <w:szCs w:val="22"/>
                <w:lang w:eastAsia="en-US"/>
              </w:rPr>
              <w:t>(</w:t>
            </w:r>
            <w:proofErr w:type="gramStart"/>
            <w:r w:rsidRPr="006A7D22">
              <w:rPr>
                <w:rFonts w:ascii="Calibri" w:hAnsi="Calibri"/>
                <w:b/>
                <w:bCs/>
                <w:color w:val="FFFFFF"/>
                <w:sz w:val="18"/>
                <w:szCs w:val="22"/>
                <w:lang w:eastAsia="en-US"/>
              </w:rPr>
              <w:t>MWméd</w:t>
            </w:r>
            <w:proofErr w:type="gramEnd"/>
            <w:r w:rsidRPr="006A7D22">
              <w:rPr>
                <w:rFonts w:ascii="Calibri" w:hAnsi="Calibri"/>
                <w:b/>
                <w:bCs/>
                <w:color w:val="FFFFFF"/>
                <w:sz w:val="18"/>
                <w:szCs w:val="22"/>
                <w:lang w:eastAsia="en-US"/>
              </w:rPr>
              <w:t>)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000000" w:fill="4F81BD" w:themeFill="accent1"/>
            <w:noWrap/>
            <w:vAlign w:val="center"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bCs/>
                <w:color w:val="FFFFFF"/>
                <w:sz w:val="18"/>
                <w:szCs w:val="22"/>
                <w:lang w:eastAsia="en-US"/>
              </w:rPr>
              <w:t>(%Potência)</w:t>
            </w: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000000" w:fill="4F81BD" w:themeFill="accent1"/>
            <w:noWrap/>
            <w:vAlign w:val="center"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bCs/>
                <w:color w:val="FFFFFF"/>
                <w:sz w:val="18"/>
                <w:szCs w:val="22"/>
                <w:lang w:eastAsia="en-US"/>
              </w:rPr>
              <w:t>(%)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000000" w:fill="4F81BD" w:themeFill="accent1"/>
            <w:noWrap/>
            <w:vAlign w:val="center"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bCs/>
                <w:color w:val="FFFFFF"/>
                <w:sz w:val="18"/>
                <w:szCs w:val="22"/>
                <w:lang w:eastAsia="en-US"/>
              </w:rPr>
              <w:t>(MMR$)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000000" w:fill="4F81BD" w:themeFill="accent1"/>
            <w:noWrap/>
            <w:vAlign w:val="center"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bCs/>
                <w:color w:val="FFFFFF"/>
                <w:sz w:val="18"/>
                <w:szCs w:val="22"/>
                <w:lang w:eastAsia="en-US"/>
              </w:rPr>
              <w:t>(R$/</w:t>
            </w:r>
            <w:proofErr w:type="gramStart"/>
            <w:r w:rsidRPr="006A7D22">
              <w:rPr>
                <w:rFonts w:ascii="Calibri" w:hAnsi="Calibri"/>
                <w:b/>
                <w:bCs/>
                <w:color w:val="FFFFFF"/>
                <w:sz w:val="18"/>
                <w:szCs w:val="22"/>
                <w:lang w:eastAsia="en-US"/>
              </w:rPr>
              <w:t>MWh</w:t>
            </w:r>
            <w:proofErr w:type="gramEnd"/>
            <w:r w:rsidRPr="006A7D22">
              <w:rPr>
                <w:rFonts w:ascii="Calibri" w:hAnsi="Calibri"/>
                <w:b/>
                <w:bCs/>
                <w:color w:val="FFFFFF"/>
                <w:sz w:val="18"/>
                <w:szCs w:val="22"/>
                <w:lang w:eastAsia="en-US"/>
              </w:rPr>
              <w:t>)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000000" w:fill="4F81BD" w:themeFill="accent1"/>
            <w:noWrap/>
            <w:vAlign w:val="center"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bCs/>
                <w:color w:val="FFFFFF"/>
                <w:sz w:val="18"/>
                <w:szCs w:val="22"/>
                <w:lang w:eastAsia="en-US"/>
              </w:rPr>
              <w:t>(R$/</w:t>
            </w:r>
            <w:proofErr w:type="gramStart"/>
            <w:r w:rsidRPr="006A7D22">
              <w:rPr>
                <w:rFonts w:ascii="Calibri" w:hAnsi="Calibri"/>
                <w:b/>
                <w:bCs/>
                <w:color w:val="FFFFFF"/>
                <w:sz w:val="18"/>
                <w:szCs w:val="22"/>
                <w:lang w:eastAsia="en-US"/>
              </w:rPr>
              <w:t>MWh</w:t>
            </w:r>
            <w:proofErr w:type="gramEnd"/>
            <w:r w:rsidRPr="006A7D22">
              <w:rPr>
                <w:rFonts w:ascii="Calibri" w:hAnsi="Calibri"/>
                <w:b/>
                <w:bCs/>
                <w:color w:val="FFFFFF"/>
                <w:sz w:val="18"/>
                <w:szCs w:val="22"/>
                <w:lang w:eastAsia="en-US"/>
              </w:rPr>
              <w:t>)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000000" w:fill="4F81BD" w:themeFill="accent1"/>
            <w:noWrap/>
            <w:vAlign w:val="center"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bCs/>
                <w:color w:val="FFFFFF"/>
                <w:sz w:val="18"/>
                <w:szCs w:val="22"/>
                <w:lang w:eastAsia="en-US"/>
              </w:rPr>
              <w:t>(%)</w:t>
            </w:r>
          </w:p>
        </w:tc>
      </w:tr>
      <w:tr w:rsidR="006A7D22" w:rsidRPr="006A7D22" w:rsidTr="00C4769B">
        <w:trPr>
          <w:trHeight w:val="300"/>
        </w:trPr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bCs/>
                <w:color w:val="000000"/>
                <w:sz w:val="18"/>
                <w:szCs w:val="22"/>
                <w:lang w:eastAsia="en-US"/>
              </w:rPr>
              <w:t>Atual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color w:val="000000"/>
                <w:sz w:val="18"/>
                <w:szCs w:val="22"/>
                <w:lang w:eastAsia="en-US"/>
              </w:rPr>
              <w:t>50%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color w:val="000000"/>
                <w:sz w:val="18"/>
                <w:szCs w:val="22"/>
                <w:lang w:eastAsia="en-US"/>
              </w:rPr>
              <w:t>10.91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color w:val="000000"/>
                <w:sz w:val="18"/>
                <w:szCs w:val="22"/>
                <w:lang w:eastAsia="en-US"/>
              </w:rPr>
              <w:t>36.4</w:t>
            </w: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color w:val="000000"/>
                <w:sz w:val="18"/>
                <w:szCs w:val="22"/>
                <w:lang w:eastAsia="en-US"/>
              </w:rPr>
              <w:t>0.0%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color w:val="000000"/>
                <w:sz w:val="18"/>
                <w:szCs w:val="22"/>
                <w:lang w:eastAsia="en-US"/>
              </w:rPr>
              <w:t>9.56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color w:val="000000"/>
                <w:sz w:val="18"/>
                <w:szCs w:val="22"/>
                <w:lang w:eastAsia="en-US"/>
              </w:rPr>
              <w:t>100.00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color w:val="000000"/>
                <w:sz w:val="18"/>
                <w:szCs w:val="22"/>
                <w:lang w:eastAsia="en-US"/>
              </w:rPr>
              <w:t>0.00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color w:val="000000"/>
                <w:sz w:val="18"/>
                <w:szCs w:val="22"/>
                <w:lang w:eastAsia="en-US"/>
              </w:rPr>
              <w:t>0.0%</w:t>
            </w:r>
          </w:p>
        </w:tc>
      </w:tr>
      <w:tr w:rsidR="006A7D22" w:rsidRPr="006A7D22" w:rsidTr="00C4769B">
        <w:trPr>
          <w:trHeight w:val="300"/>
        </w:trPr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lang w:eastAsia="en-US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55%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10.69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35.6</w:t>
            </w: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2.0%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9.56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102.08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2.08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1.9%</w:t>
            </w:r>
          </w:p>
        </w:tc>
      </w:tr>
      <w:tr w:rsidR="006A7D22" w:rsidRPr="006A7D22" w:rsidTr="00C4769B">
        <w:trPr>
          <w:trHeight w:val="300"/>
        </w:trPr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lang w:eastAsia="en-US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60%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10.36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34.5</w:t>
            </w: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5.1%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9.56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105.36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5.36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4.8%</w:t>
            </w:r>
          </w:p>
        </w:tc>
      </w:tr>
      <w:tr w:rsidR="006A7D22" w:rsidRPr="006A7D22" w:rsidTr="00C4769B">
        <w:trPr>
          <w:trHeight w:val="300"/>
        </w:trPr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lang w:eastAsia="en-US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65%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10.10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33.7</w:t>
            </w: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7.4%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9.56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108.03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8.03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7.2%</w:t>
            </w:r>
          </w:p>
        </w:tc>
      </w:tr>
      <w:tr w:rsidR="006A7D22" w:rsidRPr="006A7D22" w:rsidTr="00C4769B">
        <w:trPr>
          <w:trHeight w:val="300"/>
        </w:trPr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lang w:eastAsia="en-US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70%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9.85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32.8</w:t>
            </w: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9.7%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9.56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110.73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10.73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9.6%</w:t>
            </w:r>
          </w:p>
        </w:tc>
      </w:tr>
      <w:tr w:rsidR="006A7D22" w:rsidRPr="006A7D22" w:rsidTr="00C4769B">
        <w:trPr>
          <w:trHeight w:val="300"/>
        </w:trPr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lang w:eastAsia="en-US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color w:val="000000"/>
                <w:sz w:val="18"/>
                <w:szCs w:val="22"/>
                <w:lang w:eastAsia="en-US"/>
              </w:rPr>
              <w:t>75%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color w:val="000000"/>
                <w:sz w:val="18"/>
                <w:szCs w:val="22"/>
                <w:lang w:eastAsia="en-US"/>
              </w:rPr>
              <w:t>9.49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color w:val="000000"/>
                <w:sz w:val="18"/>
                <w:szCs w:val="22"/>
                <w:lang w:eastAsia="en-US"/>
              </w:rPr>
              <w:t>31.6</w:t>
            </w: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color w:val="000000"/>
                <w:sz w:val="18"/>
                <w:szCs w:val="22"/>
                <w:lang w:eastAsia="en-US"/>
              </w:rPr>
              <w:t>13.0%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color w:val="000000"/>
                <w:sz w:val="18"/>
                <w:szCs w:val="22"/>
                <w:lang w:eastAsia="en-US"/>
              </w:rPr>
              <w:t>9.56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color w:val="000000"/>
                <w:sz w:val="18"/>
                <w:szCs w:val="22"/>
                <w:lang w:eastAsia="en-US"/>
              </w:rPr>
              <w:t>114.92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color w:val="000000"/>
                <w:sz w:val="18"/>
                <w:szCs w:val="22"/>
                <w:lang w:eastAsia="en-US"/>
              </w:rPr>
              <w:t>14.92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color w:val="000000"/>
                <w:sz w:val="18"/>
                <w:szCs w:val="22"/>
                <w:lang w:eastAsia="en-US"/>
              </w:rPr>
              <w:t>13.3%</w:t>
            </w:r>
          </w:p>
        </w:tc>
      </w:tr>
      <w:tr w:rsidR="006A7D22" w:rsidRPr="006A7D22" w:rsidTr="00C4769B">
        <w:trPr>
          <w:trHeight w:val="300"/>
        </w:trPr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lang w:eastAsia="en-US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80%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9.13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30.4</w:t>
            </w: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16.3%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9.56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119.49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19.49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17.4%</w:t>
            </w:r>
          </w:p>
        </w:tc>
      </w:tr>
      <w:tr w:rsidR="006A7D22" w:rsidRPr="006A7D22" w:rsidTr="00C4769B">
        <w:trPr>
          <w:trHeight w:val="300"/>
        </w:trPr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lang w:eastAsia="en-US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85%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8.67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28.9</w:t>
            </w: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20.6%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9.56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125.91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25.91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23.1%</w:t>
            </w:r>
          </w:p>
        </w:tc>
      </w:tr>
      <w:tr w:rsidR="006A7D22" w:rsidRPr="006A7D22" w:rsidTr="00C4769B">
        <w:trPr>
          <w:trHeight w:val="300"/>
        </w:trPr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lang w:eastAsia="en-US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color w:val="000000"/>
                <w:sz w:val="18"/>
                <w:szCs w:val="22"/>
                <w:lang w:eastAsia="en-US"/>
              </w:rPr>
              <w:t>90%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color w:val="000000"/>
                <w:sz w:val="18"/>
                <w:szCs w:val="22"/>
                <w:lang w:eastAsia="en-US"/>
              </w:rPr>
              <w:t>8.27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color w:val="000000"/>
                <w:sz w:val="18"/>
                <w:szCs w:val="22"/>
                <w:lang w:eastAsia="en-US"/>
              </w:rPr>
              <w:t>27.6</w:t>
            </w: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color w:val="000000"/>
                <w:sz w:val="18"/>
                <w:szCs w:val="22"/>
                <w:lang w:eastAsia="en-US"/>
              </w:rPr>
              <w:t>24.2%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color w:val="000000"/>
                <w:sz w:val="18"/>
                <w:szCs w:val="22"/>
                <w:lang w:eastAsia="en-US"/>
              </w:rPr>
              <w:t>9.56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color w:val="000000"/>
                <w:sz w:val="18"/>
                <w:szCs w:val="22"/>
                <w:lang w:eastAsia="en-US"/>
              </w:rPr>
              <w:t>131.99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color w:val="000000"/>
                <w:sz w:val="18"/>
                <w:szCs w:val="22"/>
                <w:lang w:eastAsia="en-US"/>
              </w:rPr>
              <w:t>31.99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b/>
                <w:color w:val="000000"/>
                <w:sz w:val="18"/>
                <w:szCs w:val="22"/>
                <w:lang w:eastAsia="en-US"/>
              </w:rPr>
              <w:t>28.6%</w:t>
            </w:r>
          </w:p>
        </w:tc>
      </w:tr>
      <w:tr w:rsidR="006A7D22" w:rsidRPr="006A7D22" w:rsidTr="00C4769B">
        <w:trPr>
          <w:trHeight w:val="300"/>
        </w:trPr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lang w:eastAsia="en-US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95%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7.66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25.5</w:t>
            </w: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29.8%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9.56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142.50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42.50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D22" w:rsidRPr="006A7D22" w:rsidRDefault="006A7D22" w:rsidP="006A7D22">
            <w:pPr>
              <w:jc w:val="center"/>
              <w:rPr>
                <w:rFonts w:ascii="Calibri" w:hAnsi="Calibri"/>
                <w:color w:val="000000"/>
                <w:sz w:val="18"/>
                <w:lang w:eastAsia="en-US"/>
              </w:rPr>
            </w:pPr>
            <w:r w:rsidRPr="006A7D2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37.9%</w:t>
            </w:r>
          </w:p>
        </w:tc>
      </w:tr>
    </w:tbl>
    <w:p w:rsidR="00E01A41" w:rsidRPr="006A7D22" w:rsidRDefault="00E01A41" w:rsidP="00280B23">
      <w:pPr>
        <w:spacing w:line="288" w:lineRule="auto"/>
        <w:jc w:val="both"/>
        <w:rPr>
          <w:sz w:val="20"/>
          <w:szCs w:val="20"/>
        </w:rPr>
      </w:pPr>
    </w:p>
    <w:p w:rsidR="00280B23" w:rsidRDefault="00590DDF" w:rsidP="00280B23">
      <w:pPr>
        <w:spacing w:line="288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Destacamos três linhas na tabela 1. A primeira se refere ao critério atualmente utilizado, P50%. A segunda e a terceira se referem a níveis mais elevados de confiança, 75% e 90%, respectivamente. Do ponto de vista do financiador dos projetos, </w:t>
      </w:r>
      <w:r w:rsidR="003B2DA8">
        <w:rPr>
          <w:sz w:val="20"/>
          <w:szCs w:val="20"/>
        </w:rPr>
        <w:t xml:space="preserve">pode-se argumentar </w:t>
      </w:r>
      <w:r>
        <w:rPr>
          <w:sz w:val="20"/>
          <w:szCs w:val="20"/>
        </w:rPr>
        <w:t xml:space="preserve">que faz sentido exigir que os parques sejam viáveis </w:t>
      </w:r>
      <w:r w:rsidR="003B2DA8">
        <w:rPr>
          <w:sz w:val="20"/>
          <w:szCs w:val="20"/>
        </w:rPr>
        <w:t xml:space="preserve">mesmo </w:t>
      </w:r>
      <w:r>
        <w:rPr>
          <w:sz w:val="20"/>
          <w:szCs w:val="20"/>
        </w:rPr>
        <w:t xml:space="preserve">sob um nível de confiança alto, como o 90%. Isso porque </w:t>
      </w:r>
      <w:r w:rsidR="00CD28B8">
        <w:rPr>
          <w:sz w:val="20"/>
          <w:szCs w:val="20"/>
        </w:rPr>
        <w:t xml:space="preserve">(i) </w:t>
      </w:r>
      <w:r>
        <w:rPr>
          <w:sz w:val="20"/>
          <w:szCs w:val="20"/>
        </w:rPr>
        <w:t>os bancos financiadores são entidades avessas a risco</w:t>
      </w:r>
      <w:r w:rsidR="00EE521D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r w:rsidR="00CD28B8">
        <w:rPr>
          <w:sz w:val="20"/>
          <w:szCs w:val="20"/>
        </w:rPr>
        <w:t>(</w:t>
      </w:r>
      <w:proofErr w:type="gramStart"/>
      <w:r w:rsidR="00CD28B8">
        <w:rPr>
          <w:sz w:val="20"/>
          <w:szCs w:val="20"/>
        </w:rPr>
        <w:t>ii</w:t>
      </w:r>
      <w:proofErr w:type="gramEnd"/>
      <w:r w:rsidR="00CD28B8">
        <w:rPr>
          <w:sz w:val="20"/>
          <w:szCs w:val="20"/>
        </w:rPr>
        <w:t xml:space="preserve">) </w:t>
      </w:r>
      <w:r>
        <w:rPr>
          <w:sz w:val="20"/>
          <w:szCs w:val="20"/>
        </w:rPr>
        <w:t>não têm como atividade fim a produção de energia e, portanto, não possuem uma estratégia de proteção financeira concebida para anular o risco de baixa performance</w:t>
      </w:r>
      <w:r w:rsidR="00D17578">
        <w:rPr>
          <w:sz w:val="20"/>
          <w:szCs w:val="20"/>
        </w:rPr>
        <w:t xml:space="preserve"> dos parques</w:t>
      </w:r>
      <w:r w:rsidR="00EE521D">
        <w:rPr>
          <w:sz w:val="20"/>
          <w:szCs w:val="20"/>
        </w:rPr>
        <w:t>;</w:t>
      </w:r>
      <w:r>
        <w:rPr>
          <w:sz w:val="20"/>
          <w:szCs w:val="20"/>
        </w:rPr>
        <w:t xml:space="preserve"> e </w:t>
      </w:r>
      <w:r w:rsidR="00CD28B8">
        <w:rPr>
          <w:sz w:val="20"/>
          <w:szCs w:val="20"/>
        </w:rPr>
        <w:t xml:space="preserve">(iii) </w:t>
      </w:r>
      <w:r>
        <w:rPr>
          <w:sz w:val="20"/>
          <w:szCs w:val="20"/>
        </w:rPr>
        <w:t>recebem um pagamento fixo pelo financiamento</w:t>
      </w:r>
      <w:r w:rsidR="003B2DA8">
        <w:rPr>
          <w:sz w:val="20"/>
          <w:szCs w:val="20"/>
        </w:rPr>
        <w:t>,</w:t>
      </w:r>
      <w:r>
        <w:rPr>
          <w:sz w:val="20"/>
          <w:szCs w:val="20"/>
        </w:rPr>
        <w:t xml:space="preserve"> sem participar do </w:t>
      </w:r>
      <w:proofErr w:type="spellStart"/>
      <w:r w:rsidRPr="003B2DA8">
        <w:rPr>
          <w:i/>
          <w:sz w:val="20"/>
          <w:szCs w:val="20"/>
        </w:rPr>
        <w:t>upside</w:t>
      </w:r>
      <w:proofErr w:type="spellEnd"/>
      <w:r>
        <w:rPr>
          <w:sz w:val="20"/>
          <w:szCs w:val="20"/>
        </w:rPr>
        <w:t xml:space="preserve"> em caso de boa performance.</w:t>
      </w:r>
      <w:r w:rsidR="003B2DA8">
        <w:rPr>
          <w:sz w:val="20"/>
          <w:szCs w:val="20"/>
        </w:rPr>
        <w:t xml:space="preserve"> Assim, o financiador estará exposto ao risco de um eventual calote, em caso de baixa </w:t>
      </w:r>
      <w:proofErr w:type="gramStart"/>
      <w:r w:rsidR="003B2DA8">
        <w:rPr>
          <w:sz w:val="20"/>
          <w:szCs w:val="20"/>
        </w:rPr>
        <w:t>performance</w:t>
      </w:r>
      <w:proofErr w:type="gramEnd"/>
      <w:r w:rsidR="003B2DA8">
        <w:rPr>
          <w:sz w:val="20"/>
          <w:szCs w:val="20"/>
        </w:rPr>
        <w:t xml:space="preserve">, mas não recebe nada </w:t>
      </w:r>
      <w:r w:rsidR="00D17578">
        <w:rPr>
          <w:sz w:val="20"/>
          <w:szCs w:val="20"/>
        </w:rPr>
        <w:t xml:space="preserve">além </w:t>
      </w:r>
      <w:r w:rsidR="003B2DA8">
        <w:rPr>
          <w:sz w:val="20"/>
          <w:szCs w:val="20"/>
        </w:rPr>
        <w:t xml:space="preserve">em caso de boa performance. Logo, torna-se justificável uma alta exigência. Contudo, do ponto de vista </w:t>
      </w:r>
      <w:r w:rsidR="00576648">
        <w:rPr>
          <w:sz w:val="20"/>
          <w:szCs w:val="20"/>
        </w:rPr>
        <w:t>econômico-</w:t>
      </w:r>
      <w:r w:rsidR="003B2DA8">
        <w:rPr>
          <w:sz w:val="20"/>
          <w:szCs w:val="20"/>
        </w:rPr>
        <w:t>energético, o nível de confiança exigido tanto pelo sistema como pelas distribuidoras pode ser inferior ao exigido pelos financiadores</w:t>
      </w:r>
      <w:r w:rsidR="00576648">
        <w:rPr>
          <w:sz w:val="20"/>
          <w:szCs w:val="20"/>
        </w:rPr>
        <w:t xml:space="preserve"> (por exemplo, 75%), </w:t>
      </w:r>
      <w:r w:rsidR="003B2DA8">
        <w:rPr>
          <w:sz w:val="20"/>
          <w:szCs w:val="20"/>
        </w:rPr>
        <w:t xml:space="preserve">pois tanto o sistema como as distribuidoras têm mecanismos para diluir o risco de baixa </w:t>
      </w:r>
      <w:proofErr w:type="gramStart"/>
      <w:r w:rsidR="003B2DA8">
        <w:rPr>
          <w:sz w:val="20"/>
          <w:szCs w:val="20"/>
        </w:rPr>
        <w:t>performance</w:t>
      </w:r>
      <w:proofErr w:type="gramEnd"/>
      <w:r w:rsidR="003B2DA8">
        <w:rPr>
          <w:sz w:val="20"/>
          <w:szCs w:val="20"/>
        </w:rPr>
        <w:t>.</w:t>
      </w:r>
      <w:r w:rsidR="00525594">
        <w:rPr>
          <w:sz w:val="20"/>
          <w:szCs w:val="20"/>
        </w:rPr>
        <w:t xml:space="preserve"> </w:t>
      </w:r>
      <w:r w:rsidR="00576648">
        <w:rPr>
          <w:sz w:val="20"/>
          <w:szCs w:val="20"/>
        </w:rPr>
        <w:t>N</w:t>
      </w:r>
      <w:r w:rsidR="00525594">
        <w:rPr>
          <w:sz w:val="20"/>
          <w:szCs w:val="20"/>
        </w:rPr>
        <w:t>o</w:t>
      </w:r>
      <w:r w:rsidR="00576648">
        <w:rPr>
          <w:sz w:val="20"/>
          <w:szCs w:val="20"/>
        </w:rPr>
        <w:t xml:space="preserve"> caso do</w:t>
      </w:r>
      <w:r w:rsidR="00525594">
        <w:rPr>
          <w:sz w:val="20"/>
          <w:szCs w:val="20"/>
        </w:rPr>
        <w:t xml:space="preserve"> </w:t>
      </w:r>
      <w:r w:rsidR="00324B66">
        <w:rPr>
          <w:sz w:val="20"/>
          <w:szCs w:val="20"/>
        </w:rPr>
        <w:t>operador</w:t>
      </w:r>
      <w:r w:rsidR="00576648">
        <w:rPr>
          <w:sz w:val="20"/>
          <w:szCs w:val="20"/>
        </w:rPr>
        <w:t>, esse</w:t>
      </w:r>
      <w:r w:rsidR="00324B66">
        <w:rPr>
          <w:sz w:val="20"/>
          <w:szCs w:val="20"/>
        </w:rPr>
        <w:t xml:space="preserve"> </w:t>
      </w:r>
      <w:r w:rsidR="00525594">
        <w:rPr>
          <w:sz w:val="20"/>
          <w:szCs w:val="20"/>
        </w:rPr>
        <w:t xml:space="preserve">pode armazenar o excedente de geração eólica nos reservatórios </w:t>
      </w:r>
      <w:r w:rsidR="00576648">
        <w:rPr>
          <w:sz w:val="20"/>
          <w:szCs w:val="20"/>
        </w:rPr>
        <w:t>para utilizar em momentos de baixa afluência. N</w:t>
      </w:r>
      <w:r w:rsidR="00324B66">
        <w:rPr>
          <w:sz w:val="20"/>
          <w:szCs w:val="20"/>
        </w:rPr>
        <w:t>o caso d</w:t>
      </w:r>
      <w:r w:rsidR="00525594">
        <w:rPr>
          <w:sz w:val="20"/>
          <w:szCs w:val="20"/>
        </w:rPr>
        <w:t>as distribuidoras</w:t>
      </w:r>
      <w:r w:rsidR="00324B66">
        <w:rPr>
          <w:sz w:val="20"/>
          <w:szCs w:val="20"/>
        </w:rPr>
        <w:t xml:space="preserve">, </w:t>
      </w:r>
      <w:r w:rsidR="00525594">
        <w:rPr>
          <w:sz w:val="20"/>
          <w:szCs w:val="20"/>
        </w:rPr>
        <w:t xml:space="preserve">as compras de eventuais déficits no curto prazo </w:t>
      </w:r>
      <w:r w:rsidR="00324B66">
        <w:rPr>
          <w:sz w:val="20"/>
          <w:szCs w:val="20"/>
        </w:rPr>
        <w:t>podem ser compensadas pelas</w:t>
      </w:r>
      <w:r w:rsidR="00525594">
        <w:rPr>
          <w:sz w:val="20"/>
          <w:szCs w:val="20"/>
        </w:rPr>
        <w:t xml:space="preserve"> venda dos excedentes.</w:t>
      </w:r>
      <w:r w:rsidR="00B34FB8">
        <w:rPr>
          <w:sz w:val="20"/>
          <w:szCs w:val="20"/>
        </w:rPr>
        <w:t xml:space="preserve"> </w:t>
      </w:r>
    </w:p>
    <w:p w:rsidR="000A429F" w:rsidRDefault="00B3168A" w:rsidP="00280B23">
      <w:pPr>
        <w:spacing w:line="288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:rsidR="00D17578" w:rsidRPr="000A429F" w:rsidRDefault="00B3168A" w:rsidP="00D17578">
      <w:pPr>
        <w:shd w:val="clear" w:color="auto" w:fill="D9D9D9" w:themeFill="background1" w:themeFillShade="D9"/>
        <w:spacing w:line="288" w:lineRule="auto"/>
        <w:jc w:val="both"/>
        <w:rPr>
          <w:sz w:val="20"/>
          <w:szCs w:val="20"/>
        </w:rPr>
      </w:pPr>
      <w:r w:rsidRPr="000A429F">
        <w:rPr>
          <w:sz w:val="20"/>
          <w:szCs w:val="20"/>
        </w:rPr>
        <w:t>A mudança do nível de confiabilidade da GF dos parques eólicos tr</w:t>
      </w:r>
      <w:r w:rsidR="001D0693">
        <w:rPr>
          <w:sz w:val="20"/>
          <w:szCs w:val="20"/>
        </w:rPr>
        <w:t>az</w:t>
      </w:r>
      <w:r w:rsidRPr="000A429F">
        <w:rPr>
          <w:sz w:val="20"/>
          <w:szCs w:val="20"/>
        </w:rPr>
        <w:t xml:space="preserve"> benefícios para o sistema</w:t>
      </w:r>
      <w:r w:rsidR="00B73FD5" w:rsidRPr="000A429F">
        <w:rPr>
          <w:sz w:val="20"/>
          <w:szCs w:val="20"/>
        </w:rPr>
        <w:t>, mas também tr</w:t>
      </w:r>
      <w:r w:rsidR="001D0693">
        <w:rPr>
          <w:sz w:val="20"/>
          <w:szCs w:val="20"/>
        </w:rPr>
        <w:t>az</w:t>
      </w:r>
      <w:r w:rsidR="00B73FD5" w:rsidRPr="000A429F">
        <w:rPr>
          <w:sz w:val="20"/>
          <w:szCs w:val="20"/>
        </w:rPr>
        <w:t xml:space="preserve"> um custo. Além disso, </w:t>
      </w:r>
      <w:r w:rsidR="00B73FD5" w:rsidRPr="00F9670A">
        <w:rPr>
          <w:b/>
          <w:sz w:val="20"/>
          <w:szCs w:val="20"/>
        </w:rPr>
        <w:t xml:space="preserve">é importante ressaltar que a competitividade dessa fonte, frente às demais concorrentes nos leilões, </w:t>
      </w:r>
      <w:r w:rsidR="00576648" w:rsidRPr="00F9670A">
        <w:rPr>
          <w:b/>
          <w:sz w:val="20"/>
          <w:szCs w:val="20"/>
        </w:rPr>
        <w:t>pode ficar bastante</w:t>
      </w:r>
      <w:r w:rsidR="00B73FD5" w:rsidRPr="00F9670A">
        <w:rPr>
          <w:b/>
          <w:sz w:val="20"/>
          <w:szCs w:val="20"/>
        </w:rPr>
        <w:t xml:space="preserve"> prejudica </w:t>
      </w:r>
      <w:proofErr w:type="gramStart"/>
      <w:r w:rsidR="00B73FD5" w:rsidRPr="00F9670A">
        <w:rPr>
          <w:b/>
          <w:sz w:val="20"/>
          <w:szCs w:val="20"/>
        </w:rPr>
        <w:t>à</w:t>
      </w:r>
      <w:proofErr w:type="gramEnd"/>
      <w:r w:rsidR="00B73FD5" w:rsidRPr="00F9670A">
        <w:rPr>
          <w:b/>
          <w:sz w:val="20"/>
          <w:szCs w:val="20"/>
        </w:rPr>
        <w:t xml:space="preserve"> medida que a confiabilidade de sua GF</w:t>
      </w:r>
      <w:r w:rsidR="00764BB8" w:rsidRPr="00F9670A">
        <w:rPr>
          <w:b/>
          <w:sz w:val="20"/>
          <w:szCs w:val="20"/>
        </w:rPr>
        <w:t xml:space="preserve"> </w:t>
      </w:r>
      <w:r w:rsidR="00576648" w:rsidRPr="00F9670A">
        <w:rPr>
          <w:b/>
          <w:sz w:val="20"/>
          <w:szCs w:val="20"/>
        </w:rPr>
        <w:t xml:space="preserve">seja acrescida a valores </w:t>
      </w:r>
      <w:r w:rsidR="004630F0" w:rsidRPr="00F9670A">
        <w:rPr>
          <w:b/>
          <w:sz w:val="20"/>
          <w:szCs w:val="20"/>
        </w:rPr>
        <w:t>de alta aversão a risco</w:t>
      </w:r>
      <w:r w:rsidR="000A429F" w:rsidRPr="00F9670A">
        <w:rPr>
          <w:b/>
          <w:sz w:val="20"/>
          <w:szCs w:val="20"/>
        </w:rPr>
        <w:t>,</w:t>
      </w:r>
      <w:r w:rsidR="00362DBE" w:rsidRPr="00F9670A">
        <w:rPr>
          <w:b/>
          <w:sz w:val="20"/>
          <w:szCs w:val="20"/>
        </w:rPr>
        <w:t xml:space="preserve"> como </w:t>
      </w:r>
      <w:r w:rsidR="000A429F" w:rsidRPr="00F9670A">
        <w:rPr>
          <w:b/>
          <w:sz w:val="20"/>
          <w:szCs w:val="20"/>
        </w:rPr>
        <w:t>é o caso d</w:t>
      </w:r>
      <w:r w:rsidR="00362DBE" w:rsidRPr="00F9670A">
        <w:rPr>
          <w:b/>
          <w:sz w:val="20"/>
          <w:szCs w:val="20"/>
        </w:rPr>
        <w:t>o P90</w:t>
      </w:r>
      <w:r w:rsidR="000A429F">
        <w:rPr>
          <w:sz w:val="20"/>
          <w:szCs w:val="20"/>
        </w:rPr>
        <w:t xml:space="preserve"> – exigido por bancos e instituições financiadoras</w:t>
      </w:r>
      <w:r w:rsidR="00B73FD5" w:rsidRPr="000A429F">
        <w:rPr>
          <w:sz w:val="20"/>
          <w:szCs w:val="20"/>
        </w:rPr>
        <w:t>.</w:t>
      </w:r>
      <w:r w:rsidR="002567A8" w:rsidRPr="000A429F">
        <w:rPr>
          <w:sz w:val="20"/>
          <w:szCs w:val="20"/>
        </w:rPr>
        <w:t xml:space="preserve"> Assim, antes de </w:t>
      </w:r>
      <w:r w:rsidR="004630F0" w:rsidRPr="000A429F">
        <w:rPr>
          <w:sz w:val="20"/>
          <w:szCs w:val="20"/>
        </w:rPr>
        <w:t>uma eventual alteração</w:t>
      </w:r>
      <w:r w:rsidR="002567A8" w:rsidRPr="000A429F">
        <w:rPr>
          <w:sz w:val="20"/>
          <w:szCs w:val="20"/>
        </w:rPr>
        <w:t xml:space="preserve">, deve-se estudar </w:t>
      </w:r>
      <w:r w:rsidR="00CD28B8" w:rsidRPr="000A429F">
        <w:rPr>
          <w:sz w:val="20"/>
          <w:szCs w:val="20"/>
        </w:rPr>
        <w:t>o efeito composto do aumento do preço da energia eólica</w:t>
      </w:r>
      <w:r w:rsidR="004630F0" w:rsidRPr="000A429F">
        <w:rPr>
          <w:sz w:val="20"/>
          <w:szCs w:val="20"/>
        </w:rPr>
        <w:t xml:space="preserve"> frente ao benefício da confiabilidade sistêmica</w:t>
      </w:r>
      <w:r w:rsidR="00CD28B8" w:rsidRPr="000A429F">
        <w:rPr>
          <w:sz w:val="20"/>
          <w:szCs w:val="20"/>
        </w:rPr>
        <w:t>.</w:t>
      </w:r>
      <w:r w:rsidR="004630F0" w:rsidRPr="000A429F">
        <w:rPr>
          <w:sz w:val="20"/>
          <w:szCs w:val="20"/>
        </w:rPr>
        <w:t xml:space="preserve"> </w:t>
      </w:r>
    </w:p>
    <w:p w:rsidR="000A429F" w:rsidRDefault="000A429F" w:rsidP="00280B23">
      <w:pPr>
        <w:spacing w:line="288" w:lineRule="auto"/>
        <w:jc w:val="both"/>
        <w:rPr>
          <w:sz w:val="20"/>
          <w:szCs w:val="20"/>
        </w:rPr>
      </w:pPr>
    </w:p>
    <w:p w:rsidR="00F9670A" w:rsidRDefault="00F9670A" w:rsidP="00280B23">
      <w:pPr>
        <w:spacing w:line="288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energia eólica não é a melhor fonte para ser usada como promotora da garantia de segurança do sistema. Esse papel é desempenhado de maneira muito mais eficiente por fontes controláveis (despacháveis), como térmicas e hidrelétricas com reservatórios. Assim, o uso de valores intermediários de confiabilidade para </w:t>
      </w:r>
      <w:proofErr w:type="gramStart"/>
      <w:r>
        <w:rPr>
          <w:sz w:val="20"/>
          <w:szCs w:val="20"/>
        </w:rPr>
        <w:t>a GF</w:t>
      </w:r>
      <w:proofErr w:type="gramEnd"/>
      <w:r>
        <w:rPr>
          <w:sz w:val="20"/>
          <w:szCs w:val="20"/>
        </w:rPr>
        <w:t xml:space="preserve"> das eólicas, entre P50% e P90%, pode ser justificado à medida que esta fonte tenha um papel secundário na matriz energética e que sua variabilidade possa ser energeticamente assimilada pelo sistema e pelas distribuidoras.</w:t>
      </w:r>
    </w:p>
    <w:p w:rsidR="00F9670A" w:rsidRDefault="00F9670A" w:rsidP="00280B23">
      <w:pPr>
        <w:spacing w:line="288" w:lineRule="auto"/>
        <w:jc w:val="both"/>
        <w:rPr>
          <w:sz w:val="20"/>
          <w:szCs w:val="20"/>
        </w:rPr>
      </w:pPr>
    </w:p>
    <w:p w:rsidR="00B3168A" w:rsidRPr="004B42F4" w:rsidRDefault="00D17578" w:rsidP="00280B23">
      <w:pPr>
        <w:spacing w:line="288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Está além do escopo desta nota técnica sugerir um valor para a confiabilida</w:t>
      </w:r>
      <w:r w:rsidR="008D2720">
        <w:rPr>
          <w:sz w:val="20"/>
          <w:szCs w:val="20"/>
        </w:rPr>
        <w:t>de da GF dos novos parques. Esta</w:t>
      </w:r>
      <w:r>
        <w:rPr>
          <w:sz w:val="20"/>
          <w:szCs w:val="20"/>
        </w:rPr>
        <w:t xml:space="preserve"> se limita apenas a evidenciar e discutir os principais efeitos decorrentes desta medida.</w:t>
      </w:r>
      <w:r w:rsidR="008D2720">
        <w:rPr>
          <w:sz w:val="20"/>
          <w:szCs w:val="20"/>
        </w:rPr>
        <w:t xml:space="preserve"> </w:t>
      </w:r>
    </w:p>
    <w:p w:rsidR="00280B23" w:rsidRDefault="00280B23" w:rsidP="00280B23">
      <w:pPr>
        <w:spacing w:line="288" w:lineRule="auto"/>
        <w:jc w:val="both"/>
      </w:pPr>
    </w:p>
    <w:p w:rsidR="008F1C3A" w:rsidRDefault="008F1C3A" w:rsidP="008F1C3A">
      <w:pPr>
        <w:numPr>
          <w:ilvl w:val="0"/>
          <w:numId w:val="1"/>
        </w:numPr>
        <w:spacing w:line="276" w:lineRule="auto"/>
        <w:ind w:left="0"/>
        <w:jc w:val="center"/>
        <w:rPr>
          <w:b/>
        </w:rPr>
      </w:pPr>
      <w:r>
        <w:rPr>
          <w:b/>
        </w:rPr>
        <w:t xml:space="preserve">EFEITOS </w:t>
      </w:r>
      <w:r w:rsidR="00CD28B8">
        <w:rPr>
          <w:b/>
        </w:rPr>
        <w:t>SECUNDÁRIOS</w:t>
      </w:r>
    </w:p>
    <w:p w:rsidR="000A429F" w:rsidRDefault="007A7CFD" w:rsidP="0097435F">
      <w:pPr>
        <w:spacing w:line="288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Um </w:t>
      </w:r>
      <w:r w:rsidR="001D0693">
        <w:rPr>
          <w:sz w:val="20"/>
          <w:szCs w:val="20"/>
        </w:rPr>
        <w:t xml:space="preserve">primeiro </w:t>
      </w:r>
      <w:r>
        <w:rPr>
          <w:sz w:val="20"/>
          <w:szCs w:val="20"/>
        </w:rPr>
        <w:t>efeito secundário</w:t>
      </w:r>
      <w:r w:rsidR="007C1FDD">
        <w:rPr>
          <w:sz w:val="20"/>
          <w:szCs w:val="20"/>
        </w:rPr>
        <w:t>,</w:t>
      </w:r>
      <w:r>
        <w:rPr>
          <w:sz w:val="20"/>
          <w:szCs w:val="20"/>
        </w:rPr>
        <w:t xml:space="preserve"> negativo</w:t>
      </w:r>
      <w:r w:rsidR="007C1FDD">
        <w:rPr>
          <w:sz w:val="20"/>
          <w:szCs w:val="20"/>
        </w:rPr>
        <w:t>,</w:t>
      </w:r>
      <w:r>
        <w:rPr>
          <w:sz w:val="20"/>
          <w:szCs w:val="20"/>
        </w:rPr>
        <w:t xml:space="preserve"> associado a um acréscimo no nível de confiabilidade da GF dos parques eólicos </w:t>
      </w:r>
      <w:r w:rsidR="007C1FDD">
        <w:rPr>
          <w:sz w:val="20"/>
          <w:szCs w:val="20"/>
        </w:rPr>
        <w:t xml:space="preserve">é o grau de incerteza a que o percentil está sujeito. O percentil pode ser visto como uma estatística de ordem </w:t>
      </w:r>
      <w:r w:rsidR="003B62E6">
        <w:rPr>
          <w:sz w:val="20"/>
          <w:szCs w:val="20"/>
        </w:rPr>
        <w:fldChar w:fldCharType="begin"/>
      </w:r>
      <w:r w:rsidR="007C1FDD">
        <w:rPr>
          <w:sz w:val="20"/>
          <w:szCs w:val="20"/>
        </w:rPr>
        <w:instrText xml:space="preserve"> REF _Ref349925163 \n \h </w:instrText>
      </w:r>
      <w:r w:rsidR="003B62E6">
        <w:rPr>
          <w:sz w:val="20"/>
          <w:szCs w:val="20"/>
        </w:rPr>
      </w:r>
      <w:r w:rsidR="003B62E6">
        <w:rPr>
          <w:sz w:val="20"/>
          <w:szCs w:val="20"/>
        </w:rPr>
        <w:fldChar w:fldCharType="separate"/>
      </w:r>
      <w:r w:rsidR="00BD5E6C">
        <w:rPr>
          <w:sz w:val="20"/>
          <w:szCs w:val="20"/>
        </w:rPr>
        <w:t>[3]</w:t>
      </w:r>
      <w:r w:rsidR="003B62E6">
        <w:rPr>
          <w:sz w:val="20"/>
          <w:szCs w:val="20"/>
        </w:rPr>
        <w:fldChar w:fldCharType="end"/>
      </w:r>
      <w:r w:rsidR="007C1FDD">
        <w:rPr>
          <w:sz w:val="20"/>
          <w:szCs w:val="20"/>
        </w:rPr>
        <w:t xml:space="preserve"> e o erro amostral aumenta com o </w:t>
      </w:r>
      <w:r w:rsidR="008D2720">
        <w:rPr>
          <w:sz w:val="20"/>
          <w:szCs w:val="20"/>
        </w:rPr>
        <w:t xml:space="preserve">aumento do </w:t>
      </w:r>
      <w:r w:rsidR="007C1FDD">
        <w:rPr>
          <w:sz w:val="20"/>
          <w:szCs w:val="20"/>
        </w:rPr>
        <w:t xml:space="preserve">nível de confiança </w:t>
      </w:r>
      <m:oMath>
        <m:r>
          <w:rPr>
            <w:rFonts w:ascii="Cambria Math" w:hAnsi="Cambria Math"/>
            <w:sz w:val="20"/>
            <w:szCs w:val="20"/>
          </w:rPr>
          <m:t>α</m:t>
        </m:r>
      </m:oMath>
      <w:r w:rsidR="007C1FDD">
        <w:rPr>
          <w:sz w:val="20"/>
          <w:szCs w:val="20"/>
        </w:rPr>
        <w:t xml:space="preserve">. </w:t>
      </w:r>
      <w:r w:rsidR="008D2720">
        <w:rPr>
          <w:sz w:val="20"/>
          <w:szCs w:val="20"/>
        </w:rPr>
        <w:t>P</w:t>
      </w:r>
      <w:r w:rsidR="0097435F">
        <w:rPr>
          <w:sz w:val="20"/>
          <w:szCs w:val="20"/>
        </w:rPr>
        <w:t xml:space="preserve">ercentis associados a </w:t>
      </w:r>
      <w:r w:rsidR="008D2720">
        <w:rPr>
          <w:sz w:val="20"/>
          <w:szCs w:val="20"/>
        </w:rPr>
        <w:t xml:space="preserve">elevados </w:t>
      </w:r>
      <w:r w:rsidR="0097435F">
        <w:rPr>
          <w:sz w:val="20"/>
          <w:szCs w:val="20"/>
        </w:rPr>
        <w:t>níveis de confiança, por exemplo, 90%, dependem de eventos de baixa probabilidade de ocorrência (menor que 10%) para serem definidos. Assim, o tamanho da amostra necessário para que es</w:t>
      </w:r>
      <w:r w:rsidR="00EE521D">
        <w:rPr>
          <w:sz w:val="20"/>
          <w:szCs w:val="20"/>
        </w:rPr>
        <w:t>s</w:t>
      </w:r>
      <w:r w:rsidR="0097435F">
        <w:rPr>
          <w:sz w:val="20"/>
          <w:szCs w:val="20"/>
        </w:rPr>
        <w:t xml:space="preserve">es percentis estejam bem estimados, com um baixo erro amostral associado, é muito maior que o tamanho da amostra necessário para estimar precisamente </w:t>
      </w:r>
      <w:proofErr w:type="spellStart"/>
      <w:r w:rsidR="0097435F">
        <w:rPr>
          <w:sz w:val="20"/>
          <w:szCs w:val="20"/>
        </w:rPr>
        <w:t>quantis</w:t>
      </w:r>
      <w:proofErr w:type="spellEnd"/>
      <w:r w:rsidR="0097435F">
        <w:rPr>
          <w:sz w:val="20"/>
          <w:szCs w:val="20"/>
        </w:rPr>
        <w:t xml:space="preserve"> próximos a 50%. </w:t>
      </w:r>
      <w:r w:rsidR="0097435F" w:rsidRPr="007E7E19">
        <w:rPr>
          <w:sz w:val="20"/>
          <w:szCs w:val="20"/>
        </w:rPr>
        <w:t>Como os históricos que temos são relativamente curtos</w:t>
      </w:r>
      <w:r w:rsidR="000E0499" w:rsidRPr="007E7E19">
        <w:rPr>
          <w:sz w:val="20"/>
          <w:szCs w:val="20"/>
        </w:rPr>
        <w:t xml:space="preserve"> –</w:t>
      </w:r>
      <w:r w:rsidR="0097435F" w:rsidRPr="007E7E19">
        <w:rPr>
          <w:sz w:val="20"/>
          <w:szCs w:val="20"/>
        </w:rPr>
        <w:t xml:space="preserve"> no caso do conjunto de dados utilizado nesse estudo igual </w:t>
      </w:r>
      <w:proofErr w:type="gramStart"/>
      <w:r w:rsidR="0097435F" w:rsidRPr="007E7E19">
        <w:rPr>
          <w:sz w:val="20"/>
          <w:szCs w:val="20"/>
        </w:rPr>
        <w:t>a</w:t>
      </w:r>
      <w:proofErr w:type="gramEnd"/>
      <w:r w:rsidR="0097435F" w:rsidRPr="007E7E19">
        <w:rPr>
          <w:sz w:val="20"/>
          <w:szCs w:val="20"/>
        </w:rPr>
        <w:t xml:space="preserve"> 31 anos (obtidos com um processo de reconstrução do histórico </w:t>
      </w:r>
      <w:r w:rsidR="007F02B9" w:rsidRPr="007E7E19">
        <w:rPr>
          <w:sz w:val="20"/>
          <w:szCs w:val="20"/>
        </w:rPr>
        <w:t xml:space="preserve">para a usina </w:t>
      </w:r>
      <w:proofErr w:type="spellStart"/>
      <w:r w:rsidR="007F02B9" w:rsidRPr="007E7E19">
        <w:rPr>
          <w:sz w:val="20"/>
          <w:szCs w:val="20"/>
        </w:rPr>
        <w:t>Icaraizinho</w:t>
      </w:r>
      <w:proofErr w:type="spellEnd"/>
      <w:r w:rsidR="007F02B9" w:rsidRPr="007E7E19">
        <w:rPr>
          <w:sz w:val="20"/>
          <w:szCs w:val="20"/>
        </w:rPr>
        <w:t xml:space="preserve"> </w:t>
      </w:r>
      <w:r w:rsidR="0097435F" w:rsidRPr="007E7E19">
        <w:rPr>
          <w:sz w:val="20"/>
          <w:szCs w:val="20"/>
        </w:rPr>
        <w:t xml:space="preserve">– ver </w:t>
      </w:r>
      <w:r w:rsidR="00C0192F">
        <w:fldChar w:fldCharType="begin"/>
      </w:r>
      <w:r w:rsidR="00C0192F">
        <w:instrText xml:space="preserve"> REF _Ref349926398 \n \h  \* MERGEFORMAT </w:instrText>
      </w:r>
      <w:r w:rsidR="00C0192F">
        <w:fldChar w:fldCharType="separate"/>
      </w:r>
      <w:r w:rsidR="00BD5E6C" w:rsidRPr="00BD5E6C">
        <w:rPr>
          <w:sz w:val="20"/>
          <w:szCs w:val="20"/>
        </w:rPr>
        <w:t>[4]</w:t>
      </w:r>
      <w:r w:rsidR="00C0192F">
        <w:fldChar w:fldCharType="end"/>
      </w:r>
      <w:r w:rsidR="0097435F" w:rsidRPr="007E7E19">
        <w:rPr>
          <w:sz w:val="20"/>
          <w:szCs w:val="20"/>
        </w:rPr>
        <w:t>)</w:t>
      </w:r>
      <w:r w:rsidR="000E0499" w:rsidRPr="007E7E19">
        <w:rPr>
          <w:sz w:val="20"/>
          <w:szCs w:val="20"/>
        </w:rPr>
        <w:t xml:space="preserve"> –,</w:t>
      </w:r>
      <w:r w:rsidR="007E7E19">
        <w:rPr>
          <w:sz w:val="20"/>
          <w:szCs w:val="20"/>
        </w:rPr>
        <w:t xml:space="preserve"> percentis altos ficam expostos a uma quantidade muito baixas de dados</w:t>
      </w:r>
      <w:r w:rsidR="007F02B9" w:rsidRPr="007E7E19">
        <w:rPr>
          <w:sz w:val="20"/>
          <w:szCs w:val="20"/>
        </w:rPr>
        <w:t>.</w:t>
      </w:r>
      <w:r w:rsidR="00AE4C52">
        <w:rPr>
          <w:sz w:val="20"/>
          <w:szCs w:val="20"/>
        </w:rPr>
        <w:t xml:space="preserve"> </w:t>
      </w:r>
      <w:r w:rsidR="000D321A">
        <w:rPr>
          <w:sz w:val="20"/>
          <w:szCs w:val="20"/>
        </w:rPr>
        <w:t>De maneira simplificada, c</w:t>
      </w:r>
      <w:r w:rsidR="00AE4C52">
        <w:rPr>
          <w:sz w:val="20"/>
          <w:szCs w:val="20"/>
        </w:rPr>
        <w:t xml:space="preserve">omo os percentis são definidos por mês, o </w:t>
      </w:r>
      <w:r w:rsidR="008D2720">
        <w:rPr>
          <w:sz w:val="20"/>
          <w:szCs w:val="20"/>
        </w:rPr>
        <w:t>percentil</w:t>
      </w:r>
      <w:r w:rsidR="00AE4C52">
        <w:rPr>
          <w:sz w:val="20"/>
          <w:szCs w:val="20"/>
        </w:rPr>
        <w:t xml:space="preserve"> de 90% conta com </w:t>
      </w:r>
      <w:proofErr w:type="gramStart"/>
      <w:r w:rsidR="00AE4C52">
        <w:rPr>
          <w:sz w:val="20"/>
          <w:szCs w:val="20"/>
        </w:rPr>
        <w:t>3</w:t>
      </w:r>
      <w:proofErr w:type="gramEnd"/>
      <w:r w:rsidR="00AE4C52">
        <w:rPr>
          <w:sz w:val="20"/>
          <w:szCs w:val="20"/>
        </w:rPr>
        <w:t xml:space="preserve"> dados observados abaixo do seu valor. Já o de 50% co</w:t>
      </w:r>
      <w:r w:rsidR="00FC693E">
        <w:rPr>
          <w:sz w:val="20"/>
          <w:szCs w:val="20"/>
        </w:rPr>
        <w:t xml:space="preserve">nta com uma quantidade cinco vezes maior, </w:t>
      </w:r>
      <w:r w:rsidR="00AE4C52">
        <w:rPr>
          <w:sz w:val="20"/>
          <w:szCs w:val="20"/>
        </w:rPr>
        <w:t>15</w:t>
      </w:r>
      <w:r w:rsidR="00FC693E">
        <w:rPr>
          <w:sz w:val="20"/>
          <w:szCs w:val="20"/>
        </w:rPr>
        <w:t xml:space="preserve"> dados</w:t>
      </w:r>
      <w:r w:rsidR="00AE4C52">
        <w:rPr>
          <w:sz w:val="20"/>
          <w:szCs w:val="20"/>
        </w:rPr>
        <w:t xml:space="preserve">. </w:t>
      </w:r>
    </w:p>
    <w:p w:rsidR="000A429F" w:rsidRDefault="000A429F" w:rsidP="0097435F">
      <w:pPr>
        <w:spacing w:line="288" w:lineRule="auto"/>
        <w:jc w:val="both"/>
        <w:rPr>
          <w:sz w:val="20"/>
          <w:szCs w:val="20"/>
        </w:rPr>
      </w:pPr>
    </w:p>
    <w:p w:rsidR="00280B23" w:rsidRDefault="00B13611" w:rsidP="000A429F">
      <w:pPr>
        <w:shd w:val="clear" w:color="auto" w:fill="D9D9D9" w:themeFill="background1" w:themeFillShade="D9"/>
        <w:spacing w:line="288" w:lineRule="auto"/>
        <w:jc w:val="both"/>
      </w:pPr>
      <w:r>
        <w:rPr>
          <w:sz w:val="20"/>
          <w:szCs w:val="20"/>
        </w:rPr>
        <w:t>Assim, é importante atentar para o erro</w:t>
      </w:r>
      <w:r w:rsidR="002E571B">
        <w:rPr>
          <w:sz w:val="20"/>
          <w:szCs w:val="20"/>
        </w:rPr>
        <w:t xml:space="preserve"> amostral</w:t>
      </w:r>
      <w:r>
        <w:rPr>
          <w:sz w:val="20"/>
          <w:szCs w:val="20"/>
        </w:rPr>
        <w:t xml:space="preserve"> que pode estar sendo cometido quando o nível de confiança é elevado a valores muito altos</w:t>
      </w:r>
      <w:r w:rsidR="002E571B">
        <w:rPr>
          <w:sz w:val="20"/>
          <w:szCs w:val="20"/>
        </w:rPr>
        <w:t>,</w:t>
      </w:r>
      <w:r w:rsidR="00362DBE">
        <w:rPr>
          <w:sz w:val="20"/>
          <w:szCs w:val="20"/>
        </w:rPr>
        <w:t xml:space="preserve"> como </w:t>
      </w:r>
      <w:r w:rsidR="002E571B">
        <w:rPr>
          <w:sz w:val="20"/>
          <w:szCs w:val="20"/>
        </w:rPr>
        <w:t>é o exemplo d</w:t>
      </w:r>
      <w:r w:rsidR="00362DBE">
        <w:rPr>
          <w:sz w:val="20"/>
          <w:szCs w:val="20"/>
        </w:rPr>
        <w:t>o P90</w:t>
      </w:r>
      <w:r>
        <w:rPr>
          <w:sz w:val="20"/>
          <w:szCs w:val="20"/>
        </w:rPr>
        <w:t xml:space="preserve">. </w:t>
      </w:r>
      <w:r w:rsidR="00E4016D">
        <w:rPr>
          <w:sz w:val="20"/>
          <w:szCs w:val="20"/>
        </w:rPr>
        <w:t xml:space="preserve">Neste caso, a competitividade estaria sendo </w:t>
      </w:r>
      <w:r w:rsidR="00362DBE">
        <w:rPr>
          <w:sz w:val="20"/>
          <w:szCs w:val="20"/>
        </w:rPr>
        <w:t xml:space="preserve">fortemente </w:t>
      </w:r>
      <w:r w:rsidR="00E4016D">
        <w:rPr>
          <w:sz w:val="20"/>
          <w:szCs w:val="20"/>
        </w:rPr>
        <w:t>comprometida</w:t>
      </w:r>
      <w:r w:rsidR="008D2720">
        <w:rPr>
          <w:sz w:val="20"/>
          <w:szCs w:val="20"/>
        </w:rPr>
        <w:t xml:space="preserve"> em troca de</w:t>
      </w:r>
      <w:r w:rsidR="00E4016D">
        <w:rPr>
          <w:sz w:val="20"/>
          <w:szCs w:val="20"/>
        </w:rPr>
        <w:t xml:space="preserve"> um ganho</w:t>
      </w:r>
      <w:r w:rsidR="00D358EB">
        <w:rPr>
          <w:sz w:val="20"/>
          <w:szCs w:val="20"/>
        </w:rPr>
        <w:t xml:space="preserve"> incerto</w:t>
      </w:r>
      <w:r w:rsidR="00E4016D">
        <w:rPr>
          <w:sz w:val="20"/>
          <w:szCs w:val="20"/>
        </w:rPr>
        <w:t>.</w:t>
      </w:r>
    </w:p>
    <w:p w:rsidR="00280B23" w:rsidRPr="001D0693" w:rsidRDefault="00280B23" w:rsidP="00280B23">
      <w:pPr>
        <w:rPr>
          <w:sz w:val="20"/>
        </w:rPr>
      </w:pPr>
    </w:p>
    <w:p w:rsidR="001D0693" w:rsidRDefault="001D0693" w:rsidP="003A22B5">
      <w:pPr>
        <w:ind w:firstLine="720"/>
        <w:jc w:val="both"/>
        <w:rPr>
          <w:sz w:val="20"/>
        </w:rPr>
      </w:pPr>
      <w:r w:rsidRPr="001D0693">
        <w:rPr>
          <w:sz w:val="20"/>
        </w:rPr>
        <w:t>A</w:t>
      </w:r>
      <w:r>
        <w:rPr>
          <w:sz w:val="20"/>
        </w:rPr>
        <w:t xml:space="preserve">inda no contexto da incerteza amostral, o erro amostral induzido na GF, que é a média dos percentis mensais, requer o conhecimento da probabilidade conjunta dessas estatísticas. Essa derivação não é trivial uma vez que se sabe que existe dependência temporal da produção de um período com os anteriores </w:t>
      </w:r>
      <w:r>
        <w:rPr>
          <w:sz w:val="20"/>
        </w:rPr>
        <w:fldChar w:fldCharType="begin"/>
      </w:r>
      <w:r>
        <w:rPr>
          <w:sz w:val="20"/>
        </w:rPr>
        <w:instrText xml:space="preserve"> REF _Ref344490223 \n \h </w:instrText>
      </w:r>
      <w:r>
        <w:rPr>
          <w:sz w:val="20"/>
        </w:rPr>
      </w:r>
      <w:r>
        <w:rPr>
          <w:sz w:val="20"/>
        </w:rPr>
        <w:fldChar w:fldCharType="separate"/>
      </w:r>
      <w:r w:rsidR="00BD5E6C">
        <w:rPr>
          <w:sz w:val="20"/>
        </w:rPr>
        <w:t>[2]</w:t>
      </w:r>
      <w:r>
        <w:rPr>
          <w:sz w:val="20"/>
        </w:rPr>
        <w:fldChar w:fldCharType="end"/>
      </w:r>
      <w:r>
        <w:rPr>
          <w:sz w:val="20"/>
        </w:rPr>
        <w:t xml:space="preserve">. Assim, para levantar o intervalo de confiança da GF, torna-se necessário um modelo que caracterize a dinâmica das probabilidades mensais. Em </w:t>
      </w:r>
      <w:r>
        <w:rPr>
          <w:sz w:val="20"/>
        </w:rPr>
        <w:fldChar w:fldCharType="begin"/>
      </w:r>
      <w:r>
        <w:rPr>
          <w:sz w:val="20"/>
        </w:rPr>
        <w:instrText xml:space="preserve"> REF _Ref344490223 \n \h </w:instrText>
      </w:r>
      <w:r>
        <w:rPr>
          <w:sz w:val="20"/>
        </w:rPr>
      </w:r>
      <w:r>
        <w:rPr>
          <w:sz w:val="20"/>
        </w:rPr>
        <w:fldChar w:fldCharType="separate"/>
      </w:r>
      <w:r w:rsidR="00BD5E6C">
        <w:rPr>
          <w:sz w:val="20"/>
        </w:rPr>
        <w:t>[2]</w:t>
      </w:r>
      <w:r>
        <w:rPr>
          <w:sz w:val="20"/>
        </w:rPr>
        <w:fldChar w:fldCharType="end"/>
      </w:r>
      <w:r>
        <w:rPr>
          <w:sz w:val="20"/>
        </w:rPr>
        <w:t xml:space="preserve"> um modelo de série temporal é proposto e pode ser usado para calcular o intervalo de confiança das </w:t>
      </w:r>
      <w:proofErr w:type="spellStart"/>
      <w:r>
        <w:rPr>
          <w:sz w:val="20"/>
        </w:rPr>
        <w:t>GF’s</w:t>
      </w:r>
      <w:proofErr w:type="spellEnd"/>
      <w:r>
        <w:rPr>
          <w:sz w:val="20"/>
        </w:rPr>
        <w:t xml:space="preserve"> sob uma confiabilidade qualquer através de simulação. </w:t>
      </w:r>
    </w:p>
    <w:p w:rsidR="00F1225E" w:rsidRDefault="001D0693" w:rsidP="001D0693">
      <w:pPr>
        <w:jc w:val="both"/>
        <w:rPr>
          <w:sz w:val="20"/>
        </w:rPr>
      </w:pPr>
      <w:r>
        <w:rPr>
          <w:sz w:val="20"/>
        </w:rPr>
        <w:tab/>
        <w:t xml:space="preserve">Um segundo </w:t>
      </w:r>
      <w:r w:rsidR="00F1225E">
        <w:rPr>
          <w:sz w:val="20"/>
        </w:rPr>
        <w:t>fato</w:t>
      </w:r>
      <w:r>
        <w:rPr>
          <w:sz w:val="20"/>
        </w:rPr>
        <w:t xml:space="preserve"> relevante para ser considerado na análise de impactos de uma eventual mudança de nível de confiabilidade </w:t>
      </w:r>
      <w:r w:rsidR="00F1225E">
        <w:rPr>
          <w:sz w:val="20"/>
        </w:rPr>
        <w:t xml:space="preserve">é a necessidade de ajustes nos contratos de disponibilidade e de energia de reserva para as eólicas. Algumas regras, como a revisão do montante de contrato com base na </w:t>
      </w:r>
      <w:proofErr w:type="gramStart"/>
      <w:r w:rsidR="00F1225E">
        <w:rPr>
          <w:sz w:val="20"/>
        </w:rPr>
        <w:t>performance</w:t>
      </w:r>
      <w:proofErr w:type="gramEnd"/>
      <w:r w:rsidR="00F1225E">
        <w:rPr>
          <w:sz w:val="20"/>
        </w:rPr>
        <w:t xml:space="preserve"> média do ultimo quadriênio seria inconsistente com um percentil superior a 50%. Além disso, eventuais sobras de liquidações no curto-prazo, dificilmente seriam consideradas por investidores para abaixar o preço encontrado na Tabela 1</w:t>
      </w:r>
      <w:r w:rsidR="005A5C0B">
        <w:rPr>
          <w:sz w:val="20"/>
        </w:rPr>
        <w:t xml:space="preserve"> (inclusive, considerar esse </w:t>
      </w:r>
      <w:proofErr w:type="spellStart"/>
      <w:r w:rsidR="005A5C0B">
        <w:rPr>
          <w:sz w:val="20"/>
        </w:rPr>
        <w:t>surplus</w:t>
      </w:r>
      <w:proofErr w:type="spellEnd"/>
      <w:r w:rsidR="005A5C0B">
        <w:rPr>
          <w:sz w:val="20"/>
        </w:rPr>
        <w:t xml:space="preserve"> vai contra o conceito de um contrato de disponibilidade)</w:t>
      </w:r>
      <w:r w:rsidR="00F1225E">
        <w:rPr>
          <w:sz w:val="20"/>
        </w:rPr>
        <w:t xml:space="preserve">. Assim, possivelmente o preço aumentaria como se o </w:t>
      </w:r>
      <w:proofErr w:type="spellStart"/>
      <w:r w:rsidR="00F1225E">
        <w:rPr>
          <w:sz w:val="20"/>
        </w:rPr>
        <w:t>surplus</w:t>
      </w:r>
      <w:proofErr w:type="spellEnd"/>
      <w:r w:rsidR="00F1225E">
        <w:rPr>
          <w:sz w:val="20"/>
        </w:rPr>
        <w:t xml:space="preserve"> não fosse ocorrer, mas esse não seria alocad</w:t>
      </w:r>
      <w:r w:rsidR="005A5C0B">
        <w:rPr>
          <w:sz w:val="20"/>
        </w:rPr>
        <w:t>o</w:t>
      </w:r>
      <w:r w:rsidR="00F1225E">
        <w:rPr>
          <w:sz w:val="20"/>
        </w:rPr>
        <w:t xml:space="preserve"> ao consumidor. </w:t>
      </w:r>
    </w:p>
    <w:p w:rsidR="001D0693" w:rsidRDefault="001D0693" w:rsidP="00280B23">
      <w:pPr>
        <w:rPr>
          <w:sz w:val="20"/>
        </w:rPr>
      </w:pPr>
    </w:p>
    <w:p w:rsidR="001D0693" w:rsidRPr="001D0693" w:rsidRDefault="001D0693" w:rsidP="00280B23">
      <w:pPr>
        <w:rPr>
          <w:sz w:val="20"/>
        </w:rPr>
      </w:pPr>
    </w:p>
    <w:p w:rsidR="00280B23" w:rsidRDefault="00280B23" w:rsidP="001D0693">
      <w:pPr>
        <w:keepNext/>
        <w:spacing w:after="240"/>
        <w:jc w:val="center"/>
        <w:outlineLvl w:val="0"/>
        <w:rPr>
          <w:b/>
        </w:rPr>
      </w:pPr>
      <w:r>
        <w:rPr>
          <w:b/>
        </w:rPr>
        <w:t>REFERÊNCIAS</w:t>
      </w:r>
    </w:p>
    <w:p w:rsidR="00280B23" w:rsidRPr="001D0693" w:rsidRDefault="00280B23" w:rsidP="00362DBE">
      <w:pPr>
        <w:pStyle w:val="References"/>
        <w:keepNext/>
        <w:numPr>
          <w:ilvl w:val="0"/>
          <w:numId w:val="3"/>
        </w:numPr>
        <w:autoSpaceDE w:val="0"/>
        <w:autoSpaceDN w:val="0"/>
        <w:spacing w:afterLines="60" w:after="144"/>
        <w:rPr>
          <w:sz w:val="20"/>
          <w:lang w:val="pt-BR"/>
        </w:rPr>
      </w:pPr>
      <w:bookmarkStart w:id="3" w:name="_Ref348435873"/>
      <w:bookmarkStart w:id="4" w:name="_Ref349835398"/>
      <w:r w:rsidRPr="001D0693">
        <w:rPr>
          <w:sz w:val="20"/>
          <w:lang w:val="pt-BR"/>
        </w:rPr>
        <w:t>PORTARIA No. 258, DE 28 DE JULHO DE 2008.</w:t>
      </w:r>
      <w:bookmarkEnd w:id="3"/>
      <w:r w:rsidRPr="001D0693">
        <w:rPr>
          <w:sz w:val="20"/>
          <w:lang w:val="pt-BR"/>
        </w:rPr>
        <w:t xml:space="preserve"> Disponível on-line em: http://www.aneel.gov.br/cedoc/prt2008258mme.pdf</w:t>
      </w:r>
      <w:bookmarkEnd w:id="4"/>
    </w:p>
    <w:p w:rsidR="00280B23" w:rsidRPr="001D0693" w:rsidRDefault="00280B23" w:rsidP="00362DBE">
      <w:pPr>
        <w:pStyle w:val="References"/>
        <w:keepNext/>
        <w:numPr>
          <w:ilvl w:val="0"/>
          <w:numId w:val="3"/>
        </w:numPr>
        <w:autoSpaceDE w:val="0"/>
        <w:autoSpaceDN w:val="0"/>
        <w:spacing w:afterLines="60" w:after="144"/>
        <w:ind w:left="357" w:hanging="357"/>
        <w:rPr>
          <w:sz w:val="20"/>
        </w:rPr>
      </w:pPr>
      <w:bookmarkStart w:id="5" w:name="_Ref344490223"/>
      <w:r w:rsidRPr="001D0693">
        <w:rPr>
          <w:sz w:val="20"/>
        </w:rPr>
        <w:t xml:space="preserve">B. </w:t>
      </w:r>
      <w:proofErr w:type="spellStart"/>
      <w:r w:rsidRPr="001D0693">
        <w:rPr>
          <w:sz w:val="20"/>
        </w:rPr>
        <w:t>Fanzeres</w:t>
      </w:r>
      <w:proofErr w:type="spellEnd"/>
      <w:r w:rsidRPr="001D0693">
        <w:rPr>
          <w:sz w:val="20"/>
        </w:rPr>
        <w:t xml:space="preserve">, A. Street, D. Lima, A. </w:t>
      </w:r>
      <w:proofErr w:type="spellStart"/>
      <w:r w:rsidRPr="001D0693">
        <w:rPr>
          <w:sz w:val="20"/>
        </w:rPr>
        <w:t>Veiga</w:t>
      </w:r>
      <w:proofErr w:type="spellEnd"/>
      <w:r w:rsidRPr="001D0693">
        <w:rPr>
          <w:sz w:val="20"/>
        </w:rPr>
        <w:t xml:space="preserve">, L. </w:t>
      </w:r>
      <w:proofErr w:type="spellStart"/>
      <w:r w:rsidRPr="001D0693">
        <w:rPr>
          <w:sz w:val="20"/>
        </w:rPr>
        <w:t>Freire</w:t>
      </w:r>
      <w:proofErr w:type="spellEnd"/>
      <w:r w:rsidRPr="001D0693">
        <w:rPr>
          <w:sz w:val="20"/>
        </w:rPr>
        <w:t xml:space="preserve">, and B. </w:t>
      </w:r>
      <w:proofErr w:type="spellStart"/>
      <w:r w:rsidRPr="001D0693">
        <w:rPr>
          <w:sz w:val="20"/>
        </w:rPr>
        <w:t>Amaral</w:t>
      </w:r>
      <w:proofErr w:type="spellEnd"/>
      <w:r w:rsidRPr="001D0693">
        <w:rPr>
          <w:sz w:val="20"/>
        </w:rPr>
        <w:t xml:space="preserve">, “Fostering Wind Power Penetration into the Brazilian Forward-Contract Market,” </w:t>
      </w:r>
      <w:r w:rsidRPr="001D0693">
        <w:rPr>
          <w:i/>
          <w:sz w:val="20"/>
        </w:rPr>
        <w:t>IEEE Power Engineering Society General Meeting 2012</w:t>
      </w:r>
      <w:r w:rsidRPr="001D0693">
        <w:rPr>
          <w:sz w:val="20"/>
        </w:rPr>
        <w:t>, San Diego, California, USA.</w:t>
      </w:r>
      <w:bookmarkEnd w:id="5"/>
    </w:p>
    <w:p w:rsidR="007C1FDD" w:rsidRPr="001D0693" w:rsidRDefault="007C1FDD" w:rsidP="00362DBE">
      <w:pPr>
        <w:pStyle w:val="References"/>
        <w:keepNext/>
        <w:numPr>
          <w:ilvl w:val="0"/>
          <w:numId w:val="3"/>
        </w:numPr>
        <w:autoSpaceDE w:val="0"/>
        <w:autoSpaceDN w:val="0"/>
        <w:spacing w:afterLines="60" w:after="144"/>
        <w:rPr>
          <w:sz w:val="20"/>
        </w:rPr>
      </w:pPr>
      <w:bookmarkStart w:id="6" w:name="_Ref349925163"/>
      <w:r w:rsidRPr="001D0693">
        <w:rPr>
          <w:sz w:val="20"/>
        </w:rPr>
        <w:t>G. Casella and R. Berger, “Statistical inference.” ISBN 0-534-24312-6, Duxbury, CA, USA, 2002.</w:t>
      </w:r>
      <w:bookmarkEnd w:id="6"/>
    </w:p>
    <w:p w:rsidR="000C75FE" w:rsidRPr="001D0693" w:rsidRDefault="0097435F" w:rsidP="00AE05F3">
      <w:pPr>
        <w:pStyle w:val="References"/>
        <w:numPr>
          <w:ilvl w:val="0"/>
          <w:numId w:val="3"/>
        </w:numPr>
        <w:autoSpaceDE w:val="0"/>
        <w:autoSpaceDN w:val="0"/>
        <w:spacing w:after="120"/>
        <w:rPr>
          <w:sz w:val="20"/>
          <w:lang w:val="pt-BR"/>
        </w:rPr>
      </w:pPr>
      <w:bookmarkStart w:id="7" w:name="_Ref349926398"/>
      <w:r w:rsidRPr="001D0693">
        <w:rPr>
          <w:sz w:val="20"/>
        </w:rPr>
        <w:t xml:space="preserve">A. Street e </w:t>
      </w:r>
      <w:proofErr w:type="spellStart"/>
      <w:r w:rsidRPr="001D0693">
        <w:rPr>
          <w:sz w:val="20"/>
        </w:rPr>
        <w:t>integrantes</w:t>
      </w:r>
      <w:proofErr w:type="spellEnd"/>
      <w:r w:rsidRPr="001D0693">
        <w:rPr>
          <w:sz w:val="20"/>
        </w:rPr>
        <w:t xml:space="preserve"> do L-MAD, </w:t>
      </w:r>
      <w:r w:rsidR="00F73D29" w:rsidRPr="001D0693">
        <w:rPr>
          <w:sz w:val="20"/>
        </w:rPr>
        <w:t xml:space="preserve">“RISK ASSESSMENT FOR WIND POWER STRATEGIC TRADING IN THE BRAZILIAN CONTRACT MARKET.” </w:t>
      </w:r>
      <w:r w:rsidR="00F73D29" w:rsidRPr="001D0693">
        <w:rPr>
          <w:sz w:val="20"/>
          <w:lang w:val="pt-BR"/>
        </w:rPr>
        <w:t xml:space="preserve">Wind </w:t>
      </w:r>
      <w:proofErr w:type="spellStart"/>
      <w:r w:rsidR="00F73D29" w:rsidRPr="001D0693">
        <w:rPr>
          <w:sz w:val="20"/>
          <w:lang w:val="pt-BR"/>
        </w:rPr>
        <w:t>Forum</w:t>
      </w:r>
      <w:proofErr w:type="spellEnd"/>
      <w:r w:rsidR="00F73D29" w:rsidRPr="001D0693">
        <w:rPr>
          <w:sz w:val="20"/>
          <w:lang w:val="pt-BR"/>
        </w:rPr>
        <w:t xml:space="preserve"> </w:t>
      </w:r>
      <w:proofErr w:type="spellStart"/>
      <w:r w:rsidR="00F73D29" w:rsidRPr="001D0693">
        <w:rPr>
          <w:sz w:val="20"/>
          <w:lang w:val="pt-BR"/>
        </w:rPr>
        <w:t>Brazil</w:t>
      </w:r>
      <w:proofErr w:type="spellEnd"/>
      <w:r w:rsidR="00F73D29" w:rsidRPr="001D0693">
        <w:rPr>
          <w:sz w:val="20"/>
          <w:lang w:val="pt-BR"/>
        </w:rPr>
        <w:t xml:space="preserve"> 2013, São Paulo, Brasil, Fev. 2013. Disponível em: www.ele.puc-rio.br/~street, link energia.</w:t>
      </w:r>
      <w:bookmarkEnd w:id="7"/>
    </w:p>
    <w:sectPr w:rsidR="000C75FE" w:rsidRPr="001D0693" w:rsidSect="006A7D2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257" w:rsidRDefault="00B93257" w:rsidP="00AD16F0">
      <w:r>
        <w:separator/>
      </w:r>
    </w:p>
  </w:endnote>
  <w:endnote w:type="continuationSeparator" w:id="0">
    <w:p w:rsidR="00B93257" w:rsidRDefault="00B93257" w:rsidP="00AD1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257" w:rsidRDefault="00B93257" w:rsidP="00AD16F0">
      <w:r>
        <w:separator/>
      </w:r>
    </w:p>
  </w:footnote>
  <w:footnote w:type="continuationSeparator" w:id="0">
    <w:p w:rsidR="00B93257" w:rsidRDefault="00B93257" w:rsidP="00AD16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8" w:name="_MON_1010472600"/>
  <w:bookmarkEnd w:id="8"/>
  <w:bookmarkStart w:id="9" w:name="_MON_985422905"/>
  <w:bookmarkEnd w:id="9"/>
  <w:p w:rsidR="00E813D7" w:rsidRDefault="00E813D7" w:rsidP="00E813D7">
    <w:pPr>
      <w:pStyle w:val="Cabealho"/>
      <w:jc w:val="right"/>
    </w:pPr>
    <w:r>
      <w:object w:dxaOrig="5805" w:dyaOrig="13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69.25pt;height:63.1pt" o:ole="" fillcolor="window">
          <v:imagedata r:id="rId1" o:title=""/>
        </v:shape>
        <o:OLEObject Type="Embed" ProgID="Word.Picture.8" ShapeID="_x0000_i1025" DrawAspect="Content" ObjectID="_1427900165" r:id="rId2"/>
      </w:object>
    </w:r>
  </w:p>
  <w:p w:rsidR="00E813D7" w:rsidRPr="00E813D7" w:rsidRDefault="00E813D7" w:rsidP="00E813D7">
    <w:pPr>
      <w:pStyle w:val="Cabealho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E09A7"/>
    <w:multiLevelType w:val="hybridMultilevel"/>
    <w:tmpl w:val="02303C14"/>
    <w:lvl w:ilvl="0" w:tplc="0409000F">
      <w:start w:val="1"/>
      <w:numFmt w:val="decimal"/>
      <w:pStyle w:val="Numerada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0B23"/>
    <w:rsid w:val="00023D8A"/>
    <w:rsid w:val="00055230"/>
    <w:rsid w:val="000928BC"/>
    <w:rsid w:val="000A429F"/>
    <w:rsid w:val="000A4390"/>
    <w:rsid w:val="000A5484"/>
    <w:rsid w:val="000C75FE"/>
    <w:rsid w:val="000D321A"/>
    <w:rsid w:val="000D618B"/>
    <w:rsid w:val="000E0499"/>
    <w:rsid w:val="000F6F1A"/>
    <w:rsid w:val="0015533E"/>
    <w:rsid w:val="001860C2"/>
    <w:rsid w:val="00193CA5"/>
    <w:rsid w:val="001C79E4"/>
    <w:rsid w:val="001D0693"/>
    <w:rsid w:val="001D6513"/>
    <w:rsid w:val="001E3C6E"/>
    <w:rsid w:val="002567A8"/>
    <w:rsid w:val="00271A24"/>
    <w:rsid w:val="00280B23"/>
    <w:rsid w:val="002A2EC5"/>
    <w:rsid w:val="002E571B"/>
    <w:rsid w:val="0030181F"/>
    <w:rsid w:val="00324B66"/>
    <w:rsid w:val="00354A0A"/>
    <w:rsid w:val="00362DBE"/>
    <w:rsid w:val="003911A7"/>
    <w:rsid w:val="0039608B"/>
    <w:rsid w:val="003A22B5"/>
    <w:rsid w:val="003A3FDB"/>
    <w:rsid w:val="003A60E0"/>
    <w:rsid w:val="003B0EDA"/>
    <w:rsid w:val="003B2DA8"/>
    <w:rsid w:val="003B62E6"/>
    <w:rsid w:val="00407624"/>
    <w:rsid w:val="00413F4B"/>
    <w:rsid w:val="00427F02"/>
    <w:rsid w:val="004421A4"/>
    <w:rsid w:val="004630F0"/>
    <w:rsid w:val="00464E4D"/>
    <w:rsid w:val="004C7771"/>
    <w:rsid w:val="004E37E6"/>
    <w:rsid w:val="005128BD"/>
    <w:rsid w:val="00525594"/>
    <w:rsid w:val="00550B01"/>
    <w:rsid w:val="00561F34"/>
    <w:rsid w:val="00574D91"/>
    <w:rsid w:val="00576648"/>
    <w:rsid w:val="00590DDF"/>
    <w:rsid w:val="005A5C0B"/>
    <w:rsid w:val="0061020C"/>
    <w:rsid w:val="0061294B"/>
    <w:rsid w:val="00613D7E"/>
    <w:rsid w:val="00620E1E"/>
    <w:rsid w:val="006411C9"/>
    <w:rsid w:val="006A1940"/>
    <w:rsid w:val="006A7D22"/>
    <w:rsid w:val="006B39F5"/>
    <w:rsid w:val="006C6DA6"/>
    <w:rsid w:val="00730D68"/>
    <w:rsid w:val="00764BB8"/>
    <w:rsid w:val="007675A1"/>
    <w:rsid w:val="007A7CFD"/>
    <w:rsid w:val="007C1FDD"/>
    <w:rsid w:val="007E7E19"/>
    <w:rsid w:val="007F02B9"/>
    <w:rsid w:val="00873E81"/>
    <w:rsid w:val="008A2B68"/>
    <w:rsid w:val="008B15E3"/>
    <w:rsid w:val="008C5CBE"/>
    <w:rsid w:val="008C6B76"/>
    <w:rsid w:val="008D2720"/>
    <w:rsid w:val="008D424E"/>
    <w:rsid w:val="008F1C3A"/>
    <w:rsid w:val="009032C5"/>
    <w:rsid w:val="00924D33"/>
    <w:rsid w:val="009671A6"/>
    <w:rsid w:val="00970109"/>
    <w:rsid w:val="0097435F"/>
    <w:rsid w:val="0098617A"/>
    <w:rsid w:val="00991425"/>
    <w:rsid w:val="009D0054"/>
    <w:rsid w:val="009D1426"/>
    <w:rsid w:val="009D662E"/>
    <w:rsid w:val="00A3537A"/>
    <w:rsid w:val="00A61178"/>
    <w:rsid w:val="00A926DC"/>
    <w:rsid w:val="00AD16F0"/>
    <w:rsid w:val="00AE05F3"/>
    <w:rsid w:val="00AE4C52"/>
    <w:rsid w:val="00AE4F08"/>
    <w:rsid w:val="00B03F90"/>
    <w:rsid w:val="00B13611"/>
    <w:rsid w:val="00B3168A"/>
    <w:rsid w:val="00B34FB8"/>
    <w:rsid w:val="00B66D15"/>
    <w:rsid w:val="00B73327"/>
    <w:rsid w:val="00B73FD5"/>
    <w:rsid w:val="00B93257"/>
    <w:rsid w:val="00BA73C4"/>
    <w:rsid w:val="00BD5E6C"/>
    <w:rsid w:val="00BE7F90"/>
    <w:rsid w:val="00C0192F"/>
    <w:rsid w:val="00C4769B"/>
    <w:rsid w:val="00C50731"/>
    <w:rsid w:val="00CB2C4E"/>
    <w:rsid w:val="00CB541B"/>
    <w:rsid w:val="00CD28B8"/>
    <w:rsid w:val="00D14ABA"/>
    <w:rsid w:val="00D17578"/>
    <w:rsid w:val="00D358EB"/>
    <w:rsid w:val="00D52EC8"/>
    <w:rsid w:val="00D55E1B"/>
    <w:rsid w:val="00D805F3"/>
    <w:rsid w:val="00D9287D"/>
    <w:rsid w:val="00DB3716"/>
    <w:rsid w:val="00DC3D31"/>
    <w:rsid w:val="00E01A41"/>
    <w:rsid w:val="00E4016D"/>
    <w:rsid w:val="00E813D7"/>
    <w:rsid w:val="00E834AF"/>
    <w:rsid w:val="00E85C3A"/>
    <w:rsid w:val="00EC22C4"/>
    <w:rsid w:val="00EC7B3D"/>
    <w:rsid w:val="00EE295F"/>
    <w:rsid w:val="00EE521D"/>
    <w:rsid w:val="00EF6B25"/>
    <w:rsid w:val="00F1225E"/>
    <w:rsid w:val="00F26428"/>
    <w:rsid w:val="00F4104C"/>
    <w:rsid w:val="00F73D29"/>
    <w:rsid w:val="00F9670A"/>
    <w:rsid w:val="00FA7E3C"/>
    <w:rsid w:val="00FA7F4C"/>
    <w:rsid w:val="00FC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ferences">
    <w:name w:val="References"/>
    <w:basedOn w:val="Numerada"/>
    <w:rsid w:val="00280B23"/>
    <w:pPr>
      <w:numPr>
        <w:numId w:val="2"/>
      </w:numPr>
      <w:contextualSpacing w:val="0"/>
      <w:jc w:val="both"/>
    </w:pPr>
    <w:rPr>
      <w:sz w:val="16"/>
      <w:szCs w:val="20"/>
      <w:lang w:val="en-US" w:eastAsia="en-US"/>
    </w:rPr>
  </w:style>
  <w:style w:type="paragraph" w:styleId="Numerada">
    <w:name w:val="List Number"/>
    <w:basedOn w:val="Normal"/>
    <w:uiPriority w:val="99"/>
    <w:semiHidden/>
    <w:unhideWhenUsed/>
    <w:rsid w:val="00280B23"/>
    <w:pPr>
      <w:numPr>
        <w:numId w:val="1"/>
      </w:numPr>
      <w:contextualSpacing/>
    </w:pPr>
  </w:style>
  <w:style w:type="character" w:styleId="TextodoEspaoReservado">
    <w:name w:val="Placeholder Text"/>
    <w:basedOn w:val="Fontepargpadro"/>
    <w:uiPriority w:val="99"/>
    <w:semiHidden/>
    <w:rsid w:val="00280B2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0B2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0B23"/>
    <w:rPr>
      <w:rFonts w:ascii="Tahoma" w:eastAsia="Times New Roman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rsid w:val="00A353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autoRedefine/>
    <w:unhideWhenUsed/>
    <w:qFormat/>
    <w:rsid w:val="00873E81"/>
    <w:pPr>
      <w:spacing w:before="100" w:after="200"/>
      <w:jc w:val="center"/>
    </w:pPr>
    <w:rPr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F73D29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73D29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D16F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D16F0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Rodap">
    <w:name w:val="footer"/>
    <w:basedOn w:val="Normal"/>
    <w:link w:val="RodapChar"/>
    <w:uiPriority w:val="99"/>
    <w:unhideWhenUsed/>
    <w:rsid w:val="00AD16F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AD16F0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55E1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55E1B"/>
    <w:rPr>
      <w:rFonts w:ascii="Tahoma" w:eastAsia="Times New Roman" w:hAnsi="Tahoma" w:cs="Tahom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ferences">
    <w:name w:val="References"/>
    <w:basedOn w:val="Numerada"/>
    <w:rsid w:val="00280B23"/>
    <w:pPr>
      <w:numPr>
        <w:numId w:val="2"/>
      </w:numPr>
      <w:contextualSpacing w:val="0"/>
      <w:jc w:val="both"/>
    </w:pPr>
    <w:rPr>
      <w:sz w:val="16"/>
      <w:szCs w:val="20"/>
      <w:lang w:val="en-US" w:eastAsia="en-US"/>
    </w:rPr>
  </w:style>
  <w:style w:type="paragraph" w:styleId="Numerada">
    <w:name w:val="List Number"/>
    <w:basedOn w:val="Normal"/>
    <w:uiPriority w:val="99"/>
    <w:semiHidden/>
    <w:unhideWhenUsed/>
    <w:rsid w:val="00280B23"/>
    <w:pPr>
      <w:numPr>
        <w:numId w:val="1"/>
      </w:numPr>
      <w:contextualSpacing/>
    </w:pPr>
  </w:style>
  <w:style w:type="character" w:styleId="TextodoEspaoReservado">
    <w:name w:val="Placeholder Text"/>
    <w:basedOn w:val="Fontepargpadro"/>
    <w:uiPriority w:val="99"/>
    <w:semiHidden/>
    <w:rsid w:val="00280B2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0B2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0B23"/>
    <w:rPr>
      <w:rFonts w:ascii="Tahoma" w:eastAsia="Times New Roman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rsid w:val="00A353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autoRedefine/>
    <w:unhideWhenUsed/>
    <w:qFormat/>
    <w:rsid w:val="00873E81"/>
    <w:pPr>
      <w:spacing w:before="100" w:after="200"/>
      <w:jc w:val="center"/>
    </w:pPr>
    <w:rPr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F73D29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73D29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D16F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D16F0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Rodap">
    <w:name w:val="footer"/>
    <w:basedOn w:val="Normal"/>
    <w:link w:val="RodapChar"/>
    <w:uiPriority w:val="99"/>
    <w:unhideWhenUsed/>
    <w:rsid w:val="00AD16F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AD16F0"/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7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ED753-1F98-4A7B-B39B-25F33DC2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5</Pages>
  <Words>2226</Words>
  <Characters>12694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Street de Aguiar</dc:creator>
  <cp:lastModifiedBy>Alexandre Street de Aguiar</cp:lastModifiedBy>
  <cp:revision>5</cp:revision>
  <cp:lastPrinted>2013-03-06T02:07:00Z</cp:lastPrinted>
  <dcterms:created xsi:type="dcterms:W3CDTF">2013-03-06T02:06:00Z</dcterms:created>
  <dcterms:modified xsi:type="dcterms:W3CDTF">2013-04-19T21:10:00Z</dcterms:modified>
</cp:coreProperties>
</file>