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jc w:val="left"/>
        <w:rPr/>
      </w:pPr>
      <w:r>
        <w:rPr>
          <w:rStyle w:val="StrongEmphasis"/>
        </w:rPr>
        <w:tab/>
      </w:r>
    </w:p>
    <w:p>
      <w:pPr>
        <w:pStyle w:val="TextBody"/>
        <w:bidi w:val="0"/>
        <w:jc w:val="left"/>
        <w:rPr/>
      </w:pPr>
      <w:r>
        <w:rPr>
          <w:rStyle w:val="StrongEmphasis"/>
        </w:rPr>
        <w:tab/>
      </w:r>
      <w:r>
        <w:rPr>
          <w:rStyle w:val="StrongEmphasis"/>
          <w:b w:val="false"/>
          <w:bCs w:val="false"/>
        </w:rPr>
        <w:t>Dear Gina,</w:t>
      </w:r>
    </w:p>
    <w:p>
      <w:pPr>
        <w:pStyle w:val="TextBody"/>
        <w:bidi w:val="0"/>
        <w:jc w:val="left"/>
        <w:rPr>
          <w:rStyle w:val="StrongEmphasis"/>
          <w:b w:val="false"/>
          <w:b w:val="false"/>
          <w:bCs w:val="false"/>
        </w:rPr>
      </w:pPr>
      <w:r>
        <w:rPr/>
      </w:r>
    </w:p>
    <w:p>
      <w:pPr>
        <w:pStyle w:val="TextBody"/>
        <w:bidi w:val="0"/>
        <w:jc w:val="left"/>
        <w:rPr/>
      </w:pPr>
      <w:r>
        <w:rPr>
          <w:rStyle w:val="StrongEmphasis"/>
          <w:b w:val="false"/>
          <w:bCs w:val="false"/>
        </w:rPr>
        <w:tab/>
        <w:t>As you have requested, here is my summary for</w:t>
      </w:r>
      <w:r>
        <w:rPr>
          <w:rStyle w:val="StrongEmphasis"/>
          <w:b w:val="false"/>
          <w:bCs w:val="false"/>
        </w:rPr>
        <w:t xml:space="preserve"> applying for promotion to the Level 5 technical track. What follows is a personal reflection on how I’ve </w:t>
      </w:r>
      <w:r>
        <w:rPr>
          <w:rStyle w:val="Emphasis"/>
          <w:b w:val="false"/>
          <w:bCs w:val="false"/>
          <w:i w:val="false"/>
          <w:iCs w:val="false"/>
        </w:rPr>
        <w:t>done my best</w:t>
      </w:r>
      <w:r>
        <w:rPr>
          <w:rStyle w:val="StrongEmphasis"/>
          <w:b w:val="false"/>
          <w:bCs w:val="false"/>
        </w:rPr>
        <w:t xml:space="preserve"> to grow and contribute across the core modalities that define success at this level: knowledge, problem solving, discretion, impact, liaison work, and professional experience.</w:t>
      </w:r>
    </w:p>
    <w:p>
      <w:pPr>
        <w:pStyle w:val="TextBody"/>
        <w:bidi w:val="0"/>
        <w:spacing w:lineRule="auto" w:line="276" w:before="0" w:after="140"/>
        <w:jc w:val="left"/>
        <w:rPr/>
      </w:pPr>
      <w:r>
        <w:rPr/>
        <w:tab/>
        <w:t xml:space="preserve">Over the past several years, I’ve had the opportunity to work on a number of challenging and high-impact AI/ML initiatives. These projects </w:t>
      </w:r>
      <w:r>
        <w:rPr/>
        <w:t xml:space="preserve">have </w:t>
      </w:r>
      <w:r>
        <w:rPr/>
        <w:t xml:space="preserve">often lived in </w:t>
      </w:r>
      <w:r>
        <w:rPr/>
        <w:t>technically</w:t>
      </w:r>
      <w:r>
        <w:rPr/>
        <w:t xml:space="preserve"> ambiguous space</w:t>
      </w:r>
      <w:r>
        <w:rPr/>
        <w:t xml:space="preserve">s </w:t>
      </w:r>
      <w:r>
        <w:rPr/>
        <w:t>and I’ve done my best to meet those challenges with clarity, care, and curiosity. My contributions have included building systems for risk prediction, transforming a student-led prototype into a production-ready Scorecard tool, and designing the architectural backbone of our modular AI assistant stack at CI Hub.</w:t>
      </w:r>
    </w:p>
    <w:p>
      <w:pPr>
        <w:pStyle w:val="TextBody"/>
        <w:bidi w:val="0"/>
        <w:spacing w:lineRule="auto" w:line="276" w:before="0" w:after="140"/>
        <w:jc w:val="left"/>
        <w:rPr/>
      </w:pPr>
      <w:r>
        <w:rPr/>
        <w:tab/>
        <w:t xml:space="preserve">I’m proud of the work—but equally grateful for the people and conversations that have helped shape it. My background in teaching and civic engagement often shows up in how I think about collaboration, mentorship, and long-term system design. </w:t>
      </w:r>
      <w:r>
        <w:rPr/>
        <w:t>Thank you for this opportunity to discuss my contributions.</w:t>
      </w:r>
    </w:p>
    <w:p>
      <w:pPr>
        <w:pStyle w:val="TextBody"/>
        <w:bidi w:val="0"/>
        <w:jc w:val="left"/>
        <w:rPr>
          <w:rStyle w:val="StrongEmphasis"/>
          <w:b w:val="false"/>
          <w:b w:val="false"/>
          <w:bCs w:val="false"/>
        </w:rPr>
      </w:pPr>
      <w:r>
        <w:rPr/>
      </w:r>
    </w:p>
    <w:p>
      <w:pPr>
        <w:pStyle w:val="TextBody"/>
        <w:bidi w:val="0"/>
        <w:jc w:val="left"/>
        <w:rPr/>
      </w:pPr>
      <w:r>
        <w:rPr>
          <w:rStyle w:val="StrongEmphasis"/>
        </w:rPr>
        <w:tab/>
        <w:t>KNOWLEDGE</w:t>
      </w:r>
    </w:p>
    <w:p>
      <w:pPr>
        <w:pStyle w:val="TextBody"/>
        <w:bidi w:val="0"/>
        <w:jc w:val="left"/>
        <w:rPr>
          <w:rStyle w:val="StrongEmphasis"/>
        </w:rPr>
      </w:pPr>
      <w:r>
        <w:rPr/>
      </w:r>
    </w:p>
    <w:p>
      <w:pPr>
        <w:pStyle w:val="TextBody"/>
        <w:bidi w:val="0"/>
        <w:spacing w:lineRule="auto" w:line="276" w:before="0" w:after="140"/>
        <w:jc w:val="left"/>
        <w:rPr/>
      </w:pPr>
      <w:r>
        <w:rPr/>
        <w:tab/>
        <w:t>I apply advanced principles in artificial intelligence, natural language processing (NLP), and machine learning (ML) across a range of high-impact initiatives, with particular depth in model architecture and interpretability design. My work bridges state-of-the-art AI with domain-specific engineering constraints. For example, I developed a hybrid predictive system that detects subcontractor status shifts (e.g., green to yellow) by integrating traditional statistical methods with explainability layers—balancing accuracy, clarity, and trust in model outputs.</w:t>
      </w:r>
    </w:p>
    <w:p>
      <w:pPr>
        <w:pStyle w:val="TextBody"/>
        <w:bidi w:val="0"/>
        <w:spacing w:lineRule="auto" w:line="276" w:before="0" w:after="140"/>
        <w:jc w:val="left"/>
        <w:rPr/>
      </w:pPr>
      <w:r>
        <w:rPr/>
        <w:tab/>
        <w:t>I also co-architected the Retrieval-Augmented Generation (RAG) stack for CI Hub, enabling modular integration of emerging models. This included fine-tuning summarization models for specific use cases and building a flexible architecture to accommodate future innovations. In parallel, I lead a biweekly literature review series that translates new research into actionable insight—our recent machine translation review directly informed CI Hub's roadmap.</w:t>
      </w:r>
    </w:p>
    <w:p>
      <w:pPr>
        <w:pStyle w:val="TextBody"/>
        <w:bidi w:val="0"/>
        <w:spacing w:lineRule="auto" w:line="276" w:before="0" w:after="140"/>
        <w:jc w:val="left"/>
        <w:rPr/>
      </w:pPr>
      <w:r>
        <w:rPr/>
        <w:tab/>
        <w:t>In the SEMLP-1LMX project, I designed a system that transforms unstructured, inconsistent test sheets into a searchable, AI-augmented OpenSearch index. The system combines structured indexing with hallucination-resistant AI completions, using soft-prompting techniques and latency-aware generation pipelines. The result is a fast, reliable interface for retrieving interpretable test data across complex technical domains. This work deepens applied AI practice and operationalizes research breakthroughs at scale.</w:t>
      </w:r>
    </w:p>
    <w:p>
      <w:pPr>
        <w:pStyle w:val="TextBody"/>
        <w:bidi w:val="0"/>
        <w:spacing w:lineRule="auto" w:line="276" w:before="0" w:after="140"/>
        <w:jc w:val="left"/>
        <w:rPr/>
      </w:pPr>
      <w:r>
        <w:rPr/>
      </w:r>
    </w:p>
    <w:p>
      <w:pPr>
        <w:pStyle w:val="TextBody"/>
        <w:bidi w:val="0"/>
        <w:spacing w:lineRule="auto" w:line="276" w:before="0" w:after="140"/>
        <w:jc w:val="left"/>
        <w:rPr/>
      </w:pPr>
      <w:r>
        <w:rPr/>
      </w:r>
    </w:p>
    <w:p>
      <w:pPr>
        <w:pStyle w:val="TextBody"/>
        <w:bidi w:val="0"/>
        <w:spacing w:lineRule="auto" w:line="276" w:before="0" w:after="140"/>
        <w:jc w:val="left"/>
        <w:rPr/>
      </w:pPr>
      <w:r>
        <w:rPr>
          <w:rStyle w:val="StrongEmphasis"/>
        </w:rPr>
        <w:tab/>
        <w:t>PROBLEM SOLVING</w:t>
      </w:r>
    </w:p>
    <w:p>
      <w:pPr>
        <w:pStyle w:val="TextBody"/>
        <w:bidi w:val="0"/>
        <w:spacing w:lineRule="auto" w:line="276" w:before="0" w:after="140"/>
        <w:jc w:val="left"/>
        <w:rPr>
          <w:rStyle w:val="StrongEmphasis"/>
        </w:rPr>
      </w:pPr>
      <w:r>
        <w:rPr/>
      </w:r>
    </w:p>
    <w:p>
      <w:pPr>
        <w:pStyle w:val="TextBody"/>
        <w:bidi w:val="0"/>
        <w:spacing w:lineRule="auto" w:line="276" w:before="0" w:after="140"/>
        <w:jc w:val="left"/>
        <w:rPr/>
      </w:pPr>
      <w:r>
        <w:rPr/>
        <w:tab/>
        <w:t>I regularly take on technically and organizationally ambiguous challenges—situations where requirements are unclear, data is inconsistent, and success criteria must be actively defined. A prime example is the SEMPLP-1LMX project, which began with a chaotic mix of Excel sheets, semi-structured Zephyr exports, and informal engineering notes. These artifacts were not only inconsistent in format but also ambiguous in meaning—lacking clear schemas, labels, or definitions for key concepts. Rather than wait for perfect inputs, I built a dynamic ingestion and inference pipeline capable of recognizing, normalizing, and tagging data with soft heuristics and fallback logic. This approach allowed us to surface insights even before full schema alignment was achieved—letting the system “fail soft” while still returning useful results.</w:t>
      </w:r>
    </w:p>
    <w:p>
      <w:pPr>
        <w:pStyle w:val="TextBody"/>
        <w:bidi w:val="0"/>
        <w:spacing w:lineRule="auto" w:line="276" w:before="0" w:after="140"/>
        <w:jc w:val="left"/>
        <w:rPr/>
      </w:pPr>
      <w:r>
        <w:rPr/>
        <w:tab/>
        <w:t>Working with the testing engineers on this project was particularly formative. I realized early on that some of my initial assumptions had missed the mark. But instead of retreating, I leaned into live improvisation—often sketching out ideas in real time through live coding sessions. These micro-failures became a source of creativity. By listening deeply, iterating quickly, and involving the testers as co-designers, we built a system that genuinely reflected their needs. I take pride in how often small errors, openly addressed, have blossomed into some of the strongest systems I've helped create.</w:t>
      </w:r>
    </w:p>
    <w:p>
      <w:pPr>
        <w:pStyle w:val="TextBody"/>
        <w:bidi w:val="0"/>
        <w:spacing w:lineRule="auto" w:line="276" w:before="0" w:after="140"/>
        <w:jc w:val="left"/>
        <w:rPr/>
      </w:pPr>
      <w:r>
        <w:rPr/>
        <w:tab/>
        <w:t>At CI Hub, I encountered a different kind of ambiguity: architectural drift. As the field of NLP evolved rapidly, our systems risked becoming brittle or outdated. I led the design of a modular integration framework that allowed us to test and evaluate new models—such as those from Hugging Face—without upending existing infrastructure. This preserved long-term stability while supporting short-term innovation, solving for future ambiguity before it became urgent.</w:t>
      </w:r>
    </w:p>
    <w:p>
      <w:pPr>
        <w:pStyle w:val="TextBody"/>
        <w:bidi w:val="0"/>
        <w:spacing w:lineRule="auto" w:line="276" w:before="0" w:after="140"/>
        <w:jc w:val="left"/>
        <w:rPr/>
      </w:pPr>
      <w:r>
        <w:rPr/>
        <w:tab/>
        <w:t>Throughout these projects, I’ve also mentored university students and junior contributors—many of whom entered these ambiguous projects with little prior experience. Teaching them to navigate uncertainty was as much a challenge as the system design itself. I guided them in breaking down large, messy problems into manageable pieces, translating ambiguity into action. This educational dimension is integral to how I solve problems: not by doing everything myself, but by shaping conditions for collective clarity.</w:t>
      </w:r>
    </w:p>
    <w:p>
      <w:pPr>
        <w:pStyle w:val="TextBody"/>
        <w:bidi w:val="0"/>
        <w:spacing w:lineRule="auto" w:line="276" w:before="0" w:after="140"/>
        <w:jc w:val="left"/>
        <w:rPr/>
      </w:pPr>
      <w:r>
        <w:rPr/>
      </w:r>
    </w:p>
    <w:p>
      <w:pPr>
        <w:pStyle w:val="TextBody"/>
        <w:bidi w:val="0"/>
        <w:spacing w:lineRule="auto" w:line="276" w:before="0" w:after="140"/>
        <w:jc w:val="left"/>
        <w:rPr/>
      </w:pPr>
      <w:r>
        <w:rPr>
          <w:rStyle w:val="StrongEmphasis"/>
        </w:rPr>
        <w:tab/>
        <w:t>DISCRETION / LATITUDE</w:t>
      </w:r>
    </w:p>
    <w:p>
      <w:pPr>
        <w:pStyle w:val="TextBody"/>
        <w:bidi w:val="0"/>
        <w:spacing w:lineRule="auto" w:line="276" w:before="0" w:after="140"/>
        <w:jc w:val="left"/>
        <w:rPr>
          <w:rStyle w:val="StrongEmphasis"/>
        </w:rPr>
      </w:pPr>
      <w:r>
        <w:rPr/>
      </w:r>
    </w:p>
    <w:p>
      <w:pPr>
        <w:pStyle w:val="TextBody"/>
        <w:bidi w:val="0"/>
        <w:spacing w:lineRule="auto" w:line="276" w:before="0" w:after="140"/>
        <w:jc w:val="left"/>
        <w:rPr/>
      </w:pPr>
      <w:r>
        <w:rPr/>
        <w:tab/>
        <w:t>I operate with a high degree of independence, frequently initiating and defining the direction of technical projects in alignment with broader organizational goals. Several recent initiatives—including the subcontractor status model and SEMPLP-1LMX—originated from gaps I independently identified across teams. While I collaborated with stakeholders to shape scope and ensure alignment, the technical vision, implementation strategy, and iteration cycles were entirely self-driven.</w:t>
      </w:r>
    </w:p>
    <w:p>
      <w:pPr>
        <w:pStyle w:val="TextBody"/>
        <w:bidi w:val="0"/>
        <w:spacing w:lineRule="auto" w:line="276" w:before="0" w:after="140"/>
        <w:jc w:val="left"/>
        <w:rPr/>
      </w:pPr>
      <w:r>
        <w:rPr/>
        <w:tab/>
        <w:t>At CI Hub, I’ve been trusted to evaluate, select, and deploy evolving AI models with minimal oversight. My engagement with leadership is focused on long-term outcomes—not tactical decisions. For example, I proposed and led the transition to a modular integration framework for AI models, anticipating shifts in the research space and positioning our architecture for continuous evolution.</w:t>
      </w:r>
    </w:p>
    <w:p>
      <w:pPr>
        <w:pStyle w:val="TextBody"/>
        <w:bidi w:val="0"/>
        <w:spacing w:lineRule="auto" w:line="276" w:before="0" w:after="140"/>
        <w:jc w:val="left"/>
        <w:rPr/>
      </w:pPr>
      <w:r>
        <w:rPr/>
        <w:tab/>
        <w:t>Similarly, I independently manage and lead our biweekly literature review series, translating emerging research into practical guidance for teams across engineering and product. This effort is more than a knowledge-sharing task—it reflects a deliberate instructional design philosophy rooted in my past experience as a high school math teacher. I approach these sessions like a coach, creating an environment where colleagues can explore complex ideas, ask foundational questions, and fail safely in the service of learning. I invest significant personal time into curating materials, developing analogies, and designing interactive sessions that make difficult concepts accessible. The result is a space that elevates both technical fluency and team cohesion—turning abstract research into usable insight, while modeling a culture of continuous learning.</w:t>
      </w:r>
    </w:p>
    <w:p>
      <w:pPr>
        <w:pStyle w:val="TextBody"/>
        <w:bidi w:val="0"/>
        <w:spacing w:lineRule="auto" w:line="276" w:before="0" w:after="140"/>
        <w:jc w:val="left"/>
        <w:rPr/>
      </w:pPr>
      <w:r>
        <w:rPr/>
      </w:r>
    </w:p>
    <w:p>
      <w:pPr>
        <w:pStyle w:val="TextBody"/>
        <w:bidi w:val="0"/>
        <w:spacing w:lineRule="auto" w:line="276" w:before="0" w:after="140"/>
        <w:jc w:val="left"/>
        <w:rPr/>
      </w:pPr>
      <w:r>
        <w:rPr>
          <w:rStyle w:val="StrongEmphasis"/>
        </w:rPr>
        <w:tab/>
        <w:t>IMPACT</w:t>
      </w:r>
    </w:p>
    <w:p>
      <w:pPr>
        <w:pStyle w:val="TextBody"/>
        <w:bidi w:val="0"/>
        <w:spacing w:lineRule="auto" w:line="276" w:before="0" w:after="140"/>
        <w:jc w:val="left"/>
        <w:rPr>
          <w:rStyle w:val="StrongEmphasis"/>
        </w:rPr>
      </w:pPr>
      <w:r>
        <w:rPr/>
      </w:r>
    </w:p>
    <w:p>
      <w:pPr>
        <w:pStyle w:val="TextBody"/>
        <w:bidi w:val="0"/>
        <w:spacing w:lineRule="auto" w:line="276" w:before="0" w:after="140"/>
        <w:jc w:val="left"/>
        <w:rPr/>
      </w:pPr>
      <w:r>
        <w:rPr/>
        <w:tab/>
        <w:t>The systems I design and implement often become foundational infrastructure—shaping not only technical workflows, but also strategic planning, hiring outcomes, and cross-team culture. For example, the subcontractor prediction model I developed has been integrated into internal workflows to flag early vendor risk. Reports generated by the system are now surfaced at the VP level, directly informing executive decisions on contract health, prioritization, and resourcing.</w:t>
      </w:r>
    </w:p>
    <w:p>
      <w:pPr>
        <w:pStyle w:val="TextBody"/>
        <w:bidi w:val="0"/>
        <w:spacing w:lineRule="auto" w:line="276" w:before="0" w:after="140"/>
        <w:jc w:val="left"/>
        <w:rPr/>
      </w:pPr>
      <w:r>
        <w:rPr/>
        <w:tab/>
        <w:t>Our Scorecard project is a clear example of how technical contributions can evolve into organizational transformation. It began as a student-led prototype through a mentorship partnership with the University of Colorado. When the students graduated, the project risked being abandoned. But I saw long-term potential and continued to develop it independently: professionalizing the codebase, refining its architecture, and integrating it into production SQL environments. That effort not only salvaged a promising idea—it catalyzed a chain of organizational outcomes. Several of the students I mentored were later hired full-time, bringing their energy and experience into our teams.</w:t>
      </w:r>
    </w:p>
    <w:p>
      <w:pPr>
        <w:pStyle w:val="TextBody"/>
        <w:bidi w:val="0"/>
        <w:spacing w:lineRule="auto" w:line="276" w:before="0" w:after="140"/>
        <w:jc w:val="left"/>
        <w:rPr/>
      </w:pPr>
      <w:r>
        <w:rPr/>
        <w:tab/>
        <w:t>The SEMLP-1LMX project is another area where I drove lasting impact. By transforming disordered, ambiguous test inputs into a reliable, searchable AI-augmented index, I created an operational tool that continues to inform quality workflows. My ability to turn inconsistent artifacts into dependable infrastructure not only enabled automation but changed how we think about traceability and retrieval across engineering. The system itself became a collaboration bridge between AI and testing engineers, enabling dozens of tasks that previously took months and laying the groundwork for a new model of responsiveness and shared ownership.</w:t>
      </w:r>
    </w:p>
    <w:p>
      <w:pPr>
        <w:pStyle w:val="TextBody"/>
        <w:bidi w:val="0"/>
        <w:spacing w:lineRule="auto" w:line="276" w:before="0" w:after="140"/>
        <w:jc w:val="left"/>
        <w:rPr/>
      </w:pPr>
      <w:r>
        <w:rPr/>
        <w:tab/>
        <w:t>At CI Hub, I led the architectural design of the AI assistant stack—building a modular, future-proofed system for search, summarization, and translation. This ensured we could rapidly integrate new research-backed models while maintaining platform stability. I am often the first point of contact when novel failure modes—like hallucinations or model drift—appear, and I lead the risk assessment and mitigation process. That level of trust reflects not just confidence in my technical judgment, but recognition of how deeply my systems influence platform viability and strategic direction. Currently, I’m extending this impact by introducing cutting-edge machine translation techniques to expand CI Hub’s multilingual analysis capabilities.</w:t>
      </w:r>
    </w:p>
    <w:p>
      <w:pPr>
        <w:pStyle w:val="TextBody"/>
        <w:bidi w:val="0"/>
        <w:spacing w:lineRule="auto" w:line="276" w:before="0" w:after="140"/>
        <w:jc w:val="left"/>
        <w:rPr/>
      </w:pPr>
      <w:r>
        <w:rPr/>
        <w:tab/>
        <w:t>Across all of these efforts, I focus not just on shipping features—but on cultivating systems, relationships, and technical cultures that compound over time. As our systems and models evolve, I’m excited to continue shaping environments where technical innovation, trust, and clarity converge—whether through architecture, mentorship, or strategy. Impact, to me, means building something others want to build on.</w:t>
      </w:r>
    </w:p>
    <w:p>
      <w:pPr>
        <w:pStyle w:val="TextBody"/>
        <w:bidi w:val="0"/>
        <w:spacing w:lineRule="auto" w:line="276" w:before="0" w:after="140"/>
        <w:jc w:val="left"/>
        <w:rPr/>
      </w:pPr>
      <w:r>
        <w:rPr/>
      </w:r>
    </w:p>
    <w:p>
      <w:pPr>
        <w:pStyle w:val="TextBody"/>
        <w:bidi w:val="0"/>
        <w:spacing w:lineRule="auto" w:line="276" w:before="0" w:after="140"/>
        <w:jc w:val="left"/>
        <w:rPr/>
      </w:pPr>
      <w:r>
        <w:rPr>
          <w:rStyle w:val="StrongEmphasis"/>
        </w:rPr>
        <w:tab/>
        <w:t>LIAISON</w:t>
      </w:r>
    </w:p>
    <w:p>
      <w:pPr>
        <w:pStyle w:val="TextBody"/>
        <w:bidi w:val="0"/>
        <w:spacing w:lineRule="auto" w:line="276" w:before="0" w:after="140"/>
        <w:jc w:val="left"/>
        <w:rPr>
          <w:rStyle w:val="StrongEmphasis"/>
        </w:rPr>
      </w:pPr>
      <w:r>
        <w:rPr/>
      </w:r>
    </w:p>
    <w:p>
      <w:pPr>
        <w:pStyle w:val="TextBody"/>
        <w:bidi w:val="0"/>
        <w:spacing w:lineRule="auto" w:line="276" w:before="0" w:after="140"/>
        <w:jc w:val="left"/>
        <w:rPr/>
      </w:pPr>
      <w:r>
        <w:rPr/>
        <w:tab/>
        <w:t>I frequently serve as a bridge between disciplines—connecting engineering, AI/ML, testing, product management, and leadership. My ability to translate complex technical ideas into strategic insight has made me a go-to resource across the organization.</w:t>
      </w:r>
    </w:p>
    <w:p>
      <w:pPr>
        <w:pStyle w:val="TextBody"/>
        <w:bidi w:val="0"/>
        <w:spacing w:lineRule="auto" w:line="276" w:before="0" w:after="140"/>
        <w:jc w:val="left"/>
        <w:rPr/>
      </w:pPr>
      <w:r>
        <w:rPr/>
        <w:tab/>
        <w:t>For example, I lead our biweekly literature review series, translating cutting-edge research into actionable recommendations. I tailor each session to include both deep technical analysis and cross-functional relevance—equipping product managers, engineering leads, and leadership with the context needed to make informed decisions. These reviews have influenced real-world roadmaps, including CI Hub’s machine translation initiative and our RAG integration strategy.</w:t>
      </w:r>
    </w:p>
    <w:p>
      <w:pPr>
        <w:pStyle w:val="TextBody"/>
        <w:bidi w:val="0"/>
        <w:spacing w:lineRule="auto" w:line="276" w:before="0" w:after="140"/>
        <w:jc w:val="left"/>
        <w:rPr/>
      </w:pPr>
      <w:r>
        <w:rPr/>
        <w:tab/>
        <w:t>I’ve also played a key liaison role in cross-team product development. In our SEMPL initiative, I worked directly with testing engineers, translating their priorities into technical features and iterating rapidly to address concerns. What began as a skeptical relationship evolved into a true partnership—reshaping how the AI team is perceived internally and serving as a model for future collaborations.</w:t>
      </w:r>
    </w:p>
    <w:p>
      <w:pPr>
        <w:pStyle w:val="TextBody"/>
        <w:bidi w:val="0"/>
        <w:spacing w:lineRule="auto" w:line="276" w:before="0" w:after="140"/>
        <w:jc w:val="left"/>
        <w:rPr/>
      </w:pPr>
      <w:r>
        <w:rPr/>
        <w:tab/>
        <w:t>At the former ACE team, I was responsible for technical interviews—defining hiring standards and assessing candidates across domains. I also routinely participate in early-stage product and research scoping conversations, helping leaders and peers navigate technical ambiguity and set viable directions. These conversations with my managers are a particularly meaningful part of my role. I enjoy them—not just professionally, but personally—because they offer space for deep thinking, unexpected insights, and collaborative exploration. I don't treat leadership input as a set of instructions, but as a source of intuition and perspective that helps shape my technical work. I see it as a two-way dialogue: I translate loosely defined goals into concrete systems, while also helping reframe strategic questions in engineering terms the broader team can act on. These interactions often seed new initiatives or refine existing ones. My work on the subcontractor model and CI Hub is regularly presented to leadership as a benchmark for innovation and clarity—both in system design and in how that design is communicated.</w:t>
      </w:r>
    </w:p>
    <w:p>
      <w:pPr>
        <w:pStyle w:val="TextBody"/>
        <w:bidi w:val="0"/>
        <w:spacing w:lineRule="auto" w:line="276" w:before="0" w:after="140"/>
        <w:jc w:val="left"/>
        <w:rPr/>
      </w:pPr>
      <w:r>
        <w:rPr/>
        <w:tab/>
        <w:t>Across all of these efforts, I don’t just contribute—I connect. My strength as a liaison lies in creating shared understanding, enabling better decisions, and fostering trust between people who might otherwise talk past each other.</w:t>
      </w:r>
    </w:p>
    <w:p>
      <w:pPr>
        <w:pStyle w:val="TextBody"/>
        <w:bidi w:val="0"/>
        <w:spacing w:lineRule="auto" w:line="276" w:before="0" w:after="140"/>
        <w:jc w:val="left"/>
        <w:rPr/>
      </w:pPr>
      <w:r>
        <w:rPr/>
      </w:r>
    </w:p>
    <w:p>
      <w:pPr>
        <w:pStyle w:val="TextBody"/>
        <w:bidi w:val="0"/>
        <w:spacing w:lineRule="auto" w:line="276" w:before="0" w:after="140"/>
        <w:jc w:val="left"/>
        <w:rPr/>
      </w:pPr>
      <w:r>
        <w:rPr>
          <w:rStyle w:val="StrongEmphasis"/>
        </w:rPr>
        <w:tab/>
        <w:t>TYPICAL MINIMUM EDUCATION &amp; EXPERIENCE</w:t>
      </w:r>
    </w:p>
    <w:p>
      <w:pPr>
        <w:pStyle w:val="TextBody"/>
        <w:bidi w:val="0"/>
        <w:spacing w:lineRule="auto" w:line="276" w:before="0" w:after="140"/>
        <w:jc w:val="left"/>
        <w:rPr>
          <w:rStyle w:val="StrongEmphasis"/>
        </w:rPr>
      </w:pPr>
      <w:r>
        <w:rPr/>
      </w:r>
    </w:p>
    <w:p>
      <w:pPr>
        <w:pStyle w:val="TextBody"/>
        <w:bidi w:val="0"/>
        <w:spacing w:lineRule="auto" w:line="276" w:before="0" w:after="140"/>
        <w:jc w:val="left"/>
        <w:rPr/>
      </w:pPr>
      <w:r>
        <w:rPr/>
        <w:tab/>
        <w:t>I hold a Bachelor’s degree in Mathematics and a Master’s degree in English, the latter of which directly informs my work as an NLP specialist. My deep understanding of language structure, semantics, narrative, and rhetorical nuance enhances my ability to design, interpret, and refine AI systems that operate on natural language. I was also selected as an Advanced Studies Fellow at MIT, where I pursued interdisciplinary work at the intersection of education, communication, and computation.</w:t>
      </w:r>
    </w:p>
    <w:p>
      <w:pPr>
        <w:pStyle w:val="TextBody"/>
        <w:bidi w:val="0"/>
        <w:spacing w:lineRule="auto" w:line="276" w:before="0" w:after="140"/>
        <w:jc w:val="left"/>
        <w:rPr/>
      </w:pPr>
      <w:r>
        <w:rPr/>
        <w:tab/>
        <w:t>Before entering industry, I spent several years as a classroom teacher—both in the U.S. and overseas. This experience continues to shape my approach to technical leadership: I bring a pedagogical mindset to system design, documentation, and mentorship, always aiming to make complexity accessible. I also served as an elected member of the Medford School Committee, collaborating with community members, educators, and city officials to shape policy and improve access. During that time, I worked directly with the Mayor’s office and led data-driven initiatives in civic planning and education.</w:t>
      </w:r>
    </w:p>
    <w:p>
      <w:pPr>
        <w:pStyle w:val="TextBody"/>
        <w:bidi w:val="0"/>
        <w:spacing w:lineRule="auto" w:line="276" w:before="0" w:after="140"/>
        <w:jc w:val="left"/>
        <w:rPr/>
      </w:pPr>
      <w:r>
        <w:rPr/>
        <w:tab/>
        <w:t>In addition to this civic and educational background, I bring over a decade of hands-on technical experience across AI, ML, and systems engineering. I’ve held leadership roles on multiple teams, led hiring and interview processes, and independently designed and delivered high-impact, production-ready systems. My experience spans government, defense, consumer robotics, political campaigns, and remote farming automation. These cross-sector insights allow me to connect abstract research with real-world implementation in a variety of domains. My contributions significantly exceed the expectations outlined for this level and reflect not just technical fluency, but an ability to lead, educate, and build across disciplines.</w:t>
      </w:r>
    </w:p>
    <w:p>
      <w:pPr>
        <w:pStyle w:val="TextBody"/>
        <w:bidi w:val="0"/>
        <w:spacing w:lineRule="auto" w:line="276" w:before="0" w:after="140"/>
        <w:jc w:val="left"/>
        <w:rPr/>
      </w:pPr>
      <w:r>
        <w:rPr/>
      </w:r>
    </w:p>
    <w:p>
      <w:pPr>
        <w:pStyle w:val="TextBody"/>
        <w:bidi w:val="0"/>
        <w:jc w:val="left"/>
        <w:rPr/>
      </w:pPr>
      <w:r>
        <w:rPr>
          <w:b/>
          <w:bCs/>
        </w:rPr>
        <w:tab/>
        <w:t>CONCLUSION</w:t>
      </w:r>
    </w:p>
    <w:p>
      <w:pPr>
        <w:pStyle w:val="TextBody"/>
        <w:bidi w:val="0"/>
        <w:jc w:val="left"/>
        <w:rPr>
          <w:rStyle w:val="StrongEmphasis"/>
        </w:rPr>
      </w:pPr>
      <w:r>
        <w:rPr/>
      </w:r>
    </w:p>
    <w:p>
      <w:pPr>
        <w:pStyle w:val="TextBody"/>
        <w:bidi w:val="0"/>
        <w:spacing w:lineRule="auto" w:line="276" w:before="0" w:after="140"/>
        <w:jc w:val="left"/>
        <w:rPr/>
      </w:pPr>
      <w:r>
        <w:rPr/>
        <w:tab/>
        <w:t>Throughout this reflection, I’ve tried to show how I approach technical work not only as a set of engineering challenges, but as an opportunity to build clarity, trust, and systems that endure. Whether designing hybrid AI architectures, mentoring students and peers, or translating ambiguous problems into actionable pathways, I aim to create tools and collaborations that outlast any single contributor—including myself. I see success not just in deliverables, but in the culture and infrastructure that grows around them.</w:t>
      </w:r>
    </w:p>
    <w:p>
      <w:pPr>
        <w:pStyle w:val="TextBody"/>
        <w:bidi w:val="0"/>
        <w:spacing w:lineRule="auto" w:line="276" w:before="0" w:after="140"/>
        <w:jc w:val="left"/>
        <w:rPr/>
      </w:pPr>
      <w:r>
        <w:rPr/>
        <w:tab/>
        <w:t>Much of what I’ve accomplished has been made possible by the people I’ve worked alongside. I want to sincerely thank my manager</w:t>
      </w:r>
      <w:r>
        <w:rPr/>
        <w:t>s</w:t>
      </w:r>
      <w:r>
        <w:rPr/>
        <w:t xml:space="preserve">, Gina </w:t>
      </w:r>
      <w:r>
        <w:rPr/>
        <w:t>and Jack</w:t>
      </w:r>
      <w:r>
        <w:rPr/>
        <w:t xml:space="preserve">, for </w:t>
      </w:r>
      <w:r>
        <w:rPr/>
        <w:t>their</w:t>
      </w:r>
      <w:r>
        <w:rPr/>
        <w:t xml:space="preserve"> support, insight, and generosity of thought. </w:t>
      </w:r>
      <w:r>
        <w:rPr/>
        <w:t>Their</w:t>
      </w:r>
      <w:r>
        <w:rPr/>
        <w:t xml:space="preserve"> willingness to explore early ideas, challenge assumptions, and advocate for my growth has shaped not just the projects I’ve delivered, but the way I think about leadership itself. I’ve also learned a great deal from our broader team—from testers and engineers to product managers and students—and I carry those conversations into every new challenge I face.</w:t>
      </w:r>
    </w:p>
    <w:p>
      <w:pPr>
        <w:pStyle w:val="TextBody"/>
        <w:bidi w:val="0"/>
        <w:spacing w:lineRule="auto" w:line="276" w:before="0" w:after="140"/>
        <w:jc w:val="left"/>
        <w:rPr/>
      </w:pPr>
      <w:r>
        <w:rPr/>
        <w:tab/>
        <w:t>Finally, I’m deeply grateful to the committee for taking the time to consider this application. Regardless of outcome, I value the chance to reflect on this work and share what I’ve learned. I remain committed to growing in service of the organization and to helping others do the same—through systems, mentorship, and a spirit of collaborative problem-solving that I hope continues to define my path forward.</w:t>
      </w:r>
    </w:p>
    <w:p>
      <w:pPr>
        <w:pStyle w:val="TextBody"/>
        <w:bidi w:val="0"/>
        <w:spacing w:before="0" w:after="140"/>
        <w:jc w:val="left"/>
        <w:rPr>
          <w:rStyle w:val="StrongEmphasis"/>
          <w:b w:val="false"/>
          <w:b w:val="false"/>
          <w:bCs w:val="false"/>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val="bestFit" w:percent="299"/>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paragraph" w:styleId="Heading2">
    <w:name w:val="Heading 2"/>
    <w:basedOn w:val="Heading"/>
    <w:next w:val="TextBody"/>
    <w:qFormat/>
    <w:pPr>
      <w:numPr>
        <w:ilvl w:val="1"/>
        <w:numId w:val="1"/>
      </w:numPr>
      <w:spacing w:before="200" w:after="120"/>
      <w:outlineLvl w:val="1"/>
    </w:pPr>
    <w:rPr>
      <w:b/>
      <w:bCs/>
      <w:sz w:val="32"/>
      <w:szCs w:val="32"/>
    </w:rPr>
  </w:style>
  <w:style w:type="paragraph" w:styleId="Heading3">
    <w:name w:val="Heading 3"/>
    <w:basedOn w:val="Heading"/>
    <w:next w:val="TextBody"/>
    <w:qFormat/>
    <w:pPr>
      <w:spacing w:before="140" w:after="120"/>
      <w:outlineLvl w:val="2"/>
    </w:pPr>
    <w:rPr>
      <w:rFonts w:ascii="Liberation Serif" w:hAnsi="Liberation Serif" w:eastAsia="Noto Serif CJK SC" w:cs="FreeSans"/>
      <w:b/>
      <w:bCs/>
      <w:sz w:val="28"/>
      <w:szCs w:val="28"/>
    </w:rPr>
  </w:style>
  <w:style w:type="paragraph" w:styleId="Heading4">
    <w:name w:val="Heading 4"/>
    <w:basedOn w:val="Heading"/>
    <w:next w:val="TextBody"/>
    <w:qFormat/>
    <w:pPr>
      <w:numPr>
        <w:ilvl w:val="3"/>
        <w:numId w:val="1"/>
      </w:numPr>
      <w:spacing w:before="120" w:after="120"/>
      <w:outlineLvl w:val="3"/>
    </w:pPr>
    <w:rPr>
      <w:b/>
      <w:bCs/>
      <w:i/>
      <w:iCs/>
      <w:sz w:val="26"/>
      <w:szCs w:val="26"/>
    </w:rPr>
  </w:style>
  <w:style w:type="paragraph" w:styleId="Heading5">
    <w:name w:val="Heading 5"/>
    <w:basedOn w:val="Heading"/>
    <w:next w:val="TextBody"/>
    <w:qFormat/>
    <w:pPr>
      <w:numPr>
        <w:ilvl w:val="4"/>
        <w:numId w:val="1"/>
      </w:numPr>
      <w:spacing w:before="120" w:after="60"/>
      <w:outlineLvl w:val="4"/>
    </w:pPr>
    <w:rPr>
      <w:b/>
      <w:bCs/>
      <w:sz w:val="24"/>
      <w:szCs w:val="24"/>
    </w:rPr>
  </w:style>
  <w:style w:type="paragraph" w:styleId="Heading6">
    <w:name w:val="Heading 6"/>
    <w:basedOn w:val="Heading"/>
    <w:next w:val="TextBody"/>
    <w:qFormat/>
    <w:pPr>
      <w:numPr>
        <w:ilvl w:val="5"/>
        <w:numId w:val="1"/>
      </w:numPr>
      <w:spacing w:before="60" w:after="60"/>
      <w:outlineLvl w:val="5"/>
    </w:pPr>
    <w:rPr>
      <w:b/>
      <w:bCs/>
      <w:i/>
      <w:iCs/>
      <w:sz w:val="24"/>
      <w:szCs w:val="24"/>
    </w:rPr>
  </w:style>
  <w:style w:type="paragraph" w:styleId="Heading7">
    <w:name w:val="Heading 7"/>
    <w:basedOn w:val="Heading"/>
    <w:next w:val="TextBody"/>
    <w:qFormat/>
    <w:pPr>
      <w:numPr>
        <w:ilvl w:val="6"/>
        <w:numId w:val="1"/>
      </w:numPr>
      <w:spacing w:before="60" w:after="60"/>
      <w:outlineLvl w:val="6"/>
    </w:pPr>
    <w:rPr>
      <w:b/>
      <w:bCs/>
      <w:sz w:val="20"/>
      <w:szCs w:val="20"/>
    </w:rPr>
  </w:style>
  <w:style w:type="paragraph" w:styleId="Heading8">
    <w:name w:val="Heading 8"/>
    <w:basedOn w:val="Heading"/>
    <w:next w:val="TextBody"/>
    <w:qFormat/>
    <w:pPr>
      <w:numPr>
        <w:ilvl w:val="7"/>
        <w:numId w:val="1"/>
      </w:numPr>
      <w:spacing w:before="60" w:after="60"/>
      <w:outlineLvl w:val="7"/>
    </w:pPr>
    <w:rPr>
      <w:b/>
      <w:bCs/>
      <w:i/>
      <w:iCs/>
      <w:sz w:val="20"/>
      <w:szCs w:val="20"/>
    </w:rPr>
  </w:style>
  <w:style w:type="paragraph" w:styleId="Heading9">
    <w:name w:val="Heading 9"/>
    <w:basedOn w:val="Heading"/>
    <w:next w:val="TextBody"/>
    <w:qFormat/>
    <w:pPr>
      <w:numPr>
        <w:ilvl w:val="8"/>
        <w:numId w:val="1"/>
      </w:numPr>
      <w:spacing w:before="60" w:after="60"/>
      <w:outlineLvl w:val="8"/>
    </w:pPr>
    <w:rPr>
      <w:b/>
      <w:bCs/>
      <w:sz w:val="18"/>
      <w:szCs w:val="18"/>
    </w:rPr>
  </w:style>
  <w:style w:type="character" w:styleId="SourceText">
    <w:name w:val="Source Text"/>
    <w:qFormat/>
    <w:rPr>
      <w:rFonts w:ascii="Liberation Mono" w:hAnsi="Liberation Mono" w:eastAsia="Noto Sans Mono CJK SC" w:cs="Liberation Mono"/>
    </w:rPr>
  </w:style>
  <w:style w:type="character" w:styleId="StrongEmphasis">
    <w:name w:val="Strong Emphasis"/>
    <w:qFormat/>
    <w:rPr>
      <w:b/>
      <w:bCs/>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TotalTime>
  <Application>LibreOffice/7.3.7.2$Linux_X86_64 LibreOffice_project/30$Build-2</Application>
  <AppVersion>15.0000</AppVersion>
  <Pages>5</Pages>
  <Words>2271</Words>
  <Characters>13444</Characters>
  <CharactersWithSpaces>15681</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2025-04-17T10:58:50Z</dcterms:created>
  <dc:creator/>
  <dc:description/>
  <dc:language>en-US</dc:language>
  <cp:lastModifiedBy/>
  <dcterms:modified xsi:type="dcterms:W3CDTF">2025-04-17T12:35:27Z</dcterms:modified>
  <cp:revision>1</cp:revision>
  <dc:subject/>
  <dc:title/>
</cp:coreProperties>
</file>