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365F9B49" w14:textId="61FECC0A" w:rsidR="0011239B" w:rsidRPr="003E0A95" w:rsidRDefault="00AB1BE5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Supervisor de </w:t>
            </w:r>
            <w:proofErr w:type="spellStart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26391A50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76B59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D57C96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ulio de 2018</w:t>
            </w:r>
            <w:r w:rsidR="001D2E3C">
              <w:rPr>
                <w:rFonts w:ascii="Arial" w:hAnsi="Arial" w:cs="Arial"/>
                <w:sz w:val="22"/>
                <w:szCs w:val="22"/>
                <w:lang w:val="es-ES"/>
              </w:rPr>
              <w:t>, actualización 25 de junio 2021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0F9DE34E" w14:textId="06E68C7B" w:rsidR="0011239B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proofErr w:type="spellStart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ADB879F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Operaciones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FD70826" w14:textId="4F9D5626" w:rsidR="007D62F8" w:rsidRPr="003E0A95" w:rsidRDefault="009134DC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AB1BE5" w:rsidRPr="003E0A95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peraciones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54EC25A1" w14:textId="3C8A3CA3" w:rsidR="009134DC" w:rsidRPr="005F177E" w:rsidRDefault="00342842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E16F0">
              <w:rPr>
                <w:rFonts w:ascii="Arial" w:hAnsi="Arial" w:cs="Arial"/>
                <w:sz w:val="22"/>
                <w:szCs w:val="22"/>
              </w:rPr>
              <w:t>Es responsable de</w:t>
            </w:r>
            <w:r w:rsidRPr="00BF5599">
              <w:rPr>
                <w:rFonts w:ascii="Arial" w:hAnsi="Arial" w:cs="Arial"/>
                <w:sz w:val="22"/>
                <w:szCs w:val="22"/>
                <w:lang w:val="es-ES"/>
              </w:rPr>
              <w:t xml:space="preserve"> supervisar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, coordinar</w:t>
            </w:r>
            <w:r w:rsidRPr="00BF5599">
              <w:rPr>
                <w:rFonts w:ascii="Arial" w:hAnsi="Arial" w:cs="Arial"/>
                <w:sz w:val="22"/>
                <w:szCs w:val="22"/>
                <w:lang w:val="es-ES"/>
              </w:rPr>
              <w:t xml:space="preserve"> y organizar al equipo de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Gestores </w:t>
            </w:r>
            <w:r w:rsidR="000C5431">
              <w:rPr>
                <w:rFonts w:ascii="Arial" w:hAnsi="Arial" w:cs="Arial"/>
                <w:sz w:val="22"/>
                <w:szCs w:val="22"/>
                <w:lang w:val="es-ES"/>
              </w:rPr>
              <w:t>de cobranza</w:t>
            </w:r>
            <w:r w:rsidR="0054317D">
              <w:rPr>
                <w:rFonts w:ascii="Arial" w:hAnsi="Arial" w:cs="Arial"/>
                <w:sz w:val="22"/>
                <w:szCs w:val="22"/>
                <w:lang w:val="es-ES"/>
              </w:rPr>
              <w:t>, así como</w:t>
            </w:r>
            <w:r w:rsidR="000C5431">
              <w:rPr>
                <w:rFonts w:ascii="Arial" w:hAnsi="Arial" w:cs="Arial"/>
                <w:sz w:val="22"/>
                <w:szCs w:val="22"/>
                <w:lang w:val="es-ES"/>
              </w:rPr>
              <w:t xml:space="preserve"> la administración del portafolio de cartera vencida, asignando cuentas de manera </w:t>
            </w:r>
            <w:r w:rsidR="00A62A95">
              <w:rPr>
                <w:rFonts w:ascii="Arial" w:hAnsi="Arial" w:cs="Arial"/>
                <w:sz w:val="22"/>
                <w:szCs w:val="22"/>
                <w:lang w:val="es-ES"/>
              </w:rPr>
              <w:t>estratégica</w:t>
            </w:r>
            <w:r w:rsidR="000C5431">
              <w:rPr>
                <w:rFonts w:ascii="Arial" w:hAnsi="Arial" w:cs="Arial"/>
                <w:sz w:val="22"/>
                <w:szCs w:val="22"/>
                <w:lang w:val="es-ES"/>
              </w:rPr>
              <w:t xml:space="preserve"> para la gestión de cobranza asegurando la recuperación optima mediante el adecuado cumplimiento de los procedimientos operativos que contribuyan a cumplir los objetivos de la Organización.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7E8AE1C2" w14:textId="0C00276A" w:rsidR="00B4756D" w:rsidRPr="00B00675" w:rsidRDefault="008834AA" w:rsidP="008834AA">
      <w:pPr>
        <w:tabs>
          <w:tab w:val="left" w:pos="1771"/>
        </w:tabs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ab/>
      </w: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FA49DC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62E6190F" w14:textId="13281087" w:rsidR="000C5431" w:rsidRDefault="00771876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1.- Verificar diariamente que los equipos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computo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aplicaciones funcionen de manera correcta, asegurando el arranque de la operación en tiempo y forma.</w:t>
            </w:r>
          </w:p>
          <w:p w14:paraId="030ED740" w14:textId="4E331498" w:rsidR="00771876" w:rsidRDefault="00771876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2.- Solicitar diariamente soporte al área de Business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Intelligence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mantenimiento preventivo y/o correctivo del equipo y/o aplicación </w:t>
            </w:r>
            <w:r w:rsidR="00046F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necesaria para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desempeño de las funciones de los gestores de cobranza.</w:t>
            </w:r>
          </w:p>
          <w:p w14:paraId="1C445701" w14:textId="77777777" w:rsidR="002857FD" w:rsidRDefault="002857FD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3.- Descargar diariamente la cartera del día corriente para enviarla al jefe de operaciones y al personal administrativo con la finalidad de que cuenten con la información actualizada para el desempeño de sus funciones.</w:t>
            </w:r>
          </w:p>
          <w:p w14:paraId="5B40605D" w14:textId="4D5CBF27" w:rsidR="000C5431" w:rsidRDefault="002857FD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4.- Planear </w:t>
            </w:r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comunicar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diariamente las estrategias </w:t>
            </w:r>
            <w:r w:rsidR="006E71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cobranza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en función de la cartera actualizada se realizarán garantizando la recuperación de la </w:t>
            </w:r>
            <w:r w:rsidR="00046F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misma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6228A557" w14:textId="3DB2D662" w:rsidR="002857FD" w:rsidRDefault="002857FD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5.- </w:t>
            </w:r>
            <w:r w:rsidR="006E71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Programar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diariamente </w:t>
            </w:r>
            <w:r w:rsidR="006E71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sistema las llamadas en predictivo de acuerdo a las estrategias establecidas optimizando tiempos que permitan un mayor alcance de contacto para la gestión de cobranza.</w:t>
            </w:r>
          </w:p>
          <w:p w14:paraId="10D73B15" w14:textId="5D0B943E" w:rsidR="00FA49DC" w:rsidRDefault="00FA49DC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6.- </w:t>
            </w:r>
            <w:r w:rsidR="008A7D2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Informar diariamente a los gestores de cobranza sobre los descuentos adicionales que el cliente autorice de último momento retomando a los titulares que sean candidatos para aplicar a la promoción.</w:t>
            </w:r>
          </w:p>
          <w:p w14:paraId="204308F6" w14:textId="1DD48BF2" w:rsidR="008A7D22" w:rsidRDefault="008A7D22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7.- Registrar diariamente las promesas de pago generadas por los gestores de cobranza y verificar que se realice el pago a los mismas.</w:t>
            </w:r>
          </w:p>
          <w:p w14:paraId="642ED601" w14:textId="6CFF3794" w:rsidR="000D33FF" w:rsidRDefault="008A7D22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8.- </w:t>
            </w:r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Garantizar </w:t>
            </w:r>
            <w:r w:rsidR="00A1600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diariamente </w:t>
            </w:r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los auxiliares administrativos realicen el </w:t>
            </w:r>
            <w:r w:rsidR="00046F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envío</w:t>
            </w:r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masivo de correos, </w:t>
            </w:r>
            <w:proofErr w:type="spellStart"/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sms</w:t>
            </w:r>
            <w:proofErr w:type="spellEnd"/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</w:t>
            </w:r>
            <w:proofErr w:type="spellStart"/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blaster</w:t>
            </w:r>
            <w:proofErr w:type="spellEnd"/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validando que la información enviada sea conforme a las estrategias del día.</w:t>
            </w:r>
          </w:p>
          <w:p w14:paraId="5F96F7BE" w14:textId="192A16DE" w:rsidR="000D33FF" w:rsidRDefault="000D33FF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9.- Garantizar diariamente que los gestores de cobranza realizan la gestión conforme a los procedimientos establecidos.</w:t>
            </w:r>
          </w:p>
          <w:p w14:paraId="7EBC016F" w14:textId="6DA90EE8" w:rsidR="000D33FF" w:rsidRDefault="000D33FF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10.- </w:t>
            </w:r>
            <w:r w:rsidR="00F362F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Analizar, enviar y controlar</w:t>
            </w:r>
            <w:r w:rsidR="00A1600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diariamente </w:t>
            </w:r>
            <w:r w:rsidR="00F362F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 solicitud de excepciones de pago solicitadas por los titulares y garantizar que los pagos autorizados se realicen en tiempo y forma.</w:t>
            </w:r>
          </w:p>
          <w:p w14:paraId="08D2A8FD" w14:textId="2B59AE95" w:rsidR="00A16007" w:rsidRDefault="00A16007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11.- Otorgar diariamente </w:t>
            </w:r>
            <w:r w:rsidR="0077643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soporte a los gestores de cobranza en las actividades en que tengan duda y/o requieran de su apoyo</w:t>
            </w:r>
            <w:r w:rsidR="00A7101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que se desempeñen de la mejor manera.</w:t>
            </w:r>
          </w:p>
          <w:p w14:paraId="08FFBB50" w14:textId="14683AB8" w:rsidR="00776430" w:rsidRDefault="00776430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lastRenderedPageBreak/>
              <w:t>12.- Medir diariamente el rendimiento de los gestores de cobranza por medio de indicadore</w:t>
            </w:r>
            <w:r w:rsidR="00DA509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s.</w:t>
            </w:r>
          </w:p>
          <w:p w14:paraId="7DA152C5" w14:textId="71A91814" w:rsidR="00DA5097" w:rsidRDefault="00DA5097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13.- Proporcionar diariamente retroalimentación a los gestores de cobranza sobre su desempeño observado y monitoreado en sus llamadas</w:t>
            </w:r>
            <w:r w:rsidR="002F003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71129DE" w14:textId="4A69A817" w:rsidR="008305F1" w:rsidRPr="002F003B" w:rsidRDefault="002F003B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14.-</w:t>
            </w:r>
            <w:r w:rsidR="00E74E59"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Asegurar diariamente</w:t>
            </w:r>
            <w:r w:rsid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que se cumpla con el reglamento inte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rior de trabajo, políticas y procedimientos establecidos.</w:t>
            </w:r>
          </w:p>
          <w:p w14:paraId="4583C9D6" w14:textId="44FA694A" w:rsidR="008305F1" w:rsidRDefault="00E74E59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AC51E7">
              <w:rPr>
                <w:rFonts w:ascii="Arial" w:hAnsi="Arial" w:cs="Arial"/>
                <w:sz w:val="22"/>
                <w:szCs w:val="22"/>
              </w:rPr>
              <w:t>1</w:t>
            </w:r>
            <w:r w:rsidR="002F003B"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AC51E7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Asegurar diariamente el correcto funcionamiento de los equipos y materiales ocupados por los gestores</w:t>
            </w:r>
            <w:r w:rsidR="00AE0E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así como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reportar cualquier falla con el área correspondiente</w:t>
            </w:r>
            <w:r w:rsid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asegurar su </w:t>
            </w:r>
            <w:r w:rsidR="0081090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resolución</w:t>
            </w:r>
            <w:r w:rsid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en tiempo y forma</w:t>
            </w:r>
            <w:r w:rsidR="00AE0E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 la finalidad de</w:t>
            </w:r>
            <w:r w:rsidR="005E211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garantizar el correcto funcionamiento</w:t>
            </w:r>
            <w:r w:rsidR="00AE0E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5E211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</w:t>
            </w:r>
            <w:r w:rsidR="00AE0E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 la operación</w:t>
            </w:r>
            <w:r w:rsidR="00AC51E7" w:rsidRP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41103B0" w14:textId="1BC73A4D" w:rsidR="000B2328" w:rsidRPr="000B2328" w:rsidRDefault="004B422C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16.- Garantizar diariamente que las cuentas con apertura de convenio o liquidación cuenten con el bloqueo indicado dentro de la plataforma del cliente.</w:t>
            </w:r>
          </w:p>
          <w:p w14:paraId="097C6662" w14:textId="77777777" w:rsidR="009134DC" w:rsidRPr="00B05B38" w:rsidRDefault="009134DC" w:rsidP="00FA49DC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77777777" w:rsidR="004C5260" w:rsidRPr="00B00675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0D1A76C" w14:textId="77777777" w:rsidR="008305F1" w:rsidRPr="00B00675" w:rsidRDefault="008305F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D57C96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079EDCA4" w14:textId="789B6B73" w:rsidR="005D3C4D" w:rsidRPr="00B05B38" w:rsidRDefault="00DE625A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"/>
              </w:rPr>
              <w:drawing>
                <wp:inline distT="0" distB="0" distL="0" distR="0" wp14:anchorId="7DA2FFDF" wp14:editId="0D0E4C8D">
                  <wp:extent cx="4143375" cy="42291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8DF9" w14:textId="46D10620" w:rsidR="00B00675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BE4D915" w14:textId="7568E433" w:rsidR="008834AA" w:rsidRDefault="008834A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407761B" w14:textId="7CF4B704" w:rsidR="008834AA" w:rsidRDefault="008834A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31E066B" w14:textId="41E91B5A" w:rsidR="008834AA" w:rsidRDefault="008834A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26CB156D" w14:textId="5801C63F" w:rsidR="008834AA" w:rsidRDefault="008834A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71F3BF2" w14:textId="644BA3AE" w:rsidR="008834AA" w:rsidRDefault="008834A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44D33236" w14:textId="77777777" w:rsidR="008834AA" w:rsidRPr="00E10642" w:rsidRDefault="008834A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0AD4C46F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6AE35A63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5A9A408B" w14:textId="77B33D36" w:rsidR="0011239B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3E628CDB" w:rsidR="009134DC" w:rsidRPr="0011239B" w:rsidRDefault="0081090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a 45 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>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5F0F93C3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Licenciatura en Administración o afín (trunca)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3A49028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7A845E33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25F6BCC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63D9B2F7" w:rsidR="009134DC" w:rsidRPr="00810903" w:rsidRDefault="0081090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Conocimiento en estrategias de cobranza y ventas, movimientos tarjetas de crédito</w:t>
            </w:r>
            <w:r w:rsidR="000F3A9D" w:rsidRPr="00810903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1BE64104" w:rsidR="009134DC" w:rsidRPr="0011239B" w:rsidRDefault="000F3A9D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Trámites bancarios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0401E6BE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Manejo de paquetería office, Manejo intermedio de Excel, Liderazgo, Resolución de Conflictos, Manejo de grupo, Organización</w:t>
            </w:r>
            <w:r w:rsidR="000F3A9D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10AC0DD4" w:rsidR="009134DC" w:rsidRPr="0011239B" w:rsidRDefault="003E0A95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Excel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nivel intermedio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45924A56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Comunicación, Responsabilidad,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Innovación, Atención al cliente,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Resolución de problemas.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Facilidad de palabra,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Dinámico, Orientado a resultados, negociación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0D158CC4" w:rsidR="009134DC" w:rsidRPr="0011239B" w:rsidRDefault="0081090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7837BB3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760016B3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</w:t>
            </w:r>
            <w:r w:rsidR="00810903" w:rsidRP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>segurar que los gestores cumplan con los objetivos de recuperación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/venta</w:t>
            </w:r>
            <w:r w:rsidR="00810903" w:rsidRP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mensual establecida</w:t>
            </w:r>
            <w:r w:rsid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así como de proporcionar </w:t>
            </w:r>
            <w:r w:rsidR="000F3A9D" w:rsidRP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a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0F3A9D" w:rsidRP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l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o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="000F3A9D" w:rsidRP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mismos</w:t>
            </w:r>
            <w:r w:rsidR="00BA14BE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manera eficiente y oportuna</w:t>
            </w:r>
            <w:r w:rsidR="00BA14BE"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 la finalidad 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alcanzar los objetivos de la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O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rganización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49067025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7049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498D" w:rsidRPr="0070498D">
              <w:rPr>
                <w:rFonts w:ascii="Arial" w:hAnsi="Arial" w:cs="Arial"/>
                <w:sz w:val="22"/>
                <w:szCs w:val="22"/>
              </w:rPr>
              <w:t>Gestores telefónicos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1C383559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2E6308E4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364BEA0B" w14:textId="1D7675A4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648BE679" w14:textId="66159E40" w:rsidR="008834AA" w:rsidRDefault="008834AA" w:rsidP="00546609">
      <w:pPr>
        <w:ind w:right="-1135"/>
        <w:rPr>
          <w:rFonts w:ascii="Arial" w:hAnsi="Arial" w:cs="Arial"/>
          <w:sz w:val="13"/>
          <w:szCs w:val="13"/>
        </w:rPr>
      </w:pPr>
    </w:p>
    <w:p w14:paraId="6664E579" w14:textId="47C44632" w:rsidR="008834AA" w:rsidRDefault="008834AA" w:rsidP="00546609">
      <w:pPr>
        <w:ind w:right="-1135"/>
        <w:rPr>
          <w:rFonts w:ascii="Arial" w:hAnsi="Arial" w:cs="Arial"/>
          <w:sz w:val="13"/>
          <w:szCs w:val="13"/>
        </w:rPr>
      </w:pPr>
    </w:p>
    <w:p w14:paraId="4FC5D3F0" w14:textId="77777777" w:rsidR="008834AA" w:rsidRPr="00B00675" w:rsidRDefault="008834AA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28B5EEC3" w:rsidR="009134DC" w:rsidRPr="00C4207A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Jefe de Operaciones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523982E" w14:textId="77777777" w:rsidR="0070498D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3A87B7E" w14:textId="54D97328" w:rsidR="004F4C62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3D0CF9B0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8B5D96F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7A4EBF7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37E7B90" w14:textId="268F3E98" w:rsidR="009134DC" w:rsidRPr="00C4207A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Recursos Humanos</w:t>
            </w:r>
          </w:p>
          <w:p w14:paraId="1901C142" w14:textId="77777777" w:rsidR="004F4C62" w:rsidRDefault="004F4C62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1CCF5677" w:rsidR="004F4C62" w:rsidRPr="00BA14BE" w:rsidRDefault="004F4C62" w:rsidP="0070498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154017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3D7BE3A8" w:rsidR="009134DC" w:rsidRPr="00154017" w:rsidRDefault="0070498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 lo concerniente a i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nformar sobre los resultados diarios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apoyar en las evaluaciones de desempeño de los gestores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telefónicos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4F4C62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4A5821D" w14:textId="1898DFE0" w:rsidR="009134DC" w:rsidRPr="004F4C62" w:rsidRDefault="0070498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a los equipos de </w:t>
            </w:r>
            <w:proofErr w:type="spellStart"/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computo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herramientas tecnológicas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1C7D5958" w14:textId="77777777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486F43B" w14:textId="6FAD7D96" w:rsidR="004F4C62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Informar sobre ausentismos o cualquier incidencia de los gestores, así como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apoyo para confirmar la 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selección de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los mismos</w:t>
            </w:r>
            <w:r w:rsidR="009134DC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9649FB2" w14:textId="0B3D94ED" w:rsidR="0070498D" w:rsidRPr="0070498D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73D990FD" w:rsidR="004F4C62" w:rsidRPr="003A417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4F4C62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DD03EB7" w14:textId="60B9A0CA" w:rsidR="004F4C62" w:rsidRDefault="0070498D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Entrega de reportes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sobre la operación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dictámenes,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y 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avance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pagos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correspondientes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2A3D5AC4" w14:textId="6EEFBA70" w:rsidR="004F4C62" w:rsidRPr="00C4207A" w:rsidRDefault="004F4C62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17B89B59" w14:textId="77777777" w:rsidR="00B00675" w:rsidRDefault="00B0067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-65"/>
        <w:tblW w:w="10774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D57C96" w:rsidRPr="0000530C" w14:paraId="511A0CD9" w14:textId="77777777" w:rsidTr="00D57C96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0C526C86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D57C96" w:rsidRPr="00E10642" w14:paraId="0A7AE7FB" w14:textId="77777777" w:rsidTr="00D57C96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6F6BB533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213539A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D57C96" w:rsidRPr="00E10642" w14:paraId="0C395246" w14:textId="77777777" w:rsidTr="00D57C96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8224208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54BE913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D57C96" w:rsidRPr="00E10642" w14:paraId="28AF8383" w14:textId="77777777" w:rsidTr="00D57C96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0E160F24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7F4F8508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D57C96" w:rsidRPr="00E10642" w14:paraId="47C89891" w14:textId="77777777" w:rsidTr="00D57C96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054F8F3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06DF839B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D57C96" w:rsidRPr="00E10642" w14:paraId="29329122" w14:textId="77777777" w:rsidTr="00D57C96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591C28C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73E166D3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D57C96" w:rsidRPr="00E10642" w14:paraId="21B132BF" w14:textId="77777777" w:rsidTr="00D57C96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3F68F29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74DEC825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D57C96" w:rsidRPr="00E10642" w14:paraId="02ADCD49" w14:textId="77777777" w:rsidTr="00D57C96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25F4943E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2E7D39C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29482916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1F36C81" w:rsidR="009134DC" w:rsidRPr="00BA037F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505D0A28" w:rsidR="009134DC" w:rsidRPr="00BA037F" w:rsidRDefault="009421ED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1C5B8038" w:rsidR="009134DC" w:rsidRPr="00BA037F" w:rsidRDefault="009421ED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1AA204C2" w14:textId="77777777" w:rsidR="004C5260" w:rsidRPr="00B00675" w:rsidRDefault="004C5260" w:rsidP="009134DC">
      <w:pPr>
        <w:rPr>
          <w:rFonts w:ascii="Arial" w:hAnsi="Arial" w:cs="Arial"/>
          <w:sz w:val="13"/>
          <w:szCs w:val="13"/>
        </w:rPr>
      </w:pPr>
    </w:p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44FA2EE7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 </w:t>
            </w:r>
            <w:r w:rsidR="009421ED"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de Cómputo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5AFAE2CB" w14:textId="60A9132E" w:rsidR="00BA037F" w:rsidRDefault="00BA037F" w:rsidP="009134DC"/>
    <w:p w14:paraId="5151A540" w14:textId="443D7B6A" w:rsidR="00D57C96" w:rsidRDefault="00D57C96" w:rsidP="009134DC"/>
    <w:p w14:paraId="05B47252" w14:textId="76925AF9" w:rsidR="00D57C96" w:rsidRDefault="00D57C96" w:rsidP="009134DC"/>
    <w:p w14:paraId="67B90295" w14:textId="77777777" w:rsidR="00D57C96" w:rsidRDefault="00D57C96" w:rsidP="009134DC"/>
    <w:p w14:paraId="65DB7DB4" w14:textId="77777777" w:rsidR="00BA037F" w:rsidRDefault="00BA037F" w:rsidP="009134DC"/>
    <w:p w14:paraId="30725B2D" w14:textId="77777777" w:rsidR="00BA037F" w:rsidRDefault="00BA037F" w:rsidP="009134DC"/>
    <w:p w14:paraId="2CB729CB" w14:textId="77777777" w:rsidR="00834494" w:rsidRDefault="00834494" w:rsidP="009134DC"/>
    <w:p w14:paraId="09CB215F" w14:textId="77777777" w:rsidR="00834494" w:rsidRDefault="00834494" w:rsidP="009134DC"/>
    <w:p w14:paraId="50CBFE12" w14:textId="77777777" w:rsidR="00834494" w:rsidRDefault="00834494" w:rsidP="009134DC"/>
    <w:p w14:paraId="3CDEDA19" w14:textId="77777777" w:rsidR="00834494" w:rsidRDefault="00834494" w:rsidP="009134DC"/>
    <w:p w14:paraId="5BCCF2C5" w14:textId="77777777" w:rsidR="00834494" w:rsidRDefault="00834494" w:rsidP="00834494"/>
    <w:p w14:paraId="608A6461" w14:textId="77777777" w:rsidR="00834494" w:rsidRDefault="00834494" w:rsidP="00834494"/>
    <w:p w14:paraId="3839BDE6" w14:textId="77777777" w:rsidR="00834494" w:rsidRDefault="00834494" w:rsidP="00834494"/>
    <w:p w14:paraId="1A36E02C" w14:textId="77777777" w:rsidR="00834494" w:rsidRDefault="00834494" w:rsidP="00834494"/>
    <w:tbl>
      <w:tblPr>
        <w:tblpPr w:leftFromText="141" w:rightFromText="141" w:vertAnchor="text" w:horzAnchor="margin" w:tblpXSpec="center" w:tblpY="-3523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1D349A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1D349A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30462DA9" w:rsidR="00834494" w:rsidRPr="00BA037F" w:rsidRDefault="00CF775F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Lic. </w:t>
            </w:r>
            <w:r w:rsidR="00834494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06BE9D6C" w:rsidR="00834494" w:rsidRPr="00BA037F" w:rsidRDefault="00CF775F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Ing. </w:t>
            </w:r>
            <w:r w:rsidR="00834494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Enrique</w:t>
            </w:r>
            <w:r w:rsidR="00834494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Padilla Fitch</w:t>
            </w:r>
          </w:p>
        </w:tc>
      </w:tr>
      <w:tr w:rsidR="00440080" w:rsidRPr="00517C28" w14:paraId="30AC46DA" w14:textId="77777777" w:rsidTr="001D349A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CD05" w14:textId="77777777" w:rsidR="00A03DEC" w:rsidRDefault="00A03DEC" w:rsidP="00B4756D">
      <w:r>
        <w:separator/>
      </w:r>
    </w:p>
  </w:endnote>
  <w:endnote w:type="continuationSeparator" w:id="0">
    <w:p w14:paraId="239C4B70" w14:textId="77777777" w:rsidR="00A03DEC" w:rsidRDefault="00A03DEC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74E62" w14:textId="301790C2" w:rsidR="00D57C96" w:rsidRPr="00D57C96" w:rsidRDefault="00D57C96" w:rsidP="00D57C96">
    <w:pPr>
      <w:pStyle w:val="Piedepgina"/>
      <w:jc w:val="right"/>
      <w:rPr>
        <w:rFonts w:ascii="Arial" w:hAnsi="Arial" w:cs="Arial"/>
      </w:rPr>
    </w:pPr>
    <w:r w:rsidRPr="00D948E1"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7AB5" w14:textId="77777777" w:rsidR="00A03DEC" w:rsidRDefault="00A03DEC" w:rsidP="00B4756D">
      <w:r>
        <w:separator/>
      </w:r>
    </w:p>
  </w:footnote>
  <w:footnote w:type="continuationSeparator" w:id="0">
    <w:p w14:paraId="363CF1C2" w14:textId="77777777" w:rsidR="00A03DEC" w:rsidRDefault="00A03DEC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387477">
    <w:abstractNumId w:val="2"/>
  </w:num>
  <w:num w:numId="2" w16cid:durableId="2077631004">
    <w:abstractNumId w:val="0"/>
  </w:num>
  <w:num w:numId="3" w16cid:durableId="1646281668">
    <w:abstractNumId w:val="3"/>
  </w:num>
  <w:num w:numId="4" w16cid:durableId="169298939">
    <w:abstractNumId w:val="1"/>
  </w:num>
  <w:num w:numId="5" w16cid:durableId="1429040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4B30"/>
    <w:rsid w:val="0000530C"/>
    <w:rsid w:val="0001600F"/>
    <w:rsid w:val="00023F54"/>
    <w:rsid w:val="00046F3A"/>
    <w:rsid w:val="00057738"/>
    <w:rsid w:val="00074E0B"/>
    <w:rsid w:val="0008210D"/>
    <w:rsid w:val="00083202"/>
    <w:rsid w:val="000B2328"/>
    <w:rsid w:val="000C5431"/>
    <w:rsid w:val="000D33FF"/>
    <w:rsid w:val="000F3A9D"/>
    <w:rsid w:val="00101478"/>
    <w:rsid w:val="0011239B"/>
    <w:rsid w:val="00126007"/>
    <w:rsid w:val="00152C9C"/>
    <w:rsid w:val="00154017"/>
    <w:rsid w:val="00174A48"/>
    <w:rsid w:val="00183708"/>
    <w:rsid w:val="001878A3"/>
    <w:rsid w:val="001B783B"/>
    <w:rsid w:val="001D2E3C"/>
    <w:rsid w:val="001D349A"/>
    <w:rsid w:val="00237B0A"/>
    <w:rsid w:val="0024012F"/>
    <w:rsid w:val="002425BC"/>
    <w:rsid w:val="00270132"/>
    <w:rsid w:val="00275FFC"/>
    <w:rsid w:val="002857FD"/>
    <w:rsid w:val="00290740"/>
    <w:rsid w:val="002B2C69"/>
    <w:rsid w:val="002B44A4"/>
    <w:rsid w:val="002F003B"/>
    <w:rsid w:val="003010D9"/>
    <w:rsid w:val="00306B93"/>
    <w:rsid w:val="00323F4C"/>
    <w:rsid w:val="003344D1"/>
    <w:rsid w:val="00342842"/>
    <w:rsid w:val="00344629"/>
    <w:rsid w:val="00376B59"/>
    <w:rsid w:val="0038273E"/>
    <w:rsid w:val="003A4178"/>
    <w:rsid w:val="003A6F7C"/>
    <w:rsid w:val="003C6CDC"/>
    <w:rsid w:val="003E0A95"/>
    <w:rsid w:val="00440080"/>
    <w:rsid w:val="00462E11"/>
    <w:rsid w:val="00471DFA"/>
    <w:rsid w:val="004B422C"/>
    <w:rsid w:val="004C5260"/>
    <w:rsid w:val="004C683B"/>
    <w:rsid w:val="004E1E34"/>
    <w:rsid w:val="004E4F7D"/>
    <w:rsid w:val="004F4C62"/>
    <w:rsid w:val="005340BD"/>
    <w:rsid w:val="0054317D"/>
    <w:rsid w:val="00546609"/>
    <w:rsid w:val="0056353E"/>
    <w:rsid w:val="005672B2"/>
    <w:rsid w:val="005821C5"/>
    <w:rsid w:val="0059767C"/>
    <w:rsid w:val="005A27EE"/>
    <w:rsid w:val="005C277E"/>
    <w:rsid w:val="005C5538"/>
    <w:rsid w:val="005D3C4D"/>
    <w:rsid w:val="005E1662"/>
    <w:rsid w:val="005E2118"/>
    <w:rsid w:val="005E3A46"/>
    <w:rsid w:val="005F177E"/>
    <w:rsid w:val="005F4809"/>
    <w:rsid w:val="00612D3A"/>
    <w:rsid w:val="00642036"/>
    <w:rsid w:val="00642B37"/>
    <w:rsid w:val="00656DB4"/>
    <w:rsid w:val="00670E23"/>
    <w:rsid w:val="00695CB7"/>
    <w:rsid w:val="006A1EEF"/>
    <w:rsid w:val="006A6C32"/>
    <w:rsid w:val="006C1765"/>
    <w:rsid w:val="006E7188"/>
    <w:rsid w:val="00702E81"/>
    <w:rsid w:val="0070498D"/>
    <w:rsid w:val="00726302"/>
    <w:rsid w:val="00734925"/>
    <w:rsid w:val="0074087C"/>
    <w:rsid w:val="00754C4F"/>
    <w:rsid w:val="007618E2"/>
    <w:rsid w:val="00771876"/>
    <w:rsid w:val="00776430"/>
    <w:rsid w:val="007B3A9D"/>
    <w:rsid w:val="007D32AE"/>
    <w:rsid w:val="007D62F8"/>
    <w:rsid w:val="00802F30"/>
    <w:rsid w:val="00807BAF"/>
    <w:rsid w:val="00810903"/>
    <w:rsid w:val="008232DF"/>
    <w:rsid w:val="00825BE7"/>
    <w:rsid w:val="008305F1"/>
    <w:rsid w:val="00834494"/>
    <w:rsid w:val="008434E1"/>
    <w:rsid w:val="008469BE"/>
    <w:rsid w:val="00854818"/>
    <w:rsid w:val="008553E3"/>
    <w:rsid w:val="0086035A"/>
    <w:rsid w:val="00860831"/>
    <w:rsid w:val="008834AA"/>
    <w:rsid w:val="00884294"/>
    <w:rsid w:val="00894AC8"/>
    <w:rsid w:val="008A7D22"/>
    <w:rsid w:val="008E534C"/>
    <w:rsid w:val="008F01E3"/>
    <w:rsid w:val="009134DC"/>
    <w:rsid w:val="00916A46"/>
    <w:rsid w:val="00917FF2"/>
    <w:rsid w:val="00937D66"/>
    <w:rsid w:val="009421ED"/>
    <w:rsid w:val="00955A39"/>
    <w:rsid w:val="00982DA2"/>
    <w:rsid w:val="009966B3"/>
    <w:rsid w:val="009A5BD1"/>
    <w:rsid w:val="009C1406"/>
    <w:rsid w:val="009D6052"/>
    <w:rsid w:val="009E5248"/>
    <w:rsid w:val="009E7D54"/>
    <w:rsid w:val="00A01CD0"/>
    <w:rsid w:val="00A03DEC"/>
    <w:rsid w:val="00A16007"/>
    <w:rsid w:val="00A16D18"/>
    <w:rsid w:val="00A46A4E"/>
    <w:rsid w:val="00A62A95"/>
    <w:rsid w:val="00A7101A"/>
    <w:rsid w:val="00AA03E3"/>
    <w:rsid w:val="00AB1BE5"/>
    <w:rsid w:val="00AC51E7"/>
    <w:rsid w:val="00AE0E88"/>
    <w:rsid w:val="00B00675"/>
    <w:rsid w:val="00B0200D"/>
    <w:rsid w:val="00B05B38"/>
    <w:rsid w:val="00B46A17"/>
    <w:rsid w:val="00B4756D"/>
    <w:rsid w:val="00B57D44"/>
    <w:rsid w:val="00B7672B"/>
    <w:rsid w:val="00BA037F"/>
    <w:rsid w:val="00BA14BE"/>
    <w:rsid w:val="00BA6187"/>
    <w:rsid w:val="00BC157F"/>
    <w:rsid w:val="00BE032B"/>
    <w:rsid w:val="00BF37B4"/>
    <w:rsid w:val="00BF5599"/>
    <w:rsid w:val="00C00D92"/>
    <w:rsid w:val="00C03C78"/>
    <w:rsid w:val="00C4207A"/>
    <w:rsid w:val="00C4747E"/>
    <w:rsid w:val="00C620EA"/>
    <w:rsid w:val="00C748F4"/>
    <w:rsid w:val="00C8722A"/>
    <w:rsid w:val="00CA6131"/>
    <w:rsid w:val="00CC442F"/>
    <w:rsid w:val="00CC55FE"/>
    <w:rsid w:val="00CD4327"/>
    <w:rsid w:val="00CF775F"/>
    <w:rsid w:val="00D05347"/>
    <w:rsid w:val="00D57C96"/>
    <w:rsid w:val="00D63F2F"/>
    <w:rsid w:val="00DA5097"/>
    <w:rsid w:val="00DB0B3F"/>
    <w:rsid w:val="00DD15AC"/>
    <w:rsid w:val="00DD4F0A"/>
    <w:rsid w:val="00DE16F0"/>
    <w:rsid w:val="00DE625A"/>
    <w:rsid w:val="00DE6D63"/>
    <w:rsid w:val="00DF610B"/>
    <w:rsid w:val="00E070C0"/>
    <w:rsid w:val="00E113C4"/>
    <w:rsid w:val="00E2127B"/>
    <w:rsid w:val="00E46101"/>
    <w:rsid w:val="00E51681"/>
    <w:rsid w:val="00E74E59"/>
    <w:rsid w:val="00E87201"/>
    <w:rsid w:val="00E91366"/>
    <w:rsid w:val="00EB5158"/>
    <w:rsid w:val="00ED0F63"/>
    <w:rsid w:val="00F271C5"/>
    <w:rsid w:val="00F32443"/>
    <w:rsid w:val="00F362F8"/>
    <w:rsid w:val="00F36599"/>
    <w:rsid w:val="00F44742"/>
    <w:rsid w:val="00F47A12"/>
    <w:rsid w:val="00F73810"/>
    <w:rsid w:val="00FA3BC6"/>
    <w:rsid w:val="00FA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26E9-7419-0C4A-B6D2-73867997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40</cp:revision>
  <cp:lastPrinted>2018-07-27T17:48:00Z</cp:lastPrinted>
  <dcterms:created xsi:type="dcterms:W3CDTF">2018-08-23T12:10:00Z</dcterms:created>
  <dcterms:modified xsi:type="dcterms:W3CDTF">2023-03-30T17:05:00Z</dcterms:modified>
</cp:coreProperties>
</file>