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741D" w14:textId="0A0CB6FC" w:rsidR="00062832" w:rsidRPr="00491EAF" w:rsidRDefault="00EE4440" w:rsidP="00A35D63">
      <w:pPr>
        <w:jc w:val="center"/>
        <w:rPr>
          <w:rFonts w:ascii="Gill Sans MT" w:hAnsi="Gill Sans MT"/>
          <w:b/>
          <w:bCs/>
          <w:sz w:val="32"/>
          <w:szCs w:val="32"/>
        </w:rPr>
      </w:pPr>
      <w:r w:rsidRPr="00491EAF">
        <w:rPr>
          <w:rFonts w:ascii="Gill Sans MT" w:hAnsi="Gill Sans MT"/>
          <w:b/>
          <w:bCs/>
          <w:sz w:val="32"/>
          <w:szCs w:val="32"/>
        </w:rPr>
        <w:t>Project Glacier Executive Summary</w:t>
      </w:r>
    </w:p>
    <w:p w14:paraId="24D4A6C8" w14:textId="0D0F1A34" w:rsidR="00EE4440" w:rsidRPr="00491EAF" w:rsidRDefault="00EE4440">
      <w:pPr>
        <w:rPr>
          <w:rFonts w:ascii="Gill Sans MT" w:hAnsi="Gill Sans MT"/>
          <w:sz w:val="24"/>
          <w:szCs w:val="24"/>
        </w:rPr>
      </w:pPr>
    </w:p>
    <w:p w14:paraId="6AA6915B" w14:textId="77777777" w:rsidR="00C75775" w:rsidRPr="00491EAF" w:rsidRDefault="005923FE">
      <w:pPr>
        <w:rPr>
          <w:rFonts w:ascii="Gill Sans MT" w:hAnsi="Gill Sans MT"/>
          <w:b/>
          <w:bCs/>
          <w:sz w:val="24"/>
          <w:szCs w:val="24"/>
        </w:rPr>
      </w:pPr>
      <w:r w:rsidRPr="00491EAF">
        <w:rPr>
          <w:rFonts w:ascii="Gill Sans MT" w:hAnsi="Gill Sans MT"/>
          <w:b/>
          <w:bCs/>
          <w:sz w:val="24"/>
          <w:szCs w:val="24"/>
        </w:rPr>
        <w:t>Business Initiative</w:t>
      </w:r>
    </w:p>
    <w:p w14:paraId="176D04AD" w14:textId="5BF88203" w:rsidR="00EE4440" w:rsidRPr="00491EAF" w:rsidRDefault="00C00659">
      <w:pPr>
        <w:rPr>
          <w:rFonts w:ascii="Gill Sans MT" w:hAnsi="Gill Sans MT"/>
          <w:sz w:val="24"/>
          <w:szCs w:val="24"/>
        </w:rPr>
      </w:pPr>
      <w:r w:rsidRPr="00491EAF">
        <w:rPr>
          <w:rFonts w:ascii="Gill Sans MT" w:hAnsi="Gill Sans MT"/>
          <w:sz w:val="24"/>
          <w:szCs w:val="24"/>
        </w:rPr>
        <w:t>Our client, a</w:t>
      </w:r>
      <w:r w:rsidR="005D4C20" w:rsidRPr="00491EAF">
        <w:rPr>
          <w:rFonts w:ascii="Gill Sans MT" w:hAnsi="Gill Sans MT"/>
          <w:sz w:val="24"/>
          <w:szCs w:val="24"/>
        </w:rPr>
        <w:t xml:space="preserve"> beverage co-manufacturer and co-packer</w:t>
      </w:r>
      <w:r w:rsidRPr="00491EAF">
        <w:rPr>
          <w:rFonts w:ascii="Gill Sans MT" w:hAnsi="Gill Sans MT"/>
          <w:sz w:val="24"/>
          <w:szCs w:val="24"/>
        </w:rPr>
        <w:t>,</w:t>
      </w:r>
      <w:r w:rsidR="005D4C20" w:rsidRPr="00491EAF">
        <w:rPr>
          <w:rFonts w:ascii="Gill Sans MT" w:hAnsi="Gill Sans MT"/>
          <w:sz w:val="24"/>
          <w:szCs w:val="24"/>
        </w:rPr>
        <w:t xml:space="preserve"> is expanding into the eastern half of the United States.</w:t>
      </w:r>
      <w:r w:rsidR="00AA6C40" w:rsidRPr="00491EAF">
        <w:rPr>
          <w:rFonts w:ascii="Gill Sans MT" w:hAnsi="Gill Sans MT"/>
          <w:sz w:val="24"/>
          <w:szCs w:val="24"/>
        </w:rPr>
        <w:t xml:space="preserve"> </w:t>
      </w:r>
      <w:r w:rsidR="00176F99" w:rsidRPr="00491EAF">
        <w:rPr>
          <w:rFonts w:ascii="Gill Sans MT" w:hAnsi="Gill Sans MT"/>
          <w:sz w:val="24"/>
          <w:szCs w:val="24"/>
        </w:rPr>
        <w:t>Products include coffees and teas</w:t>
      </w:r>
      <w:r w:rsidR="009675AE" w:rsidRPr="00491EAF">
        <w:rPr>
          <w:rFonts w:ascii="Gill Sans MT" w:hAnsi="Gill Sans MT"/>
          <w:sz w:val="24"/>
          <w:szCs w:val="24"/>
        </w:rPr>
        <w:t>, branc</w:t>
      </w:r>
      <w:r w:rsidR="00780F44" w:rsidRPr="00491EAF">
        <w:rPr>
          <w:rFonts w:ascii="Gill Sans MT" w:hAnsi="Gill Sans MT"/>
          <w:sz w:val="24"/>
          <w:szCs w:val="24"/>
        </w:rPr>
        <w:t>h</w:t>
      </w:r>
      <w:r w:rsidR="009675AE" w:rsidRPr="00491EAF">
        <w:rPr>
          <w:rFonts w:ascii="Gill Sans MT" w:hAnsi="Gill Sans MT"/>
          <w:sz w:val="24"/>
          <w:szCs w:val="24"/>
        </w:rPr>
        <w:t xml:space="preserve">ing into </w:t>
      </w:r>
      <w:r w:rsidR="00477B28" w:rsidRPr="00491EAF">
        <w:rPr>
          <w:rFonts w:ascii="Gill Sans MT" w:hAnsi="Gill Sans MT"/>
          <w:sz w:val="24"/>
          <w:szCs w:val="24"/>
        </w:rPr>
        <w:t xml:space="preserve">juices, soft drinks, and potentially alcoholic beverages. </w:t>
      </w:r>
      <w:r w:rsidR="00AA6C40" w:rsidRPr="00491EAF">
        <w:rPr>
          <w:rFonts w:ascii="Gill Sans MT" w:hAnsi="Gill Sans MT"/>
          <w:sz w:val="24"/>
          <w:szCs w:val="24"/>
        </w:rPr>
        <w:t xml:space="preserve">Five critical location factors </w:t>
      </w:r>
      <w:r w:rsidR="00C75775" w:rsidRPr="00491EAF">
        <w:rPr>
          <w:rFonts w:ascii="Gill Sans MT" w:hAnsi="Gill Sans MT"/>
          <w:sz w:val="24"/>
          <w:szCs w:val="24"/>
        </w:rPr>
        <w:t>were identified:</w:t>
      </w:r>
    </w:p>
    <w:p w14:paraId="32C3EED5" w14:textId="21AE2EB5" w:rsidR="006A5CA9" w:rsidRPr="00491EAF" w:rsidRDefault="006A5CA9">
      <w:pPr>
        <w:rPr>
          <w:rFonts w:ascii="Gill Sans MT" w:hAnsi="Gill Sans MT"/>
          <w:sz w:val="24"/>
          <w:szCs w:val="24"/>
        </w:rPr>
      </w:pPr>
    </w:p>
    <w:p w14:paraId="32429A9D" w14:textId="51F9607C" w:rsidR="006A5CA9" w:rsidRPr="00491EAF" w:rsidRDefault="006A5CA9" w:rsidP="00564C30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491EAF">
        <w:rPr>
          <w:rFonts w:ascii="Gill Sans MT" w:hAnsi="Gill Sans MT"/>
          <w:sz w:val="24"/>
          <w:szCs w:val="24"/>
        </w:rPr>
        <w:t>Minimize upfront cost of start up</w:t>
      </w:r>
    </w:p>
    <w:p w14:paraId="07E04D23" w14:textId="594D6349" w:rsidR="00564C30" w:rsidRPr="00491EAF" w:rsidRDefault="00564C30" w:rsidP="00A31043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2" w:line="237" w:lineRule="auto"/>
        <w:ind w:right="20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>Minimize utility and property tax costs as</w:t>
      </w:r>
      <w:r w:rsidR="00A31043" w:rsidRPr="00491EAF">
        <w:rPr>
          <w:rFonts w:ascii="Gill Sans MT" w:hAnsi="Gill Sans MT" w:cs="Times New Roman"/>
          <w:sz w:val="24"/>
          <w:szCs w:val="24"/>
        </w:rPr>
        <w:t xml:space="preserve"> a </w:t>
      </w:r>
      <w:r w:rsidRPr="00491EAF">
        <w:rPr>
          <w:rFonts w:ascii="Gill Sans MT" w:hAnsi="Gill Sans MT" w:cs="Times New Roman"/>
          <w:sz w:val="24"/>
          <w:szCs w:val="24"/>
        </w:rPr>
        <w:t>share of</w:t>
      </w:r>
      <w:r w:rsidR="00A31043" w:rsidRPr="00491EAF">
        <w:rPr>
          <w:rFonts w:ascii="Gill Sans MT" w:hAnsi="Gill Sans MT" w:cs="Times New Roman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total</w:t>
      </w:r>
      <w:r w:rsidRPr="00491EAF">
        <w:rPr>
          <w:rFonts w:ascii="Gill Sans MT" w:hAnsi="Gill Sans MT" w:cs="Times New Roman"/>
          <w:spacing w:val="-3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operating</w:t>
      </w:r>
      <w:r w:rsidRPr="00491EAF">
        <w:rPr>
          <w:rFonts w:ascii="Gill Sans MT" w:hAnsi="Gill Sans MT" w:cs="Times New Roman"/>
          <w:spacing w:val="-4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costs</w:t>
      </w:r>
    </w:p>
    <w:p w14:paraId="42FBFE99" w14:textId="3A38AE2C" w:rsidR="00564C30" w:rsidRPr="00491EAF" w:rsidRDefault="004767A8" w:rsidP="00A31043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2" w:line="237" w:lineRule="auto"/>
        <w:ind w:right="20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sz w:val="24"/>
          <w:szCs w:val="24"/>
        </w:rPr>
        <w:t>Enable a</w:t>
      </w:r>
      <w:r w:rsidR="00564C30" w:rsidRPr="00491EAF">
        <w:rPr>
          <w:rFonts w:ascii="Gill Sans MT" w:hAnsi="Gill Sans MT" w:cs="Times New Roman"/>
          <w:sz w:val="24"/>
          <w:szCs w:val="24"/>
        </w:rPr>
        <w:t>ccess to population centers where corporate customers are located</w:t>
      </w:r>
    </w:p>
    <w:p w14:paraId="44CCE662" w14:textId="584580CF" w:rsidR="00564C30" w:rsidRPr="00491EAF" w:rsidRDefault="00564C30" w:rsidP="00564C30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>Optimiz</w:t>
      </w:r>
      <w:r w:rsidR="004767A8">
        <w:rPr>
          <w:rFonts w:ascii="Gill Sans MT" w:hAnsi="Gill Sans MT" w:cs="Times New Roman"/>
          <w:sz w:val="24"/>
          <w:szCs w:val="24"/>
        </w:rPr>
        <w:t>e</w:t>
      </w:r>
      <w:r w:rsidRPr="00491EAF">
        <w:rPr>
          <w:rFonts w:ascii="Gill Sans MT" w:hAnsi="Gill Sans MT" w:cs="Times New Roman"/>
          <w:sz w:val="24"/>
          <w:szCs w:val="24"/>
        </w:rPr>
        <w:t xml:space="preserve"> logistics and transportation </w:t>
      </w:r>
    </w:p>
    <w:p w14:paraId="0D662283" w14:textId="77777777" w:rsidR="00564C30" w:rsidRPr="00491EAF" w:rsidRDefault="00564C30" w:rsidP="00A31043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2" w:line="237" w:lineRule="auto"/>
        <w:ind w:right="38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>Balance cost</w:t>
      </w:r>
      <w:r w:rsidRPr="00491EAF">
        <w:rPr>
          <w:rFonts w:ascii="Gill Sans MT" w:hAnsi="Gill Sans MT" w:cs="Times New Roman"/>
          <w:spacing w:val="-1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of</w:t>
      </w:r>
      <w:r w:rsidRPr="00491EAF">
        <w:rPr>
          <w:rFonts w:ascii="Gill Sans MT" w:hAnsi="Gill Sans MT" w:cs="Times New Roman"/>
          <w:spacing w:val="-2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labor</w:t>
      </w:r>
      <w:r w:rsidRPr="00491EAF">
        <w:rPr>
          <w:rFonts w:ascii="Gill Sans MT" w:hAnsi="Gill Sans MT" w:cs="Times New Roman"/>
          <w:spacing w:val="-3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against</w:t>
      </w:r>
      <w:r w:rsidRPr="00491EAF">
        <w:rPr>
          <w:rFonts w:ascii="Gill Sans MT" w:hAnsi="Gill Sans MT" w:cs="Times New Roman"/>
          <w:spacing w:val="1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the</w:t>
      </w:r>
      <w:r w:rsidRPr="00491EAF">
        <w:rPr>
          <w:rFonts w:ascii="Gill Sans MT" w:hAnsi="Gill Sans MT" w:cs="Times New Roman"/>
          <w:spacing w:val="-1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need</w:t>
      </w:r>
      <w:r w:rsidRPr="00491EAF">
        <w:rPr>
          <w:rFonts w:ascii="Gill Sans MT" w:hAnsi="Gill Sans MT" w:cs="Times New Roman"/>
          <w:spacing w:val="-2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to</w:t>
      </w:r>
      <w:r w:rsidRPr="00491EAF">
        <w:rPr>
          <w:rFonts w:ascii="Gill Sans MT" w:hAnsi="Gill Sans MT" w:cs="Times New Roman"/>
          <w:spacing w:val="2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recruit</w:t>
      </w:r>
      <w:r w:rsidRPr="00491EAF">
        <w:rPr>
          <w:rFonts w:ascii="Gill Sans MT" w:hAnsi="Gill Sans MT" w:cs="Times New Roman"/>
          <w:spacing w:val="-2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a qualified</w:t>
      </w:r>
      <w:r w:rsidRPr="00491EAF">
        <w:rPr>
          <w:rFonts w:ascii="Gill Sans MT" w:hAnsi="Gill Sans MT" w:cs="Times New Roman"/>
          <w:spacing w:val="1"/>
          <w:sz w:val="24"/>
          <w:szCs w:val="24"/>
        </w:rPr>
        <w:t xml:space="preserve"> </w:t>
      </w:r>
      <w:r w:rsidRPr="00491EAF">
        <w:rPr>
          <w:rFonts w:ascii="Gill Sans MT" w:hAnsi="Gill Sans MT" w:cs="Times New Roman"/>
          <w:sz w:val="24"/>
          <w:szCs w:val="24"/>
        </w:rPr>
        <w:t>workforce</w:t>
      </w:r>
    </w:p>
    <w:p w14:paraId="1D82CE97" w14:textId="77777777" w:rsidR="001129B2" w:rsidRPr="00491EAF" w:rsidRDefault="001129B2" w:rsidP="00564C30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sz w:val="24"/>
          <w:szCs w:val="24"/>
        </w:rPr>
      </w:pPr>
    </w:p>
    <w:p w14:paraId="00C335ED" w14:textId="77777777" w:rsidR="00C75775" w:rsidRPr="00491EAF" w:rsidRDefault="00A21AD2" w:rsidP="009C002D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b/>
          <w:bCs/>
          <w:sz w:val="24"/>
          <w:szCs w:val="24"/>
        </w:rPr>
        <w:t>Approach</w:t>
      </w:r>
      <w:r w:rsidR="00780F44" w:rsidRPr="00491EAF">
        <w:rPr>
          <w:rFonts w:ascii="Gill Sans MT" w:hAnsi="Gill Sans MT" w:cs="Times New Roman"/>
          <w:sz w:val="24"/>
          <w:szCs w:val="24"/>
        </w:rPr>
        <w:t xml:space="preserve"> </w:t>
      </w:r>
    </w:p>
    <w:p w14:paraId="3D9ED306" w14:textId="70955778" w:rsidR="00A21AD2" w:rsidRPr="00491EAF" w:rsidRDefault="00EF6334" w:rsidP="009C002D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 xml:space="preserve">Two properties, located in </w:t>
      </w:r>
      <w:r w:rsidR="009C002D" w:rsidRPr="00491EAF">
        <w:rPr>
          <w:rFonts w:ascii="Gill Sans MT" w:hAnsi="Gill Sans MT" w:cs="Times New Roman"/>
          <w:sz w:val="24"/>
          <w:szCs w:val="24"/>
        </w:rPr>
        <w:t>Frederick County, VA (Winchester) and Halifax County, VA (So. Boston) were compared using multiple factors.</w:t>
      </w:r>
      <w:r w:rsidR="00DF64AF" w:rsidRPr="00491EAF">
        <w:rPr>
          <w:rFonts w:ascii="Gill Sans MT" w:hAnsi="Gill Sans MT" w:cs="Times New Roman"/>
          <w:sz w:val="24"/>
          <w:szCs w:val="24"/>
        </w:rPr>
        <w:t xml:space="preserve"> </w:t>
      </w:r>
      <w:r w:rsidR="009A26EA" w:rsidRPr="00491EAF">
        <w:rPr>
          <w:rFonts w:ascii="Gill Sans MT" w:hAnsi="Gill Sans MT" w:cs="Times New Roman"/>
          <w:sz w:val="24"/>
          <w:szCs w:val="24"/>
        </w:rPr>
        <w:t xml:space="preserve">Electronic </w:t>
      </w:r>
      <w:r w:rsidR="004D0018" w:rsidRPr="00491EAF">
        <w:rPr>
          <w:rFonts w:ascii="Gill Sans MT" w:hAnsi="Gill Sans MT" w:cs="Times New Roman"/>
          <w:sz w:val="24"/>
          <w:szCs w:val="24"/>
        </w:rPr>
        <w:t xml:space="preserve">data </w:t>
      </w:r>
      <w:r w:rsidR="009A26EA" w:rsidRPr="00491EAF">
        <w:rPr>
          <w:rFonts w:ascii="Gill Sans MT" w:hAnsi="Gill Sans MT" w:cs="Times New Roman"/>
          <w:sz w:val="24"/>
          <w:szCs w:val="24"/>
        </w:rPr>
        <w:t>r</w:t>
      </w:r>
      <w:r w:rsidR="00DF64AF" w:rsidRPr="00491EAF">
        <w:rPr>
          <w:rFonts w:ascii="Gill Sans MT" w:hAnsi="Gill Sans MT" w:cs="Times New Roman"/>
          <w:sz w:val="24"/>
          <w:szCs w:val="24"/>
        </w:rPr>
        <w:t xml:space="preserve">esources included mapping tools, the Bureau of Labor Statistics, </w:t>
      </w:r>
      <w:proofErr w:type="spellStart"/>
      <w:r w:rsidR="00C31D83" w:rsidRPr="00491EAF">
        <w:rPr>
          <w:rFonts w:ascii="Gill Sans MT" w:hAnsi="Gill Sans MT" w:cs="Times New Roman"/>
          <w:sz w:val="24"/>
          <w:szCs w:val="24"/>
        </w:rPr>
        <w:t>Claritas</w:t>
      </w:r>
      <w:proofErr w:type="spellEnd"/>
      <w:r w:rsidR="00C31D83" w:rsidRPr="00491EAF">
        <w:rPr>
          <w:rFonts w:ascii="Gill Sans MT" w:hAnsi="Gill Sans MT" w:cs="Times New Roman"/>
          <w:sz w:val="24"/>
          <w:szCs w:val="24"/>
        </w:rPr>
        <w:t xml:space="preserve"> P</w:t>
      </w:r>
      <w:r w:rsidR="00C75775" w:rsidRPr="00491EAF">
        <w:rPr>
          <w:rFonts w:ascii="Gill Sans MT" w:hAnsi="Gill Sans MT" w:cs="Times New Roman"/>
          <w:sz w:val="24"/>
          <w:szCs w:val="24"/>
        </w:rPr>
        <w:t>RIZM</w:t>
      </w:r>
      <w:r w:rsidR="00C31D83" w:rsidRPr="00491EAF">
        <w:rPr>
          <w:rFonts w:ascii="Gill Sans MT" w:hAnsi="Gill Sans MT" w:cs="Times New Roman"/>
          <w:sz w:val="24"/>
          <w:szCs w:val="24"/>
        </w:rPr>
        <w:t xml:space="preserve">, </w:t>
      </w:r>
      <w:r w:rsidR="009A26EA" w:rsidRPr="00491EAF">
        <w:rPr>
          <w:rFonts w:ascii="Gill Sans MT" w:hAnsi="Gill Sans MT" w:cs="Times New Roman"/>
          <w:sz w:val="24"/>
          <w:szCs w:val="24"/>
        </w:rPr>
        <w:t>the US Census</w:t>
      </w:r>
      <w:r w:rsidR="00C31D83" w:rsidRPr="00491EAF">
        <w:rPr>
          <w:rFonts w:ascii="Gill Sans MT" w:hAnsi="Gill Sans MT" w:cs="Times New Roman"/>
          <w:sz w:val="24"/>
          <w:szCs w:val="24"/>
        </w:rPr>
        <w:t xml:space="preserve">, </w:t>
      </w:r>
      <w:r w:rsidR="009A26EA" w:rsidRPr="00491EAF">
        <w:rPr>
          <w:rFonts w:ascii="Gill Sans MT" w:hAnsi="Gill Sans MT" w:cs="Times New Roman"/>
          <w:sz w:val="24"/>
          <w:szCs w:val="24"/>
        </w:rPr>
        <w:t xml:space="preserve">the Department of Labor, </w:t>
      </w:r>
      <w:r w:rsidR="00F21D70" w:rsidRPr="00491EAF">
        <w:rPr>
          <w:rFonts w:ascii="Gill Sans MT" w:hAnsi="Gill Sans MT" w:cs="Times New Roman"/>
          <w:sz w:val="24"/>
          <w:szCs w:val="24"/>
        </w:rPr>
        <w:t xml:space="preserve">academic research databases, </w:t>
      </w:r>
      <w:r w:rsidR="00C75775" w:rsidRPr="00491EAF">
        <w:rPr>
          <w:rFonts w:ascii="Gill Sans MT" w:hAnsi="Gill Sans MT" w:cs="Times New Roman"/>
          <w:sz w:val="24"/>
          <w:szCs w:val="24"/>
        </w:rPr>
        <w:t xml:space="preserve">and federal, state, and local </w:t>
      </w:r>
      <w:r w:rsidR="00C76BD4" w:rsidRPr="00491EAF">
        <w:rPr>
          <w:rFonts w:ascii="Gill Sans MT" w:hAnsi="Gill Sans MT" w:cs="Times New Roman"/>
          <w:sz w:val="24"/>
          <w:szCs w:val="24"/>
        </w:rPr>
        <w:t>economic development authority sites</w:t>
      </w:r>
      <w:r w:rsidR="00CF1E88" w:rsidRPr="00491EAF">
        <w:rPr>
          <w:rFonts w:ascii="Gill Sans MT" w:hAnsi="Gill Sans MT" w:cs="Times New Roman"/>
          <w:sz w:val="24"/>
          <w:szCs w:val="24"/>
        </w:rPr>
        <w:t xml:space="preserve">. </w:t>
      </w:r>
      <w:r w:rsidR="00C75775" w:rsidRPr="00491EAF">
        <w:rPr>
          <w:rFonts w:ascii="Gill Sans MT" w:hAnsi="Gill Sans MT" w:cs="Times New Roman"/>
          <w:sz w:val="24"/>
          <w:szCs w:val="24"/>
        </w:rPr>
        <w:t>Variables assessed for influence</w:t>
      </w:r>
      <w:r w:rsidR="00893AE6" w:rsidRPr="00491EAF">
        <w:rPr>
          <w:rFonts w:ascii="Gill Sans MT" w:hAnsi="Gill Sans MT" w:cs="Times New Roman"/>
          <w:sz w:val="24"/>
          <w:szCs w:val="24"/>
        </w:rPr>
        <w:t xml:space="preserve"> </w:t>
      </w:r>
      <w:r w:rsidR="00C75775" w:rsidRPr="00491EAF">
        <w:rPr>
          <w:rFonts w:ascii="Gill Sans MT" w:hAnsi="Gill Sans MT" w:cs="Times New Roman"/>
          <w:sz w:val="24"/>
          <w:szCs w:val="24"/>
        </w:rPr>
        <w:t>on the critical location factors were sorted into eight major groups: workforce, demographics, available incentives, taxes, utility costs, proximity to optimal markets, real estate costs, and logistics and transportation. Variables were evaluated for the weights of their contributions to the subsequent recommendation.</w:t>
      </w:r>
    </w:p>
    <w:p w14:paraId="61B37EEF" w14:textId="3E3C3E90" w:rsidR="00A21AD2" w:rsidRDefault="00A21AD2" w:rsidP="00564C30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b/>
          <w:bCs/>
          <w:sz w:val="24"/>
          <w:szCs w:val="24"/>
        </w:rPr>
      </w:pPr>
    </w:p>
    <w:p w14:paraId="2838EDA2" w14:textId="77777777" w:rsidR="001129B2" w:rsidRPr="00491EAF" w:rsidRDefault="001129B2" w:rsidP="00564C30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b/>
          <w:bCs/>
          <w:sz w:val="24"/>
          <w:szCs w:val="24"/>
        </w:rPr>
      </w:pPr>
    </w:p>
    <w:p w14:paraId="26AAB43C" w14:textId="271FF53D" w:rsidR="00C75775" w:rsidRPr="00491EAF" w:rsidRDefault="00A21AD2" w:rsidP="00564C30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b/>
          <w:bCs/>
          <w:sz w:val="24"/>
          <w:szCs w:val="24"/>
        </w:rPr>
      </w:pPr>
      <w:r w:rsidRPr="00491EAF">
        <w:rPr>
          <w:rFonts w:ascii="Gill Sans MT" w:hAnsi="Gill Sans MT" w:cs="Times New Roman"/>
          <w:b/>
          <w:bCs/>
          <w:sz w:val="24"/>
          <w:szCs w:val="24"/>
        </w:rPr>
        <w:t>Major Findings</w:t>
      </w:r>
    </w:p>
    <w:p w14:paraId="100FE501" w14:textId="0768118A" w:rsidR="00C75775" w:rsidRPr="00491EAF" w:rsidRDefault="00C75775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 xml:space="preserve">While the </w:t>
      </w:r>
      <w:r w:rsidR="00513616" w:rsidRPr="00491EAF">
        <w:rPr>
          <w:rFonts w:ascii="Gill Sans MT" w:hAnsi="Gill Sans MT" w:cs="Times New Roman"/>
          <w:sz w:val="24"/>
          <w:szCs w:val="24"/>
        </w:rPr>
        <w:t xml:space="preserve">potential </w:t>
      </w:r>
      <w:r w:rsidRPr="00491EAF">
        <w:rPr>
          <w:rFonts w:ascii="Gill Sans MT" w:hAnsi="Gill Sans MT" w:cs="Times New Roman"/>
          <w:sz w:val="24"/>
          <w:szCs w:val="24"/>
        </w:rPr>
        <w:t>workforce of the Winchester site is more numerous, the corresponding workforce in and around South Boston earn</w:t>
      </w:r>
      <w:r w:rsidR="00513616" w:rsidRPr="00491EAF">
        <w:rPr>
          <w:rFonts w:ascii="Gill Sans MT" w:hAnsi="Gill Sans MT" w:cs="Times New Roman"/>
          <w:sz w:val="24"/>
          <w:szCs w:val="24"/>
        </w:rPr>
        <w:t>s</w:t>
      </w:r>
      <w:r w:rsidRPr="00491EAF">
        <w:rPr>
          <w:rFonts w:ascii="Gill Sans MT" w:hAnsi="Gill Sans MT" w:cs="Times New Roman"/>
          <w:sz w:val="24"/>
          <w:szCs w:val="24"/>
        </w:rPr>
        <w:t xml:space="preserve"> slightly lower customary wages and </w:t>
      </w:r>
      <w:r w:rsidR="00513616" w:rsidRPr="00491EAF">
        <w:rPr>
          <w:rFonts w:ascii="Gill Sans MT" w:hAnsi="Gill Sans MT" w:cs="Times New Roman"/>
          <w:sz w:val="24"/>
          <w:szCs w:val="24"/>
        </w:rPr>
        <w:t>manufacturing is the third most common</w:t>
      </w:r>
      <w:r w:rsidRPr="00491EAF">
        <w:rPr>
          <w:rFonts w:ascii="Gill Sans MT" w:hAnsi="Gill Sans MT" w:cs="Times New Roman"/>
          <w:sz w:val="24"/>
          <w:szCs w:val="24"/>
        </w:rPr>
        <w:t xml:space="preserve"> career field in the area. </w:t>
      </w:r>
      <w:r w:rsidR="00513616" w:rsidRPr="00491EAF">
        <w:rPr>
          <w:rFonts w:ascii="Gill Sans MT" w:hAnsi="Gill Sans MT" w:cs="Times New Roman"/>
          <w:sz w:val="24"/>
          <w:szCs w:val="24"/>
        </w:rPr>
        <w:t>A ready-made workforce would diminish the need for universal training.</w:t>
      </w:r>
    </w:p>
    <w:p w14:paraId="5BDD53CC" w14:textId="54E48D41" w:rsidR="00692037" w:rsidRPr="00491EAF" w:rsidRDefault="00692037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</w:p>
    <w:p w14:paraId="75C3FFAB" w14:textId="66BF4C9E" w:rsidR="00692037" w:rsidRPr="00491EAF" w:rsidRDefault="00692037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 xml:space="preserve">The Winchester site is better situated to access the affluent markets (Washington, DC; Philadelphia; Baltimore) to whom corporate customers will sell upscale </w:t>
      </w:r>
      <w:r w:rsidR="004604A7" w:rsidRPr="00491EAF">
        <w:rPr>
          <w:rFonts w:ascii="Gill Sans MT" w:hAnsi="Gill Sans MT" w:cs="Times New Roman"/>
          <w:sz w:val="24"/>
          <w:szCs w:val="24"/>
        </w:rPr>
        <w:t>ready-to-drink (</w:t>
      </w:r>
      <w:r w:rsidRPr="00491EAF">
        <w:rPr>
          <w:rFonts w:ascii="Gill Sans MT" w:hAnsi="Gill Sans MT" w:cs="Times New Roman"/>
          <w:sz w:val="24"/>
          <w:szCs w:val="24"/>
        </w:rPr>
        <w:t>RTD</w:t>
      </w:r>
      <w:r w:rsidR="004604A7" w:rsidRPr="00491EAF">
        <w:rPr>
          <w:rFonts w:ascii="Gill Sans MT" w:hAnsi="Gill Sans MT" w:cs="Times New Roman"/>
          <w:sz w:val="24"/>
          <w:szCs w:val="24"/>
        </w:rPr>
        <w:t>)</w:t>
      </w:r>
      <w:r w:rsidRPr="00491EAF">
        <w:rPr>
          <w:rFonts w:ascii="Gill Sans MT" w:hAnsi="Gill Sans MT" w:cs="Times New Roman"/>
          <w:sz w:val="24"/>
          <w:szCs w:val="24"/>
        </w:rPr>
        <w:t xml:space="preserve"> products. In addition, the Winchester site is closer to a major highway, an international airport, and a major (inland) port. However, South Boston </w:t>
      </w:r>
      <w:r w:rsidR="004767A8">
        <w:rPr>
          <w:rFonts w:ascii="Gill Sans MT" w:hAnsi="Gill Sans MT" w:cs="Times New Roman"/>
          <w:sz w:val="24"/>
          <w:szCs w:val="24"/>
        </w:rPr>
        <w:t xml:space="preserve">is also convenient to major population centers and </w:t>
      </w:r>
      <w:r w:rsidRPr="00491EAF">
        <w:rPr>
          <w:rFonts w:ascii="Gill Sans MT" w:hAnsi="Gill Sans MT" w:cs="Times New Roman"/>
          <w:sz w:val="24"/>
          <w:szCs w:val="24"/>
        </w:rPr>
        <w:t xml:space="preserve">trucking logistics costs are lower, minimizing a major cost of operations. </w:t>
      </w:r>
    </w:p>
    <w:p w14:paraId="00CCB7B8" w14:textId="48B0C644" w:rsidR="00692037" w:rsidRPr="00491EAF" w:rsidRDefault="00692037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</w:p>
    <w:p w14:paraId="42CE32CC" w14:textId="0C204597" w:rsidR="004604A7" w:rsidRPr="00491EAF" w:rsidRDefault="004604A7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 xml:space="preserve">Real estate terms for both properties are comparable to similar properties currently available for lease or for sale. Lease terms and real estate property taxes are more favorable for the </w:t>
      </w:r>
      <w:r w:rsidR="004767A8">
        <w:rPr>
          <w:rFonts w:ascii="Gill Sans MT" w:hAnsi="Gill Sans MT" w:cs="Times New Roman"/>
          <w:sz w:val="24"/>
          <w:szCs w:val="24"/>
        </w:rPr>
        <w:t>S</w:t>
      </w:r>
      <w:r w:rsidRPr="00491EAF">
        <w:rPr>
          <w:rFonts w:ascii="Gill Sans MT" w:hAnsi="Gill Sans MT" w:cs="Times New Roman"/>
          <w:sz w:val="24"/>
          <w:szCs w:val="24"/>
        </w:rPr>
        <w:t>outh Boston site.</w:t>
      </w:r>
      <w:r w:rsidR="00496FDC" w:rsidRPr="00491EAF">
        <w:rPr>
          <w:rFonts w:ascii="Gill Sans MT" w:hAnsi="Gill Sans MT" w:cs="Times New Roman"/>
          <w:sz w:val="24"/>
          <w:szCs w:val="24"/>
        </w:rPr>
        <w:t xml:space="preserve"> Utility costs and personal property taxes are lower for the South Boston site.</w:t>
      </w:r>
    </w:p>
    <w:p w14:paraId="1F9192B2" w14:textId="77777777" w:rsidR="00692037" w:rsidRPr="00491EAF" w:rsidRDefault="00692037" w:rsidP="00C75775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</w:p>
    <w:p w14:paraId="7A786CCC" w14:textId="23B5EF3C" w:rsidR="00A21AD2" w:rsidRPr="00491EAF" w:rsidRDefault="00496FDC" w:rsidP="00491EAF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>The Winchester site is located in a Technology Zone but not eligible for any of the incentives the distinction entails. In contrast, the South Boston site is situated in an Enterprise Zone, an Opportunity Zone, and a HUBZone. As a result, the value of the incentive package for South Boston exceeds that of the Winchester site by over $1.7 million. Additionally, the South Boston site’s qualification as a HUBZone small business makes it eligible for select government contracts.</w:t>
      </w:r>
    </w:p>
    <w:p w14:paraId="68F80E01" w14:textId="77777777" w:rsidR="001129B2" w:rsidRPr="00491EAF" w:rsidRDefault="001129B2" w:rsidP="00491EAF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-70"/>
        <w:rPr>
          <w:rFonts w:ascii="Gill Sans MT" w:hAnsi="Gill Sans MT" w:cs="Times New Roman"/>
          <w:sz w:val="24"/>
          <w:szCs w:val="24"/>
        </w:rPr>
      </w:pPr>
    </w:p>
    <w:p w14:paraId="15AB0732" w14:textId="116B83F0" w:rsidR="00A21AD2" w:rsidRPr="00491EAF" w:rsidRDefault="00A21AD2" w:rsidP="00564C30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295"/>
        <w:rPr>
          <w:rFonts w:ascii="Gill Sans MT" w:hAnsi="Gill Sans MT" w:cs="Times New Roman"/>
          <w:b/>
          <w:bCs/>
          <w:sz w:val="24"/>
          <w:szCs w:val="24"/>
        </w:rPr>
      </w:pPr>
      <w:r w:rsidRPr="00491EAF">
        <w:rPr>
          <w:rFonts w:ascii="Gill Sans MT" w:hAnsi="Gill Sans MT" w:cs="Times New Roman"/>
          <w:b/>
          <w:bCs/>
          <w:sz w:val="24"/>
          <w:szCs w:val="24"/>
        </w:rPr>
        <w:t>Recommendation</w:t>
      </w:r>
    </w:p>
    <w:p w14:paraId="287F4188" w14:textId="0F3E36B9" w:rsidR="00AA6C40" w:rsidRPr="001129B2" w:rsidRDefault="00491EAF" w:rsidP="001129B2">
      <w:pPr>
        <w:widowControl w:val="0"/>
        <w:tabs>
          <w:tab w:val="left" w:pos="641"/>
        </w:tabs>
        <w:autoSpaceDE w:val="0"/>
        <w:autoSpaceDN w:val="0"/>
        <w:spacing w:before="2" w:line="237" w:lineRule="auto"/>
        <w:ind w:right="470"/>
        <w:rPr>
          <w:rFonts w:ascii="Gill Sans MT" w:hAnsi="Gill Sans MT" w:cs="Times New Roman"/>
          <w:sz w:val="24"/>
          <w:szCs w:val="24"/>
        </w:rPr>
      </w:pPr>
      <w:r w:rsidRPr="00491EAF">
        <w:rPr>
          <w:rFonts w:ascii="Gill Sans MT" w:hAnsi="Gill Sans MT" w:cs="Times New Roman"/>
          <w:sz w:val="24"/>
          <w:szCs w:val="24"/>
        </w:rPr>
        <w:t xml:space="preserve">To meet project goals, the South Boston site should be </w:t>
      </w:r>
      <w:r>
        <w:rPr>
          <w:rFonts w:ascii="Gill Sans MT" w:hAnsi="Gill Sans MT" w:cs="Times New Roman"/>
          <w:sz w:val="24"/>
          <w:szCs w:val="24"/>
        </w:rPr>
        <w:t xml:space="preserve">NNN </w:t>
      </w:r>
      <w:r w:rsidRPr="00491EAF">
        <w:rPr>
          <w:rFonts w:ascii="Gill Sans MT" w:hAnsi="Gill Sans MT" w:cs="Times New Roman"/>
          <w:sz w:val="24"/>
          <w:szCs w:val="24"/>
        </w:rPr>
        <w:t xml:space="preserve">leased for </w:t>
      </w:r>
      <w:r>
        <w:rPr>
          <w:rFonts w:ascii="Gill Sans MT" w:hAnsi="Gill Sans MT" w:cs="Times New Roman"/>
          <w:sz w:val="24"/>
          <w:szCs w:val="24"/>
        </w:rPr>
        <w:t>five years.</w:t>
      </w:r>
    </w:p>
    <w:sectPr w:rsidR="00AA6C40" w:rsidRPr="001129B2" w:rsidSect="00491EA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13EE"/>
    <w:multiLevelType w:val="hybridMultilevel"/>
    <w:tmpl w:val="C4D4B6A4"/>
    <w:lvl w:ilvl="0" w:tplc="61AC6214">
      <w:start w:val="1"/>
      <w:numFmt w:val="decimal"/>
      <w:lvlText w:val="%1."/>
      <w:lvlJc w:val="left"/>
      <w:pPr>
        <w:ind w:left="640" w:hanging="361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294EE00">
      <w:numFmt w:val="bullet"/>
      <w:lvlText w:val="•"/>
      <w:lvlJc w:val="left"/>
      <w:pPr>
        <w:ind w:left="1532" w:hanging="361"/>
      </w:pPr>
      <w:rPr>
        <w:rFonts w:hint="default"/>
        <w:lang w:val="en-US" w:eastAsia="en-US" w:bidi="ar-SA"/>
      </w:rPr>
    </w:lvl>
    <w:lvl w:ilvl="2" w:tplc="3B8CEEE2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3" w:tplc="D41481F6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1E04C046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BBF2C2A2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54A47CB4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 w:tplc="8B98B950"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8" w:tplc="B3C8ADEA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731C5F"/>
    <w:multiLevelType w:val="hybridMultilevel"/>
    <w:tmpl w:val="AF92F3F6"/>
    <w:lvl w:ilvl="0" w:tplc="B0C4B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942"/>
    <w:multiLevelType w:val="multilevel"/>
    <w:tmpl w:val="689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B1377"/>
    <w:multiLevelType w:val="hybridMultilevel"/>
    <w:tmpl w:val="BF4EB78A"/>
    <w:lvl w:ilvl="0" w:tplc="B0C4BB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70A93"/>
    <w:multiLevelType w:val="multilevel"/>
    <w:tmpl w:val="9F6C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608050">
    <w:abstractNumId w:val="1"/>
  </w:num>
  <w:num w:numId="2" w16cid:durableId="963731842">
    <w:abstractNumId w:val="0"/>
  </w:num>
  <w:num w:numId="3" w16cid:durableId="1291477513">
    <w:abstractNumId w:val="3"/>
  </w:num>
  <w:num w:numId="4" w16cid:durableId="1027367179">
    <w:abstractNumId w:val="4"/>
  </w:num>
  <w:num w:numId="5" w16cid:durableId="150347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40"/>
    <w:rsid w:val="00062832"/>
    <w:rsid w:val="000C783B"/>
    <w:rsid w:val="001129B2"/>
    <w:rsid w:val="00176F99"/>
    <w:rsid w:val="002558D0"/>
    <w:rsid w:val="0041202F"/>
    <w:rsid w:val="004604A7"/>
    <w:rsid w:val="004767A8"/>
    <w:rsid w:val="00477B28"/>
    <w:rsid w:val="00491EAF"/>
    <w:rsid w:val="00496FDC"/>
    <w:rsid w:val="004D0018"/>
    <w:rsid w:val="00513616"/>
    <w:rsid w:val="005631B3"/>
    <w:rsid w:val="00564C30"/>
    <w:rsid w:val="005923FE"/>
    <w:rsid w:val="005D4C20"/>
    <w:rsid w:val="00692037"/>
    <w:rsid w:val="006A5CA9"/>
    <w:rsid w:val="0070049B"/>
    <w:rsid w:val="00721E75"/>
    <w:rsid w:val="00780F44"/>
    <w:rsid w:val="007E47F1"/>
    <w:rsid w:val="00893AE6"/>
    <w:rsid w:val="009675AE"/>
    <w:rsid w:val="009A26EA"/>
    <w:rsid w:val="009C002D"/>
    <w:rsid w:val="00A21AD2"/>
    <w:rsid w:val="00A31043"/>
    <w:rsid w:val="00A35D63"/>
    <w:rsid w:val="00AA6C40"/>
    <w:rsid w:val="00BA00D8"/>
    <w:rsid w:val="00C00659"/>
    <w:rsid w:val="00C31D83"/>
    <w:rsid w:val="00C75775"/>
    <w:rsid w:val="00C76BD4"/>
    <w:rsid w:val="00CF1E88"/>
    <w:rsid w:val="00DF64AF"/>
    <w:rsid w:val="00E66280"/>
    <w:rsid w:val="00EE4440"/>
    <w:rsid w:val="00EF6334"/>
    <w:rsid w:val="00F2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E150"/>
  <w15:chartTrackingRefBased/>
  <w15:docId w15:val="{324BC772-9D46-4D5E-9F6C-348C1F10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5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5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558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County Schools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Marianne</dc:creator>
  <cp:keywords/>
  <dc:description/>
  <cp:lastModifiedBy>Marianne</cp:lastModifiedBy>
  <cp:revision>3</cp:revision>
  <dcterms:created xsi:type="dcterms:W3CDTF">2023-03-23T03:22:00Z</dcterms:created>
  <dcterms:modified xsi:type="dcterms:W3CDTF">2023-03-23T03:25:00Z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2023-03-22T14:23:58Z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d5c29f83-5c20-4d99-9c51-09193a1f6bd4</vt:lpwstr>
  </property>
  <property fmtid="{D5CDD505-2E9C-101B-9397-08002B2CF9AE}" pid="8" name="MSIP_Label_0ee3c538-ec52-435f-ae58-017644bd9513_ContentBits">
    <vt:lpwstr>0</vt:lpwstr>
  </property>
</Properties>
</file>