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CSS 255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Matthew Cohen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6372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Activity Diagrams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11553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55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Make a Reservation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1108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08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3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Servers: Reliable cloud servers for hosting the application and database (e.g., AWS EC2 instances).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 Devices: Compatibility with modern smartphones, tablets, and desktops for accessing the web interface.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Software Requirements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Operating Systems: Support for major operating systems including Windows, iOS, and Android for user access.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Database Management System: SQL database for storing user data, reservation details, and logs (e.g., MySQL, PostgreSQL).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Web Server Software: Robust web server software for handling web requests (e.g., Apache, Nginx).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Development Frameworks: Use of modern web development frameworks (e.g., React for front-end, Node.js for back-end) to ensure a responsive and dynamic user interface.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IDEs: Integrated Development Environments like Visual Studio Code or JetBrains IntelliJ IDEA for software development.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Version Control: Git repository hosting service (e.g., GitHub, GitLab) for code management and version control.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Cloud Services: Cloud platforms for hosting the application, database, and potentially for offsite backups and disaster recovery (e.g., AWS, Google Cloud Platform).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Security Tools: Encryption tools for secure data transmission (SSL/TLS certificates), and robust firewall and antivirus software to protect servers and data.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Monitoring and Logging Tools: Systems for monitoring server performance and logging application activities (e.g., Datadog, Splunk).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Communication and Integration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APIs: RESTful APIs for seamless integration with external services like DMV updates or third-party payment gateways.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Email/SMS Services: Integration with email and SMS gateways for notifications (e.g., SendGrid, Twilio).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