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ind w:firstLine="860"/>
        <w:jc w:val="both"/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A atividade acadêmica e científica, com foco no jornalismo e suas transformações a partir do ambiente digital, tem mapeado um complexo sistema de hibridizações, tensionamentos e reconfigurações, percebido nas últimas duas décadas, mas ainda em andamento e, portanto, de difícil apreensão.</w:t>
      </w:r>
    </w:p>
    <w:p w:rsidR="00000000" w:rsidDel="00000000" w:rsidP="00000000" w:rsidRDefault="00000000" w:rsidRPr="00000000" w14:paraId="00000002">
      <w:pPr>
        <w:spacing w:after="240" w:before="240" w:line="360" w:lineRule="auto"/>
        <w:ind w:firstLine="860"/>
        <w:jc w:val="both"/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Dentro de uma linha que poderíamos chamar de descritiva-interpretativa, foi se registrando ao longo do tempo a chegada e a adoção de tecnologias, hardwares e softwares que, por sua vez, engendraram mudanças de processos e procedimentos; revisão de modelos de negócio da indústria; alterações no relacionamento com as audiências e no próprio papel destas, como parceiras cada vez mais frequentes, não só em pautas e produções, mas também na validação e posicionamento dos produtos, a partir de métricas de engajamento e indicação de interesse.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firstLine="860"/>
        <w:jc w:val="both"/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A infusão das características do meio no conteúdo informativo, agregando aspectos já bem conhecidos como hipertextualidade, multimidialidade, interatividade, personalização e memória e as alterações nas possibilidades narrativas na produção das notícias, foi o caminho natural que abriu espaço para a estruturação de bases de dados, sistemas de gerenciamento de conteúdo e controle dos processos produtivos, permitindo apreensão de tendências, aumento dos níveis de personalização e busca por resultados traduzidos em números de visualizações, tempo de permanência e rejeição (</w:t>
      </w:r>
      <w:r w:rsidDel="00000000" w:rsidR="00000000" w:rsidRPr="00000000">
        <w:rPr>
          <w:rFonts w:ascii="Lucida Sans" w:cs="Lucida Sans" w:eastAsia="Lucida Sans" w:hAnsi="Lucida Sans"/>
          <w:i w:val="1"/>
          <w:sz w:val="18"/>
          <w:szCs w:val="18"/>
          <w:rtl w:val="0"/>
        </w:rPr>
        <w:t xml:space="preserve">bounce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), entre outros.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firstLine="860"/>
        <w:jc w:val="both"/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A  visualização de dados (Rodrigues, 2009; Cordeiro, 2013), o aprimoramento das técnicas de otimização em mecanismos de busca e coleta automatizada de informação (Bradshaw, 2014; Bruns, 2017) e o desenvolvimento de sistemas especializados, capazes de lidar com grandes volumes de dados (Gonález-Bailón, 2013; Lewis &amp; Westlund, 2015; Lima Jr., 2017) , trouxeram também mudanças nos perfis profissionais para empregabilidade e um crescente caráter interdisciplinar ao processo, que hoje já mantém áreas de contato bem sólidas com a Ciência da Computação , o Design e a Ciência de Dados.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firstLine="860"/>
        <w:jc w:val="both"/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A produção de textos automatizados e, mais recentemente, a incorporação de tecnologias emergentes, tais como inteligência artificial, realidade aumentada, realidade virtual, internet das coisas e big data, aumentam as possibilidades de estudos operando sobre constructos e referencial teórico até então pouco explorados pelos cientistas da Comunicação.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firstLine="860"/>
        <w:jc w:val="both"/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O jornalismo, através da sua inexorável conexão com o mundo real e seus movimentos, transformou-se assim em arena para experimentações, validação e questionamento entre inovações, possibilidades teóricas e práticas reais disponíveis no cenário contemporâneo.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firstLine="860"/>
        <w:jc w:val="both"/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O recente interesse acadêmico por temáticas como jornalismo imersivo (JI), conteúdo 360 graus, realidade aumentada (Santos, 2015, 2018, 2019) e, mais recentemente, metaverso</w:t>
      </w:r>
      <w:r w:rsidDel="00000000" w:rsidR="00000000" w:rsidRPr="00000000">
        <w:rPr>
          <w:rFonts w:ascii="Lucida Sans" w:cs="Lucida Sans" w:eastAsia="Lucida Sans" w:hAnsi="Lucida Sans"/>
          <w:sz w:val="30"/>
          <w:szCs w:val="30"/>
          <w:vertAlign w:val="superscript"/>
          <w:rtl w:val="0"/>
        </w:rPr>
        <w:t xml:space="preserve">[i]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 (Santos &amp; Cordeiro, 2022), avatares e seu uso na produção de notícias comprova este percurso, que antes já teve, entre outros trends, a convergência e o conceito de transmídia. Infelizmente, com alguns deles sendo desenvolvidos de forma apressada e pouco aprofundada (Dos Santos, 2017), principalmente desconsiderando que tais tópicos têm anterior e amplo referencial teórico nas suas áreas de origem</w:t>
      </w:r>
      <w:r w:rsidDel="00000000" w:rsidR="00000000" w:rsidRPr="00000000">
        <w:rPr>
          <w:rFonts w:ascii="Lucida Sans" w:cs="Lucida Sans" w:eastAsia="Lucida Sans" w:hAnsi="Lucida Sans"/>
          <w:sz w:val="30"/>
          <w:szCs w:val="30"/>
          <w:vertAlign w:val="superscript"/>
          <w:rtl w:val="0"/>
        </w:rPr>
        <w:t xml:space="preserve">[ii]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Lucida Sans" w:cs="Lucida Sans" w:eastAsia="Lucida Sans" w:hAnsi="Lucida Sans"/>
          <w:sz w:val="17"/>
          <w:szCs w:val="17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[i]</w:t>
      </w:r>
      <w:r w:rsidDel="00000000" w:rsidR="00000000" w:rsidRPr="00000000">
        <w:rPr>
          <w:rFonts w:ascii="Lucida Sans" w:cs="Lucida Sans" w:eastAsia="Lucida Sans" w:hAnsi="Lucida Sans"/>
          <w:sz w:val="17"/>
          <w:szCs w:val="17"/>
          <w:rtl w:val="0"/>
        </w:rPr>
        <w:t xml:space="preserve"> O termo metaverso refere-se de modo geral a iniciativas de conexão entre as atividades no mundo real e em mundos sintéticos, criados por computador, onde através de representações digitais dos indivíduos, usando avatares, por exemplo, podemos transpor barreiras físicas e temporais.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Lucida Sans" w:cs="Lucida Sans" w:eastAsia="Lucida Sans" w:hAnsi="Lucida Sans"/>
          <w:sz w:val="17"/>
          <w:szCs w:val="17"/>
        </w:rPr>
      </w:pPr>
      <w:r w:rsidDel="00000000" w:rsidR="00000000" w:rsidRPr="00000000">
        <w:rPr>
          <w:rFonts w:ascii="Lucida Sans" w:cs="Lucida Sans" w:eastAsia="Lucida Sans" w:hAnsi="Lucida Sans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Lucida Sans" w:cs="Lucida Sans" w:eastAsia="Lucida Sans" w:hAnsi="Lucida Sans"/>
          <w:sz w:val="17"/>
          <w:szCs w:val="17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[ii]</w:t>
      </w:r>
      <w:r w:rsidDel="00000000" w:rsidR="00000000" w:rsidRPr="00000000">
        <w:rPr>
          <w:rFonts w:ascii="Lucida Sans" w:cs="Lucida Sans" w:eastAsia="Lucida Sans" w:hAnsi="Lucida Sans"/>
          <w:sz w:val="17"/>
          <w:szCs w:val="17"/>
          <w:rtl w:val="0"/>
        </w:rPr>
        <w:t xml:space="preserve"> Para uma introdução sobre narrativas baseadas nos conceitos de imersão e presença, a partir de uma perspectiva interdisciplinar ver Santos (2019).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Lucida Sans" w:cs="Lucida Sans" w:eastAsia="Lucida Sans" w:hAnsi="Lucida Sans"/>
          <w:sz w:val="17"/>
          <w:szCs w:val="17"/>
        </w:rPr>
      </w:pPr>
      <w:r w:rsidDel="00000000" w:rsidR="00000000" w:rsidRPr="00000000">
        <w:rPr>
          <w:rFonts w:ascii="Lucida Sans" w:cs="Lucida Sans" w:eastAsia="Lucida Sans" w:hAnsi="Lucida Sans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