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64F4" w14:textId="77777777" w:rsidR="00B500CC" w:rsidRPr="00AB1FC5" w:rsidRDefault="00B500CC" w:rsidP="00B500CC">
      <w:pPr>
        <w:rPr>
          <w:rFonts w:ascii="Arial" w:hAnsi="Arial" w:cs="Arial"/>
          <w:b/>
          <w:i/>
          <w:noProof/>
          <w:color w:val="FF0000"/>
          <w:sz w:val="20"/>
          <w:szCs w:val="20"/>
        </w:rPr>
      </w:pPr>
    </w:p>
    <w:p w14:paraId="0FD2C65A" w14:textId="4C2A4D8D" w:rsidR="00B500CC" w:rsidRPr="00AB1FC5" w:rsidRDefault="00B500CC" w:rsidP="00B500CC">
      <w:pPr>
        <w:rPr>
          <w:rFonts w:ascii="Arial" w:hAnsi="Arial" w:cs="Arial"/>
          <w:i/>
          <w:color w:val="FF0000"/>
        </w:rPr>
      </w:pPr>
      <w:r w:rsidRPr="00AB1FC5">
        <w:rPr>
          <w:rFonts w:ascii="Arial" w:hAnsi="Arial" w:cs="Arial"/>
          <w:b/>
          <w:i/>
          <w:noProof/>
          <w:color w:val="FF0000"/>
          <w:sz w:val="20"/>
          <w:szCs w:val="20"/>
        </w:rPr>
        <w:drawing>
          <wp:inline distT="0" distB="0" distL="0" distR="0" wp14:anchorId="13B59387" wp14:editId="32679E22">
            <wp:extent cx="1882140" cy="944880"/>
            <wp:effectExtent l="0" t="0" r="3810" b="7620"/>
            <wp:docPr id="1" name="Picture 1" descr="EYS logo Full versio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S logo Full version 3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2140" cy="944880"/>
                    </a:xfrm>
                    <a:prstGeom prst="rect">
                      <a:avLst/>
                    </a:prstGeom>
                    <a:noFill/>
                    <a:ln>
                      <a:noFill/>
                    </a:ln>
                  </pic:spPr>
                </pic:pic>
              </a:graphicData>
            </a:graphic>
          </wp:inline>
        </w:drawing>
      </w:r>
    </w:p>
    <w:p w14:paraId="241018C7" w14:textId="77777777" w:rsidR="00B500CC" w:rsidRPr="00AB1FC5" w:rsidRDefault="00B500CC" w:rsidP="00B500CC">
      <w:pPr>
        <w:rPr>
          <w:rFonts w:ascii="Arial" w:hAnsi="Arial" w:cs="Arial"/>
          <w:i/>
          <w:color w:val="FF0000"/>
        </w:rPr>
      </w:pPr>
    </w:p>
    <w:p w14:paraId="2BE4120E" w14:textId="77777777" w:rsidR="00B500CC" w:rsidRPr="00AB1FC5" w:rsidRDefault="00B500CC" w:rsidP="00B500CC">
      <w:pPr>
        <w:widowControl w:val="0"/>
        <w:suppressAutoHyphens/>
        <w:spacing w:line="288" w:lineRule="auto"/>
        <w:rPr>
          <w:rFonts w:ascii="Arial" w:eastAsia="SimSun" w:hAnsi="Arial" w:cs="Arial"/>
          <w:bCs/>
          <w:color w:val="FF0000"/>
          <w:kern w:val="2"/>
          <w:sz w:val="20"/>
          <w:szCs w:val="20"/>
          <w:lang w:eastAsia="hi-IN" w:bidi="hi-IN"/>
        </w:rPr>
      </w:pPr>
    </w:p>
    <w:p w14:paraId="67956279" w14:textId="42304E15" w:rsidR="00B500CC" w:rsidRPr="00AB1FC5" w:rsidRDefault="00B500CC" w:rsidP="00B500CC">
      <w:pPr>
        <w:rPr>
          <w:rFonts w:ascii="Arial" w:hAnsi="Arial" w:cs="Arial"/>
          <w:b/>
          <w:sz w:val="52"/>
          <w:szCs w:val="52"/>
        </w:rPr>
      </w:pPr>
      <w:r w:rsidRPr="00AB1FC5">
        <w:rPr>
          <w:rFonts w:ascii="Arial" w:hAnsi="Arial" w:cs="Arial"/>
          <w:b/>
          <w:sz w:val="52"/>
          <w:szCs w:val="52"/>
        </w:rPr>
        <w:t xml:space="preserve">Duty of Candour </w:t>
      </w:r>
      <w:r>
        <w:rPr>
          <w:rFonts w:ascii="Arial" w:hAnsi="Arial" w:cs="Arial"/>
          <w:b/>
          <w:sz w:val="52"/>
          <w:szCs w:val="52"/>
        </w:rPr>
        <w:t>Report</w:t>
      </w:r>
    </w:p>
    <w:p w14:paraId="68EFAF6B" w14:textId="77777777" w:rsidR="00B500CC" w:rsidRPr="00AB1FC5" w:rsidRDefault="00B500CC" w:rsidP="00B500CC"/>
    <w:p w14:paraId="4E29988D" w14:textId="77777777" w:rsidR="00B500CC" w:rsidRPr="00F56D66" w:rsidRDefault="00B500CC" w:rsidP="00B500CC">
      <w:pPr>
        <w:rPr>
          <w:rFonts w:ascii="Arial" w:hAnsi="Arial" w:cs="Arial"/>
        </w:rPr>
      </w:pPr>
      <w:proofErr w:type="spellStart"/>
      <w:r w:rsidRPr="00F56D66">
        <w:rPr>
          <w:rFonts w:ascii="Arial" w:hAnsi="Arial" w:cs="Arial"/>
          <w:bCs/>
        </w:rPr>
        <w:t>Torphins</w:t>
      </w:r>
      <w:proofErr w:type="spellEnd"/>
      <w:r w:rsidRPr="00F56D66">
        <w:rPr>
          <w:rFonts w:ascii="Arial" w:hAnsi="Arial" w:cs="Arial"/>
          <w:bCs/>
        </w:rPr>
        <w:t xml:space="preserve"> Playgroup Pre-School </w:t>
      </w:r>
      <w:r w:rsidRPr="00F56D66">
        <w:rPr>
          <w:rFonts w:ascii="Arial" w:hAnsi="Arial" w:cs="Arial"/>
        </w:rPr>
        <w:t xml:space="preserve">ELC is registered with the Care Inspectorate to provide a care service to a maximum of 18 children aged 2-5 years for those not yet attending primary school.  We aim to provide high quality care and education to improve outcomes for </w:t>
      </w:r>
      <w:proofErr w:type="gramStart"/>
      <w:r w:rsidRPr="00F56D66">
        <w:rPr>
          <w:rFonts w:ascii="Arial" w:hAnsi="Arial" w:cs="Arial"/>
        </w:rPr>
        <w:t>all of</w:t>
      </w:r>
      <w:proofErr w:type="gramEnd"/>
      <w:r w:rsidRPr="00F56D66">
        <w:rPr>
          <w:rFonts w:ascii="Arial" w:hAnsi="Arial" w:cs="Arial"/>
        </w:rPr>
        <w:t xml:space="preserve"> our children and families in order that they meet their full potential.</w:t>
      </w:r>
    </w:p>
    <w:p w14:paraId="2CCE3CA7" w14:textId="77777777" w:rsidR="00B500CC" w:rsidRPr="00AB1FC5" w:rsidRDefault="00B500CC" w:rsidP="00B500CC">
      <w:pPr>
        <w:rPr>
          <w:rFonts w:ascii="Arial" w:hAnsi="Arial" w:cs="Arial"/>
        </w:rPr>
      </w:pPr>
    </w:p>
    <w:p w14:paraId="7EF9ADED" w14:textId="0696FDA5" w:rsidR="00B500CC" w:rsidRPr="00AB1FC5" w:rsidRDefault="00B500CC" w:rsidP="00B500CC">
      <w:pPr>
        <w:rPr>
          <w:rFonts w:ascii="Arial" w:hAnsi="Arial" w:cs="Arial"/>
        </w:rPr>
      </w:pPr>
      <w:r w:rsidRPr="00AB1FC5">
        <w:rPr>
          <w:rFonts w:ascii="Arial" w:hAnsi="Arial" w:cs="Arial"/>
        </w:rPr>
        <w:t>In the last year (</w:t>
      </w:r>
      <w:r w:rsidR="00FE5B80">
        <w:rPr>
          <w:rFonts w:ascii="Arial" w:hAnsi="Arial" w:cs="Arial"/>
        </w:rPr>
        <w:t>to 31 March 202</w:t>
      </w:r>
      <w:r w:rsidR="00415553">
        <w:rPr>
          <w:rFonts w:ascii="Arial" w:hAnsi="Arial" w:cs="Arial"/>
        </w:rPr>
        <w:t>1</w:t>
      </w:r>
      <w:r w:rsidRPr="00AB1FC5">
        <w:rPr>
          <w:rFonts w:ascii="Arial" w:hAnsi="Arial" w:cs="Arial"/>
        </w:rPr>
        <w:t xml:space="preserve">), there have been </w:t>
      </w:r>
      <w:r w:rsidR="00FE5B80">
        <w:rPr>
          <w:rFonts w:ascii="Arial" w:hAnsi="Arial" w:cs="Arial"/>
        </w:rPr>
        <w:t>no</w:t>
      </w:r>
      <w:r w:rsidRPr="00AB1FC5">
        <w:rPr>
          <w:rFonts w:ascii="Arial" w:hAnsi="Arial" w:cs="Arial"/>
        </w:rPr>
        <w:t xml:space="preserve"> incidents to which the duty of candour applied. These are where types of incident have happened which are unintended or unexpected, and do not relate directly to the natural course of someone’s illness or underlying condition.   </w:t>
      </w:r>
    </w:p>
    <w:p w14:paraId="4B926671" w14:textId="77777777" w:rsidR="00B500CC" w:rsidRPr="00AB1FC5" w:rsidRDefault="00B500CC" w:rsidP="00B500CC">
      <w:pPr>
        <w:rPr>
          <w:rFonts w:ascii="Arial" w:hAnsi="Arial" w:cs="Arial"/>
        </w:rPr>
      </w:pPr>
    </w:p>
    <w:p w14:paraId="4A70D4F1" w14:textId="77777777" w:rsidR="00B500CC" w:rsidRPr="00AB1FC5" w:rsidRDefault="00B500CC" w:rsidP="00B500CC">
      <w:pPr>
        <w:rPr>
          <w:rFonts w:ascii="Arial" w:hAnsi="Arial" w:cs="Arial"/>
          <w:b/>
          <w:bCs/>
        </w:rPr>
      </w:pPr>
      <w:r w:rsidRPr="00AB1FC5">
        <w:rPr>
          <w:rFonts w:ascii="Arial" w:hAnsi="Arial" w:cs="Arial"/>
          <w:b/>
          <w:bCs/>
        </w:rPr>
        <w:t>Duty of Candour Record</w:t>
      </w:r>
    </w:p>
    <w:p w14:paraId="65A5FDDC" w14:textId="77777777" w:rsidR="00B500CC" w:rsidRPr="00AB1FC5" w:rsidRDefault="00B500CC" w:rsidP="00B500C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3634"/>
      </w:tblGrid>
      <w:tr w:rsidR="00B500CC" w:rsidRPr="00AB1FC5" w14:paraId="4F139B3E" w14:textId="77777777" w:rsidTr="000345A5">
        <w:tc>
          <w:tcPr>
            <w:tcW w:w="5382" w:type="dxa"/>
            <w:shd w:val="clear" w:color="auto" w:fill="auto"/>
          </w:tcPr>
          <w:p w14:paraId="2C08D8BC" w14:textId="77777777" w:rsidR="00B500CC" w:rsidRPr="00AB1FC5" w:rsidRDefault="00B500CC" w:rsidP="000345A5">
            <w:pPr>
              <w:rPr>
                <w:rFonts w:ascii="Arial" w:eastAsia="Calibri" w:hAnsi="Arial" w:cs="Arial"/>
                <w:b/>
                <w:bCs/>
                <w:sz w:val="22"/>
                <w:szCs w:val="22"/>
              </w:rPr>
            </w:pPr>
            <w:r w:rsidRPr="00AB1FC5">
              <w:rPr>
                <w:rFonts w:ascii="Arial" w:eastAsia="Calibri" w:hAnsi="Arial" w:cs="Arial"/>
                <w:b/>
                <w:bCs/>
                <w:sz w:val="22"/>
                <w:szCs w:val="22"/>
              </w:rPr>
              <w:t>Type of unexpected or unintended incident</w:t>
            </w:r>
          </w:p>
        </w:tc>
        <w:tc>
          <w:tcPr>
            <w:tcW w:w="3634" w:type="dxa"/>
            <w:shd w:val="clear" w:color="auto" w:fill="auto"/>
          </w:tcPr>
          <w:p w14:paraId="6A6F68C7" w14:textId="77777777" w:rsidR="00B500CC" w:rsidRPr="00AB1FC5" w:rsidRDefault="00B500CC" w:rsidP="000345A5">
            <w:pPr>
              <w:rPr>
                <w:rFonts w:ascii="Arial" w:eastAsia="Calibri" w:hAnsi="Arial" w:cs="Arial"/>
                <w:b/>
                <w:bCs/>
                <w:sz w:val="22"/>
                <w:szCs w:val="22"/>
              </w:rPr>
            </w:pPr>
            <w:r w:rsidRPr="00AB1FC5">
              <w:rPr>
                <w:rFonts w:ascii="Arial" w:eastAsia="Calibri" w:hAnsi="Arial" w:cs="Arial"/>
                <w:b/>
                <w:bCs/>
                <w:sz w:val="22"/>
                <w:szCs w:val="22"/>
              </w:rPr>
              <w:t>Number of times this happened</w:t>
            </w:r>
          </w:p>
        </w:tc>
      </w:tr>
      <w:tr w:rsidR="00B500CC" w:rsidRPr="00AB1FC5" w14:paraId="1DEA9A1C" w14:textId="77777777" w:rsidTr="000345A5">
        <w:tc>
          <w:tcPr>
            <w:tcW w:w="5382" w:type="dxa"/>
            <w:shd w:val="clear" w:color="auto" w:fill="auto"/>
          </w:tcPr>
          <w:p w14:paraId="3E378A84"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Someone has died.</w:t>
            </w:r>
          </w:p>
        </w:tc>
        <w:tc>
          <w:tcPr>
            <w:tcW w:w="3634" w:type="dxa"/>
            <w:shd w:val="clear" w:color="auto" w:fill="auto"/>
          </w:tcPr>
          <w:p w14:paraId="73C9C07E"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0</w:t>
            </w:r>
          </w:p>
        </w:tc>
      </w:tr>
      <w:tr w:rsidR="00B500CC" w:rsidRPr="00AB1FC5" w14:paraId="759BA3F9" w14:textId="77777777" w:rsidTr="000345A5">
        <w:tc>
          <w:tcPr>
            <w:tcW w:w="5382" w:type="dxa"/>
            <w:shd w:val="clear" w:color="auto" w:fill="auto"/>
          </w:tcPr>
          <w:p w14:paraId="4C26F339"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Someone has permanently lost bodily, sensory, motor, physiologic or intellectual functions.</w:t>
            </w:r>
          </w:p>
        </w:tc>
        <w:tc>
          <w:tcPr>
            <w:tcW w:w="3634" w:type="dxa"/>
            <w:shd w:val="clear" w:color="auto" w:fill="auto"/>
          </w:tcPr>
          <w:p w14:paraId="0D4D9D63" w14:textId="170E4131" w:rsidR="00B500CC" w:rsidRPr="00AB1FC5" w:rsidRDefault="00FE5B80" w:rsidP="000345A5">
            <w:pPr>
              <w:rPr>
                <w:rFonts w:ascii="Arial" w:eastAsia="Calibri" w:hAnsi="Arial" w:cs="Arial"/>
                <w:sz w:val="22"/>
                <w:szCs w:val="22"/>
              </w:rPr>
            </w:pPr>
            <w:r>
              <w:rPr>
                <w:rFonts w:ascii="Arial" w:eastAsia="Calibri" w:hAnsi="Arial" w:cs="Arial"/>
                <w:sz w:val="22"/>
                <w:szCs w:val="22"/>
              </w:rPr>
              <w:t>0</w:t>
            </w:r>
          </w:p>
        </w:tc>
      </w:tr>
      <w:tr w:rsidR="00B500CC" w:rsidRPr="00AB1FC5" w14:paraId="2F83AF55" w14:textId="77777777" w:rsidTr="000345A5">
        <w:tc>
          <w:tcPr>
            <w:tcW w:w="5382" w:type="dxa"/>
            <w:shd w:val="clear" w:color="auto" w:fill="auto"/>
          </w:tcPr>
          <w:p w14:paraId="6EEE6C75"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Someone’s life expectancy becomes shorter because of harm.</w:t>
            </w:r>
          </w:p>
        </w:tc>
        <w:tc>
          <w:tcPr>
            <w:tcW w:w="3634" w:type="dxa"/>
            <w:shd w:val="clear" w:color="auto" w:fill="auto"/>
          </w:tcPr>
          <w:p w14:paraId="4BC3BF03"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0</w:t>
            </w:r>
          </w:p>
        </w:tc>
      </w:tr>
      <w:tr w:rsidR="00B500CC" w:rsidRPr="00AB1FC5" w14:paraId="33F919A1" w14:textId="77777777" w:rsidTr="000345A5">
        <w:tc>
          <w:tcPr>
            <w:tcW w:w="5382" w:type="dxa"/>
            <w:shd w:val="clear" w:color="auto" w:fill="auto"/>
          </w:tcPr>
          <w:p w14:paraId="69EA102A"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 xml:space="preserve">A person needing health treatment </w:t>
            </w:r>
            <w:proofErr w:type="gramStart"/>
            <w:r w:rsidRPr="00AB1FC5">
              <w:rPr>
                <w:rFonts w:ascii="Arial" w:eastAsia="Calibri" w:hAnsi="Arial" w:cs="Arial"/>
                <w:sz w:val="22"/>
                <w:szCs w:val="22"/>
              </w:rPr>
              <w:t>in order to</w:t>
            </w:r>
            <w:proofErr w:type="gramEnd"/>
            <w:r w:rsidRPr="00AB1FC5">
              <w:rPr>
                <w:rFonts w:ascii="Arial" w:eastAsia="Calibri" w:hAnsi="Arial" w:cs="Arial"/>
                <w:sz w:val="22"/>
                <w:szCs w:val="22"/>
              </w:rPr>
              <w:t xml:space="preserve"> prevent other injuries.</w:t>
            </w:r>
          </w:p>
        </w:tc>
        <w:tc>
          <w:tcPr>
            <w:tcW w:w="3634" w:type="dxa"/>
            <w:shd w:val="clear" w:color="auto" w:fill="auto"/>
          </w:tcPr>
          <w:p w14:paraId="537B159D" w14:textId="0C93C1EC" w:rsidR="00B500CC" w:rsidRPr="00AB1FC5" w:rsidRDefault="00FE5B80" w:rsidP="000345A5">
            <w:pPr>
              <w:rPr>
                <w:rFonts w:ascii="Arial" w:eastAsia="Calibri" w:hAnsi="Arial" w:cs="Arial"/>
                <w:sz w:val="22"/>
                <w:szCs w:val="22"/>
              </w:rPr>
            </w:pPr>
            <w:r>
              <w:rPr>
                <w:rFonts w:ascii="Arial" w:eastAsia="Calibri" w:hAnsi="Arial" w:cs="Arial"/>
                <w:sz w:val="22"/>
                <w:szCs w:val="22"/>
              </w:rPr>
              <w:t>0</w:t>
            </w:r>
          </w:p>
        </w:tc>
      </w:tr>
      <w:tr w:rsidR="00B500CC" w:rsidRPr="00AB1FC5" w14:paraId="04A09568" w14:textId="77777777" w:rsidTr="000345A5">
        <w:tc>
          <w:tcPr>
            <w:tcW w:w="5382" w:type="dxa"/>
            <w:shd w:val="clear" w:color="auto" w:fill="auto"/>
          </w:tcPr>
          <w:p w14:paraId="7658F70C" w14:textId="77777777" w:rsidR="00B500CC" w:rsidRPr="00AB1FC5" w:rsidRDefault="00B500CC" w:rsidP="000345A5">
            <w:pPr>
              <w:rPr>
                <w:rFonts w:ascii="Arial" w:eastAsia="Calibri" w:hAnsi="Arial" w:cs="Arial"/>
                <w:sz w:val="22"/>
                <w:szCs w:val="22"/>
              </w:rPr>
            </w:pPr>
            <w:r w:rsidRPr="00AB1FC5">
              <w:rPr>
                <w:rFonts w:ascii="Arial" w:eastAsia="Calibri" w:hAnsi="Arial" w:cs="Arial"/>
                <w:sz w:val="22"/>
                <w:szCs w:val="22"/>
              </w:rPr>
              <w:t xml:space="preserve">A person needed health treatment </w:t>
            </w:r>
            <w:proofErr w:type="gramStart"/>
            <w:r w:rsidRPr="00AB1FC5">
              <w:rPr>
                <w:rFonts w:ascii="Arial" w:eastAsia="Calibri" w:hAnsi="Arial" w:cs="Arial"/>
                <w:sz w:val="22"/>
                <w:szCs w:val="22"/>
              </w:rPr>
              <w:t>in order to</w:t>
            </w:r>
            <w:proofErr w:type="gramEnd"/>
            <w:r w:rsidRPr="00AB1FC5">
              <w:rPr>
                <w:rFonts w:ascii="Arial" w:eastAsia="Calibri" w:hAnsi="Arial" w:cs="Arial"/>
                <w:sz w:val="22"/>
                <w:szCs w:val="22"/>
              </w:rPr>
              <w:t xml:space="preserve"> prevent them dying.</w:t>
            </w:r>
          </w:p>
        </w:tc>
        <w:tc>
          <w:tcPr>
            <w:tcW w:w="3634" w:type="dxa"/>
            <w:shd w:val="clear" w:color="auto" w:fill="auto"/>
          </w:tcPr>
          <w:p w14:paraId="4E0A8517" w14:textId="132EB82E" w:rsidR="00B500CC" w:rsidRPr="00AB1FC5" w:rsidRDefault="00FE5B80" w:rsidP="000345A5">
            <w:pPr>
              <w:rPr>
                <w:rFonts w:ascii="Arial" w:eastAsia="Calibri" w:hAnsi="Arial" w:cs="Arial"/>
                <w:sz w:val="22"/>
                <w:szCs w:val="22"/>
              </w:rPr>
            </w:pPr>
            <w:r>
              <w:rPr>
                <w:rFonts w:ascii="Arial" w:eastAsia="Calibri" w:hAnsi="Arial" w:cs="Arial"/>
                <w:sz w:val="22"/>
                <w:szCs w:val="22"/>
              </w:rPr>
              <w:t>0</w:t>
            </w:r>
          </w:p>
        </w:tc>
      </w:tr>
    </w:tbl>
    <w:p w14:paraId="781DFAED" w14:textId="3C530815" w:rsidR="00B500CC" w:rsidRPr="00AB1FC5" w:rsidRDefault="00B500CC" w:rsidP="00B500CC">
      <w:pPr>
        <w:rPr>
          <w:rFonts w:ascii="Arial" w:hAnsi="Arial" w:cs="Arial"/>
          <w:b/>
          <w:bCs/>
          <w:i/>
          <w:iCs/>
        </w:rPr>
      </w:pPr>
    </w:p>
    <w:p w14:paraId="31304DFC" w14:textId="77777777" w:rsidR="00B500CC" w:rsidRPr="00AB1FC5" w:rsidRDefault="00B500CC" w:rsidP="00B500CC">
      <w:pPr>
        <w:rPr>
          <w:rFonts w:ascii="Arial" w:hAnsi="Arial" w:cs="Arial"/>
        </w:rPr>
      </w:pPr>
    </w:p>
    <w:p w14:paraId="252C8800" w14:textId="77777777" w:rsidR="00B500CC" w:rsidRPr="00AB1FC5" w:rsidRDefault="00B500CC" w:rsidP="00B500CC">
      <w:pPr>
        <w:rPr>
          <w:rFonts w:ascii="Arial" w:hAnsi="Arial" w:cs="Arial"/>
        </w:rPr>
      </w:pPr>
      <w:r w:rsidRPr="00AB1FC5">
        <w:rPr>
          <w:rFonts w:ascii="Arial" w:hAnsi="Arial" w:cs="Arial"/>
        </w:rPr>
        <w:t>As no incidents have occurred during this reporting period, no actions were required to be taken in terms of Duty of Candour.</w:t>
      </w:r>
    </w:p>
    <w:p w14:paraId="386A3E78" w14:textId="77777777" w:rsidR="00B500CC" w:rsidRPr="00AB1FC5" w:rsidRDefault="00B500CC" w:rsidP="00B500CC">
      <w:pPr>
        <w:rPr>
          <w:rFonts w:ascii="Arial" w:hAnsi="Arial" w:cs="Arial"/>
        </w:rPr>
      </w:pPr>
    </w:p>
    <w:p w14:paraId="5EEB4C98" w14:textId="77777777" w:rsidR="00B500CC" w:rsidRPr="00AB1FC5" w:rsidRDefault="00B500CC" w:rsidP="00B500CC">
      <w:pPr>
        <w:rPr>
          <w:rFonts w:ascii="Arial" w:hAnsi="Arial" w:cs="Arial"/>
        </w:rPr>
      </w:pPr>
      <w:r w:rsidRPr="00AB1FC5">
        <w:rPr>
          <w:rFonts w:ascii="Arial" w:hAnsi="Arial" w:cs="Arial"/>
        </w:rPr>
        <w:t xml:space="preserve">Where something has happened that triggers the duty of candour, our staff report this to the manager who has responsibility for ensuring that the duty of candour procedure is followed. The manager records the incidents and reports them as necessary to the Care Inspectorate.  </w:t>
      </w:r>
    </w:p>
    <w:p w14:paraId="03E65C9B" w14:textId="77777777" w:rsidR="00B500CC" w:rsidRPr="00AB1FC5" w:rsidRDefault="00B500CC" w:rsidP="00B500CC">
      <w:pPr>
        <w:rPr>
          <w:rFonts w:ascii="Arial" w:hAnsi="Arial" w:cs="Arial"/>
        </w:rPr>
      </w:pPr>
    </w:p>
    <w:p w14:paraId="377B63AD" w14:textId="315FC54F" w:rsidR="00B500CC" w:rsidRPr="00B828FE" w:rsidRDefault="00B500CC" w:rsidP="00B828FE">
      <w:pPr>
        <w:tabs>
          <w:tab w:val="left" w:pos="1440"/>
          <w:tab w:val="center" w:pos="4153"/>
          <w:tab w:val="left" w:pos="6120"/>
          <w:tab w:val="right" w:pos="8306"/>
        </w:tabs>
        <w:rPr>
          <w:rFonts w:ascii="Arial" w:hAnsi="Arial"/>
        </w:rPr>
      </w:pPr>
      <w:r w:rsidRPr="00AB1FC5">
        <w:rPr>
          <w:rFonts w:ascii="Arial" w:hAnsi="Arial" w:cs="Arial"/>
        </w:rPr>
        <w:t xml:space="preserve">All new staff learn about the duty of candour at their induction and </w:t>
      </w:r>
      <w:r w:rsidR="00524484">
        <w:rPr>
          <w:rFonts w:ascii="Arial" w:hAnsi="Arial" w:cs="Arial"/>
        </w:rPr>
        <w:t xml:space="preserve">are aware of the procedure.  The Manager and Lead Practitioners should </w:t>
      </w:r>
      <w:r w:rsidRPr="00AB1FC5">
        <w:rPr>
          <w:rFonts w:ascii="Arial" w:hAnsi="Arial" w:cs="Arial"/>
        </w:rPr>
        <w:t>undertake the Duty of Candour online Learning Module.  During this reporting period</w:t>
      </w:r>
      <w:r w:rsidR="00FE5B80">
        <w:rPr>
          <w:rFonts w:ascii="Arial" w:hAnsi="Arial" w:cs="Arial"/>
        </w:rPr>
        <w:t>, no</w:t>
      </w:r>
      <w:r w:rsidRPr="00AB1FC5">
        <w:rPr>
          <w:rFonts w:ascii="Arial" w:hAnsi="Arial" w:cs="Arial"/>
        </w:rPr>
        <w:t xml:space="preserve"> staff carried out the online module</w:t>
      </w:r>
      <w:r w:rsidR="00415553">
        <w:rPr>
          <w:rFonts w:ascii="Arial" w:hAnsi="Arial" w:cs="Arial"/>
        </w:rPr>
        <w:t xml:space="preserve"> as they were unable to access it</w:t>
      </w:r>
      <w:r w:rsidR="00B828FE">
        <w:rPr>
          <w:rFonts w:ascii="Arial" w:hAnsi="Arial" w:cs="Arial"/>
        </w:rPr>
        <w:t xml:space="preserve"> through TURAS learn</w:t>
      </w:r>
      <w:r w:rsidRPr="00AB1FC5">
        <w:rPr>
          <w:rFonts w:ascii="Arial" w:hAnsi="Arial" w:cs="Arial"/>
        </w:rPr>
        <w:t>.</w:t>
      </w:r>
      <w:r w:rsidR="00FE5B80">
        <w:rPr>
          <w:rFonts w:ascii="Arial" w:hAnsi="Arial" w:cs="Arial"/>
        </w:rPr>
        <w:t xml:space="preserve">  However, all </w:t>
      </w:r>
      <w:r w:rsidR="00524484">
        <w:rPr>
          <w:rFonts w:ascii="Arial" w:hAnsi="Arial" w:cs="Arial"/>
        </w:rPr>
        <w:t xml:space="preserve">relevant </w:t>
      </w:r>
      <w:r w:rsidR="00FE5B80">
        <w:rPr>
          <w:rFonts w:ascii="Arial" w:hAnsi="Arial" w:cs="Arial"/>
        </w:rPr>
        <w:t>staff</w:t>
      </w:r>
      <w:r w:rsidR="00B828FE">
        <w:rPr>
          <w:rFonts w:ascii="Arial" w:hAnsi="Arial" w:cs="Arial"/>
        </w:rPr>
        <w:t xml:space="preserve"> read the guidance at </w:t>
      </w:r>
      <w:hyperlink r:id="rId7" w:history="1">
        <w:r w:rsidR="00B828FE" w:rsidRPr="00B828FE">
          <w:rPr>
            <w:rStyle w:val="Hyperlink"/>
            <w:rFonts w:ascii="Arial" w:hAnsi="Arial"/>
          </w:rPr>
          <w:t>www.careinspectorate.com/index.php/duty-of-</w:t>
        </w:r>
        <w:r w:rsidR="00B828FE" w:rsidRPr="00B828FE">
          <w:rPr>
            <w:rStyle w:val="Hyperlink"/>
            <w:rFonts w:ascii="Arial" w:hAnsi="Arial"/>
          </w:rPr>
          <w:lastRenderedPageBreak/>
          <w:t>candour</w:t>
        </w:r>
      </w:hyperlink>
      <w:r w:rsidR="00B828FE" w:rsidRPr="00B828FE">
        <w:rPr>
          <w:rFonts w:ascii="Arial" w:hAnsi="Arial"/>
        </w:rPr>
        <w:t xml:space="preserve"> and </w:t>
      </w:r>
      <w:hyperlink r:id="rId8" w:history="1">
        <w:r w:rsidR="00B828FE" w:rsidRPr="00B828FE">
          <w:rPr>
            <w:rStyle w:val="Hyperlink"/>
            <w:rFonts w:ascii="Arial" w:hAnsi="Arial"/>
          </w:rPr>
          <w:t>www.gov.scot/Resource/0053/00533470.pdf</w:t>
        </w:r>
      </w:hyperlink>
      <w:r w:rsidR="00B828FE">
        <w:rPr>
          <w:rFonts w:ascii="Arial" w:hAnsi="Arial"/>
        </w:rPr>
        <w:t xml:space="preserve">.  </w:t>
      </w:r>
      <w:r w:rsidR="00415553">
        <w:rPr>
          <w:rFonts w:ascii="Arial" w:hAnsi="Arial" w:cs="Arial"/>
        </w:rPr>
        <w:t xml:space="preserve">All relevant staff will try to access and </w:t>
      </w:r>
      <w:r w:rsidR="00FE5B80">
        <w:rPr>
          <w:rFonts w:ascii="Arial" w:hAnsi="Arial" w:cs="Arial"/>
        </w:rPr>
        <w:t>carry out the online module d</w:t>
      </w:r>
      <w:r w:rsidR="00415553">
        <w:rPr>
          <w:rFonts w:ascii="Arial" w:hAnsi="Arial" w:cs="Arial"/>
        </w:rPr>
        <w:t>u</w:t>
      </w:r>
      <w:r w:rsidR="00FE5B80">
        <w:rPr>
          <w:rFonts w:ascii="Arial" w:hAnsi="Arial" w:cs="Arial"/>
        </w:rPr>
        <w:t>ring the reporting period to 31 March 202</w:t>
      </w:r>
      <w:r w:rsidR="00415553">
        <w:rPr>
          <w:rFonts w:ascii="Arial" w:hAnsi="Arial" w:cs="Arial"/>
        </w:rPr>
        <w:t>2</w:t>
      </w:r>
      <w:r w:rsidR="00FE5B80">
        <w:rPr>
          <w:rFonts w:ascii="Arial" w:hAnsi="Arial" w:cs="Arial"/>
        </w:rPr>
        <w:t>.</w:t>
      </w:r>
    </w:p>
    <w:p w14:paraId="13ABB4A0" w14:textId="77777777" w:rsidR="00B500CC" w:rsidRPr="00AB1FC5" w:rsidRDefault="00B500CC" w:rsidP="00B500CC">
      <w:pPr>
        <w:rPr>
          <w:rFonts w:ascii="Arial" w:hAnsi="Arial" w:cs="Arial"/>
        </w:rPr>
      </w:pPr>
    </w:p>
    <w:p w14:paraId="3D3D0A42" w14:textId="77777777" w:rsidR="00B500CC" w:rsidRPr="00AB1FC5" w:rsidRDefault="00B500CC" w:rsidP="00B500CC">
      <w:pPr>
        <w:rPr>
          <w:rFonts w:ascii="Arial" w:hAnsi="Arial" w:cs="Arial"/>
        </w:rPr>
      </w:pPr>
      <w:r w:rsidRPr="00AB1FC5">
        <w:rPr>
          <w:rFonts w:ascii="Arial" w:hAnsi="Arial" w:cs="Arial"/>
        </w:rPr>
        <w:t>We know that serious mistakes can be distressing for staff as well as people who use our ELC service and their families.</w:t>
      </w:r>
    </w:p>
    <w:p w14:paraId="69BF5F4A" w14:textId="77777777" w:rsidR="00B500CC" w:rsidRPr="00AB1FC5" w:rsidRDefault="00B500CC" w:rsidP="00B500CC">
      <w:pPr>
        <w:rPr>
          <w:rFonts w:ascii="Arial" w:hAnsi="Arial" w:cs="Arial"/>
        </w:rPr>
      </w:pPr>
    </w:p>
    <w:p w14:paraId="6DB78780" w14:textId="20770B9F" w:rsidR="00B500CC" w:rsidRPr="00D55E52" w:rsidRDefault="00B500CC" w:rsidP="00B500CC">
      <w:pPr>
        <w:rPr>
          <w:rFonts w:ascii="Arial" w:hAnsi="Arial" w:cs="Arial"/>
        </w:rPr>
      </w:pPr>
      <w:r w:rsidRPr="00AB1FC5">
        <w:rPr>
          <w:rFonts w:ascii="Arial" w:hAnsi="Arial" w:cs="Arial"/>
        </w:rPr>
        <w:t xml:space="preserve">As required, we have confirmed completion of this report to the Care Inspectorate via e- forms, we have published the report on our </w:t>
      </w:r>
      <w:r w:rsidR="00524484">
        <w:rPr>
          <w:rFonts w:ascii="Arial" w:hAnsi="Arial" w:cs="Arial"/>
        </w:rPr>
        <w:t>Facebook page</w:t>
      </w:r>
      <w:r w:rsidRPr="00AB1FC5">
        <w:rPr>
          <w:rFonts w:ascii="Arial" w:hAnsi="Arial" w:cs="Arial"/>
        </w:rPr>
        <w:t xml:space="preserve"> and shared it with our service users too.</w:t>
      </w:r>
      <w:r w:rsidRPr="006F712B">
        <w:rPr>
          <w:rFonts w:ascii="Arial" w:hAnsi="Arial" w:cs="Arial"/>
        </w:rPr>
        <w:t xml:space="preserve"> </w:t>
      </w:r>
    </w:p>
    <w:p w14:paraId="34D62FBD" w14:textId="77777777" w:rsidR="00B500CC" w:rsidRPr="002225DB" w:rsidRDefault="00B500CC" w:rsidP="00B500CC">
      <w:pPr>
        <w:rPr>
          <w:rFonts w:ascii="Arial" w:hAnsi="Arial" w:cs="Arial"/>
        </w:rPr>
      </w:pPr>
    </w:p>
    <w:p w14:paraId="308B0833" w14:textId="77777777" w:rsidR="00CB7469" w:rsidRDefault="00B828FE"/>
    <w:sectPr w:rsidR="00CB7469" w:rsidSect="00A55CEC">
      <w:headerReference w:type="default" r:id="rId9"/>
      <w:footerReference w:type="default" r:id="rId10"/>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7F406" w14:textId="77777777" w:rsidR="00FE5B80" w:rsidRDefault="00FE5B80" w:rsidP="00FE5B80">
      <w:r>
        <w:separator/>
      </w:r>
    </w:p>
  </w:endnote>
  <w:endnote w:type="continuationSeparator" w:id="0">
    <w:p w14:paraId="354A5790" w14:textId="77777777" w:rsidR="00FE5B80" w:rsidRDefault="00FE5B80" w:rsidP="00FE5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92FA" w14:textId="1710D45E" w:rsidR="00BF0B9C" w:rsidRDefault="00FE5B80">
    <w:pPr>
      <w:pStyle w:val="Footer"/>
    </w:pPr>
    <w:r>
      <w:t>February 202</w:t>
    </w:r>
    <w:r w:rsidR="00415553">
      <w:t>2</w:t>
    </w:r>
  </w:p>
  <w:p w14:paraId="76887CD3" w14:textId="77777777" w:rsidR="00D034BF" w:rsidRDefault="00B82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A0C6" w14:textId="77777777" w:rsidR="00FE5B80" w:rsidRDefault="00FE5B80" w:rsidP="00FE5B80">
      <w:r>
        <w:separator/>
      </w:r>
    </w:p>
  </w:footnote>
  <w:footnote w:type="continuationSeparator" w:id="0">
    <w:p w14:paraId="68BF59F5" w14:textId="77777777" w:rsidR="00FE5B80" w:rsidRDefault="00FE5B80" w:rsidP="00FE5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316A" w14:textId="77777777" w:rsidR="00434E05" w:rsidRDefault="00B828FE">
    <w:pPr>
      <w:pStyle w:val="Header"/>
    </w:pPr>
  </w:p>
  <w:p w14:paraId="415E7B7C" w14:textId="77777777" w:rsidR="00265491" w:rsidRDefault="00B828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CC"/>
    <w:rsid w:val="000256D1"/>
    <w:rsid w:val="000C0454"/>
    <w:rsid w:val="00415553"/>
    <w:rsid w:val="00524484"/>
    <w:rsid w:val="00B500CC"/>
    <w:rsid w:val="00B828FE"/>
    <w:rsid w:val="00FE5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F7E4"/>
  <w15:chartTrackingRefBased/>
  <w15:docId w15:val="{D2A3901B-3163-4527-8E49-B609263D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CC"/>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500CC"/>
    <w:pPr>
      <w:tabs>
        <w:tab w:val="center" w:pos="4513"/>
        <w:tab w:val="right" w:pos="9026"/>
      </w:tabs>
    </w:pPr>
  </w:style>
  <w:style w:type="character" w:customStyle="1" w:styleId="HeaderChar">
    <w:name w:val="Header Char"/>
    <w:basedOn w:val="DefaultParagraphFont"/>
    <w:link w:val="Header"/>
    <w:uiPriority w:val="99"/>
    <w:rsid w:val="00B500CC"/>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B500CC"/>
    <w:pPr>
      <w:tabs>
        <w:tab w:val="center" w:pos="4513"/>
        <w:tab w:val="right" w:pos="9026"/>
      </w:tabs>
    </w:pPr>
  </w:style>
  <w:style w:type="character" w:customStyle="1" w:styleId="FooterChar">
    <w:name w:val="Footer Char"/>
    <w:basedOn w:val="DefaultParagraphFont"/>
    <w:link w:val="Footer"/>
    <w:uiPriority w:val="99"/>
    <w:rsid w:val="00B500CC"/>
    <w:rPr>
      <w:rFonts w:ascii="Times New Roman" w:eastAsia="Times New Roman" w:hAnsi="Times New Roman" w:cs="Times New Roman"/>
      <w:sz w:val="24"/>
      <w:szCs w:val="24"/>
      <w:lang w:eastAsia="en-GB"/>
    </w:rPr>
  </w:style>
  <w:style w:type="character" w:styleId="Hyperlink">
    <w:name w:val="Hyperlink"/>
    <w:uiPriority w:val="99"/>
    <w:unhideWhenUsed/>
    <w:rsid w:val="00B828FE"/>
    <w:rPr>
      <w:strike w:val="0"/>
      <w:dstrike w:val="0"/>
      <w:color w:val="412682"/>
      <w:u w:val="none"/>
      <w:effect w:val="none"/>
    </w:rPr>
  </w:style>
  <w:style w:type="character" w:styleId="UnresolvedMention">
    <w:name w:val="Unresolved Mention"/>
    <w:basedOn w:val="DefaultParagraphFont"/>
    <w:uiPriority w:val="99"/>
    <w:semiHidden/>
    <w:unhideWhenUsed/>
    <w:rsid w:val="00B828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24684">
      <w:bodyDiv w:val="1"/>
      <w:marLeft w:val="0"/>
      <w:marRight w:val="0"/>
      <w:marTop w:val="0"/>
      <w:marBottom w:val="0"/>
      <w:divBdr>
        <w:top w:val="none" w:sz="0" w:space="0" w:color="auto"/>
        <w:left w:val="none" w:sz="0" w:space="0" w:color="auto"/>
        <w:bottom w:val="none" w:sz="0" w:space="0" w:color="auto"/>
        <w:right w:val="none" w:sz="0" w:space="0" w:color="auto"/>
      </w:divBdr>
    </w:div>
    <w:div w:id="194334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scot/Resource/0053/00533470.pdf" TargetMode="External"/><Relationship Id="rId3" Type="http://schemas.openxmlformats.org/officeDocument/2006/relationships/webSettings" Target="webSettings.xml"/><Relationship Id="rId7" Type="http://schemas.openxmlformats.org/officeDocument/2006/relationships/hyperlink" Target="http://www.careinspectorate.com/index.php/duty-of-candou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Evans</dc:creator>
  <cp:keywords/>
  <dc:description/>
  <cp:lastModifiedBy>Carol Evans</cp:lastModifiedBy>
  <cp:revision>4</cp:revision>
  <dcterms:created xsi:type="dcterms:W3CDTF">2021-02-21T19:41:00Z</dcterms:created>
  <dcterms:modified xsi:type="dcterms:W3CDTF">2022-02-21T19:56:00Z</dcterms:modified>
</cp:coreProperties>
</file>