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C342B" w14:textId="5ABEC6B6" w:rsidR="00B06CF9" w:rsidRDefault="006B476D">
      <w:r>
        <w:t xml:space="preserve">2) The second condition is necessary because it is another way to check this method. If the stack is not empty, then there is an unbalance; an empty stack means there is balance. </w:t>
      </w:r>
    </w:p>
    <w:sectPr w:rsidR="00B06CF9" w:rsidSect="0003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6D"/>
    <w:rsid w:val="000373DE"/>
    <w:rsid w:val="006B476D"/>
    <w:rsid w:val="00B06CF9"/>
    <w:rsid w:val="00B2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93354"/>
  <w15:chartTrackingRefBased/>
  <w15:docId w15:val="{9DFF9E98-F2DE-D44A-B9D9-22A5CE75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Maxwell</dc:creator>
  <cp:keywords/>
  <dc:description/>
  <cp:lastModifiedBy>Cunningham, Maxwell</cp:lastModifiedBy>
  <cp:revision>2</cp:revision>
  <dcterms:created xsi:type="dcterms:W3CDTF">2020-04-06T19:45:00Z</dcterms:created>
  <dcterms:modified xsi:type="dcterms:W3CDTF">2020-04-06T19:45:00Z</dcterms:modified>
</cp:coreProperties>
</file>