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A27789">
        <w:rPr>
          <w:rFonts w:ascii="Arial" w:hAnsi="Arial" w:cs="Arial"/>
          <w:b/>
          <w:bCs/>
          <w:sz w:val="24"/>
          <w:szCs w:val="24"/>
        </w:rPr>
        <w:t>revisión final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ED08D8">
        <w:rPr>
          <w:rFonts w:ascii="Arial" w:hAnsi="Arial" w:cs="Arial"/>
          <w:b/>
          <w:bCs/>
          <w:sz w:val="24"/>
          <w:szCs w:val="24"/>
        </w:rPr>
        <w:t>20</w:t>
      </w:r>
      <w:r w:rsidR="00B3393C">
        <w:rPr>
          <w:rFonts w:ascii="Arial" w:hAnsi="Arial" w:cs="Arial"/>
          <w:b/>
          <w:bCs/>
          <w:sz w:val="24"/>
          <w:szCs w:val="24"/>
        </w:rPr>
        <w:t>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E43A39">
        <w:rPr>
          <w:rFonts w:ascii="Arial" w:hAnsi="Arial" w:cs="Arial"/>
          <w:b/>
          <w:bCs/>
          <w:sz w:val="24"/>
          <w:szCs w:val="24"/>
        </w:rPr>
        <w:t xml:space="preserve"> 07</w:t>
      </w:r>
      <w:r w:rsidR="00B3393C">
        <w:rPr>
          <w:rFonts w:ascii="Arial" w:hAnsi="Arial" w:cs="Arial"/>
          <w:b/>
          <w:bCs/>
          <w:sz w:val="24"/>
          <w:szCs w:val="24"/>
        </w:rPr>
        <w:t>:</w:t>
      </w:r>
      <w:r w:rsidR="00ED08D8">
        <w:rPr>
          <w:rFonts w:ascii="Arial" w:hAnsi="Arial" w:cs="Arial"/>
          <w:b/>
          <w:bCs/>
          <w:sz w:val="24"/>
          <w:szCs w:val="24"/>
        </w:rPr>
        <w:t>40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</w:t>
      </w:r>
      <w:bookmarkStart w:id="0" w:name="_GoBack"/>
      <w:bookmarkEnd w:id="0"/>
      <w:r w:rsidR="00492562" w:rsidRPr="000C20BD">
        <w:rPr>
          <w:rFonts w:ascii="Arial" w:hAnsi="Arial" w:cs="Arial"/>
          <w:b/>
          <w:bCs/>
          <w:sz w:val="24"/>
          <w:szCs w:val="24"/>
        </w:rPr>
        <w:t>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D24CA4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Alzate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E43A39" w:rsidRPr="000C20BD" w:rsidRDefault="00E43A39" w:rsidP="00E43A39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27789" w:rsidRDefault="00E43A39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revisar el cronograma y </w:t>
      </w:r>
      <w:r w:rsidR="00ED08D8">
        <w:rPr>
          <w:rFonts w:ascii="Arial" w:hAnsi="Arial" w:cs="Arial"/>
          <w:bCs/>
          <w:sz w:val="24"/>
          <w:szCs w:val="24"/>
        </w:rPr>
        <w:t>revisar que las tareas asignadas ya estén desarrolladas.</w:t>
      </w:r>
    </w:p>
    <w:p w:rsidR="00A27789" w:rsidRPr="000C20BD" w:rsidRDefault="00A27789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2D50A0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Como novedad se encuentra que </w:t>
      </w:r>
      <w:r w:rsidR="00E43A39">
        <w:rPr>
          <w:rFonts w:ascii="Arial" w:hAnsi="Arial" w:cs="Arial"/>
          <w:bCs/>
          <w:color w:val="000000"/>
          <w:sz w:val="24"/>
          <w:szCs w:val="24"/>
        </w:rPr>
        <w:t xml:space="preserve">las actividades </w:t>
      </w:r>
      <w:r w:rsidR="00ED08D8">
        <w:rPr>
          <w:rFonts w:ascii="Arial" w:hAnsi="Arial" w:cs="Arial"/>
          <w:bCs/>
          <w:color w:val="000000"/>
          <w:sz w:val="24"/>
          <w:szCs w:val="24"/>
        </w:rPr>
        <w:t>asignadas aún no han sido terminadas ya que se encontraron problemas en el desarrollo de unas consultas, el traspaso de inventario asignación de novedades a usuarios y el tema de la base de datos.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D1051" w:rsidRPr="000C20BD" w:rsidTr="00A92378">
        <w:trPr>
          <w:trHeight w:val="3003"/>
        </w:trPr>
        <w:tc>
          <w:tcPr>
            <w:tcW w:w="2411" w:type="dxa"/>
          </w:tcPr>
          <w:p w:rsidR="00ED1051" w:rsidRDefault="00ED1051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</w:t>
            </w:r>
            <w:r w:rsidR="00666C0B">
              <w:rPr>
                <w:rFonts w:ascii="Arial" w:hAnsi="Arial" w:cs="Arial"/>
                <w:sz w:val="24"/>
                <w:szCs w:val="24"/>
              </w:rPr>
              <w:t>,</w:t>
            </w:r>
            <w:r w:rsidR="00884E50">
              <w:rPr>
                <w:rFonts w:ascii="Arial" w:hAnsi="Arial" w:cs="Arial"/>
                <w:sz w:val="24"/>
                <w:szCs w:val="24"/>
              </w:rPr>
              <w:t xml:space="preserve"> consulta por placa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y consulta por serial</w:t>
            </w:r>
            <w:r w:rsidR="00884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E43A39">
            <w:pPr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3A39" w:rsidRDefault="00666C0B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A27789" w:rsidP="00A277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actualizar la base de datos para consultas.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  <w:p w:rsidR="00D24CA4" w:rsidRDefault="00D24CA4" w:rsidP="00666C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completar el traspaso del inventario.</w:t>
            </w:r>
          </w:p>
        </w:tc>
      </w:tr>
      <w:tr w:rsidR="009E7A91" w:rsidRPr="000C20BD" w:rsidTr="00D40014">
        <w:tc>
          <w:tcPr>
            <w:tcW w:w="2411" w:type="dxa"/>
          </w:tcPr>
          <w:p w:rsidR="009E7A91" w:rsidRDefault="0093520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registrar novedad, asociar novedad en los bienes y enviar correo a cuentadante.</w:t>
            </w:r>
          </w:p>
          <w:p w:rsidR="00D24CA4" w:rsidRDefault="00D24CA4" w:rsidP="00D400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9E7A9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9E7A91" w:rsidRDefault="00935201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12/03/2018</w:t>
            </w:r>
          </w:p>
        </w:tc>
        <w:tc>
          <w:tcPr>
            <w:tcW w:w="1534" w:type="dxa"/>
          </w:tcPr>
          <w:p w:rsidR="009E7A91" w:rsidRPr="00884E50" w:rsidRDefault="00D24CA4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9E7A91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378" w:rsidRPr="000C20BD" w:rsidTr="00D40014">
        <w:tc>
          <w:tcPr>
            <w:tcW w:w="2411" w:type="dxa"/>
          </w:tcPr>
          <w:p w:rsidR="00A92378" w:rsidRDefault="00A92378" w:rsidP="00A923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archivo Excel en base de datos.</w:t>
            </w:r>
          </w:p>
        </w:tc>
        <w:tc>
          <w:tcPr>
            <w:tcW w:w="1762" w:type="dxa"/>
          </w:tcPr>
          <w:p w:rsidR="00A92378" w:rsidRDefault="00A92378" w:rsidP="00A923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A92378" w:rsidRDefault="00A92378" w:rsidP="00A923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92378" w:rsidRDefault="00A92378" w:rsidP="00A923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A92378" w:rsidRDefault="00A92378" w:rsidP="00A923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A92378" w:rsidRPr="00803760" w:rsidRDefault="00ED08D8" w:rsidP="00A92378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ED08D8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92378" w:rsidRDefault="00A92378" w:rsidP="00A923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5267" w:rsidRPr="00D24CA4" w:rsidTr="00D40014">
        <w:tc>
          <w:tcPr>
            <w:tcW w:w="2411" w:type="dxa"/>
          </w:tcPr>
          <w:p w:rsidR="00C55267" w:rsidRDefault="00C55267" w:rsidP="008301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Subir archivos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repositorio.</w:t>
            </w:r>
          </w:p>
        </w:tc>
        <w:tc>
          <w:tcPr>
            <w:tcW w:w="1762" w:type="dxa"/>
          </w:tcPr>
          <w:p w:rsidR="00D24CA4" w:rsidRDefault="00C55267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  <w:r w:rsidR="00D24CA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C55267" w:rsidRDefault="00C55267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C55267" w:rsidRPr="00ED08D8" w:rsidRDefault="00D24CA4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ED08D8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C55267" w:rsidRDefault="00C55267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manual de usuario para cargar datos. 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2793">
              <w:rPr>
                <w:rFonts w:ascii="Arial" w:hAnsi="Arial" w:cs="Arial"/>
                <w:sz w:val="22"/>
                <w:szCs w:val="24"/>
              </w:rPr>
              <w:t>Se aplaza ya que no hay capacitación para realizar manuales.</w:t>
            </w:r>
          </w:p>
        </w:tc>
        <w:tc>
          <w:tcPr>
            <w:tcW w:w="1534" w:type="dxa"/>
          </w:tcPr>
          <w:p w:rsidR="00D24CA4" w:rsidRP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tipo e Bien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24CA4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D24CA4" w:rsidRP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encontrados.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Muñoz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Histórico de Movimientos.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perdidos.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Delegación para la toma física.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Reporte Toma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Fisica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FD259D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F2793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Asignacion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tablas perdidos e históricos.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378" w:rsidRPr="000C20BD" w:rsidTr="00333175">
        <w:tc>
          <w:tcPr>
            <w:tcW w:w="2411" w:type="dxa"/>
          </w:tcPr>
          <w:p w:rsidR="00A92378" w:rsidRDefault="00A92378" w:rsidP="003331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perfil usuario</w:t>
            </w:r>
          </w:p>
        </w:tc>
        <w:tc>
          <w:tcPr>
            <w:tcW w:w="1762" w:type="dxa"/>
          </w:tcPr>
          <w:p w:rsidR="00A92378" w:rsidRDefault="00A92378" w:rsidP="00333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Santiago Moreno </w:t>
            </w:r>
          </w:p>
        </w:tc>
        <w:tc>
          <w:tcPr>
            <w:tcW w:w="1498" w:type="dxa"/>
          </w:tcPr>
          <w:p w:rsidR="00A92378" w:rsidRDefault="00A92378" w:rsidP="00A923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13/03/2018</w:t>
            </w:r>
          </w:p>
        </w:tc>
        <w:tc>
          <w:tcPr>
            <w:tcW w:w="1534" w:type="dxa"/>
          </w:tcPr>
          <w:p w:rsidR="00A92378" w:rsidRPr="00666C0B" w:rsidRDefault="00ED08D8" w:rsidP="00333175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ED08D8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92378" w:rsidRDefault="00A92378" w:rsidP="0033317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actividad no se encontraba en el cronograma pero se infirió que es necesario para que cada usuario tenga control de sus datos. </w:t>
            </w:r>
          </w:p>
        </w:tc>
      </w:tr>
    </w:tbl>
    <w:p w:rsidR="004A411C" w:rsidRPr="00A92378" w:rsidRDefault="004A411C" w:rsidP="002C7C61">
      <w:pPr>
        <w:jc w:val="center"/>
        <w:rPr>
          <w:rFonts w:ascii="Arial" w:hAnsi="Arial" w:cs="Arial"/>
          <w:sz w:val="24"/>
          <w:szCs w:val="24"/>
        </w:rPr>
      </w:pPr>
    </w:p>
    <w:sectPr w:rsidR="004A411C" w:rsidRPr="00A92378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5B2331">
            <w:rPr>
              <w:rFonts w:ascii="Arial" w:hAnsi="Arial" w:cs="Arial"/>
              <w:b/>
            </w:rPr>
            <w:t xml:space="preserve"> #2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C20BD"/>
    <w:rsid w:val="000C579B"/>
    <w:rsid w:val="000C6E97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331"/>
    <w:rsid w:val="005B28F7"/>
    <w:rsid w:val="005E3773"/>
    <w:rsid w:val="005F705B"/>
    <w:rsid w:val="006053FF"/>
    <w:rsid w:val="00622DF6"/>
    <w:rsid w:val="00640E4D"/>
    <w:rsid w:val="00641EDB"/>
    <w:rsid w:val="00666C0B"/>
    <w:rsid w:val="00673E1A"/>
    <w:rsid w:val="00684C1A"/>
    <w:rsid w:val="006C53B5"/>
    <w:rsid w:val="006F0A4E"/>
    <w:rsid w:val="006F2793"/>
    <w:rsid w:val="006F659F"/>
    <w:rsid w:val="00736DFF"/>
    <w:rsid w:val="007376EC"/>
    <w:rsid w:val="0078253A"/>
    <w:rsid w:val="007870DD"/>
    <w:rsid w:val="007C4E0E"/>
    <w:rsid w:val="007D6D25"/>
    <w:rsid w:val="007F1486"/>
    <w:rsid w:val="00813EC4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27789"/>
    <w:rsid w:val="00A66E8E"/>
    <w:rsid w:val="00A673AD"/>
    <w:rsid w:val="00A92378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52BB3"/>
    <w:rsid w:val="00C55267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24CA4"/>
    <w:rsid w:val="00D34A79"/>
    <w:rsid w:val="00D57181"/>
    <w:rsid w:val="00D57F54"/>
    <w:rsid w:val="00D60103"/>
    <w:rsid w:val="00D65BA8"/>
    <w:rsid w:val="00DE4E56"/>
    <w:rsid w:val="00E16C75"/>
    <w:rsid w:val="00E23D03"/>
    <w:rsid w:val="00E43A39"/>
    <w:rsid w:val="00E53574"/>
    <w:rsid w:val="00E74A47"/>
    <w:rsid w:val="00E76A84"/>
    <w:rsid w:val="00E91028"/>
    <w:rsid w:val="00ED08D8"/>
    <w:rsid w:val="00ED1051"/>
    <w:rsid w:val="00EF0890"/>
    <w:rsid w:val="00EF7973"/>
    <w:rsid w:val="00F13EC6"/>
    <w:rsid w:val="00F26880"/>
    <w:rsid w:val="00F81DDB"/>
    <w:rsid w:val="00FD259D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303E4-4A06-44A4-86BE-1113DDD7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43</cp:revision>
  <dcterms:created xsi:type="dcterms:W3CDTF">2018-02-06T12:19:00Z</dcterms:created>
  <dcterms:modified xsi:type="dcterms:W3CDTF">2018-03-20T13:45:00Z</dcterms:modified>
</cp:coreProperties>
</file>