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D3C85" w14:textId="77777777" w:rsidR="00115EED" w:rsidRPr="00E43966" w:rsidRDefault="00115EED" w:rsidP="00115EED">
      <w:pPr>
        <w:jc w:val="center"/>
        <w:rPr>
          <w:sz w:val="32"/>
          <w:szCs w:val="32"/>
          <w:u w:val="single"/>
        </w:rPr>
      </w:pPr>
      <w:bookmarkStart w:id="0" w:name="_GoBack"/>
      <w:bookmarkEnd w:id="0"/>
      <w:r w:rsidRPr="00E43966">
        <w:rPr>
          <w:sz w:val="32"/>
          <w:szCs w:val="32"/>
          <w:u w:val="single"/>
        </w:rPr>
        <w:t>Results and Discussion: Universal DFT + U Generation Scheme</w:t>
      </w:r>
    </w:p>
    <w:p w14:paraId="21976E8B" w14:textId="77777777" w:rsidR="00115EED" w:rsidRDefault="00115EED"/>
    <w:p w14:paraId="49789520" w14:textId="77777777" w:rsidR="00115EED" w:rsidRDefault="00115EED">
      <w:r>
        <w:t xml:space="preserve">Instructions pertaining to the use of the </w:t>
      </w:r>
      <w:r w:rsidR="00E43966">
        <w:t>org-mod</w:t>
      </w:r>
      <w:r w:rsidR="00F2587B">
        <w:t xml:space="preserve">e python code UGCA_in_DFTU.org </w:t>
      </w:r>
      <w:r w:rsidR="00E43966">
        <w:t>to generate and run DFT+U linear response calculations pursuant to the calculation of self-consistent Hubbard U values are listed in the code itself. In order to process these results and find self-consistent U values, the following steps were completed:</w:t>
      </w:r>
    </w:p>
    <w:p w14:paraId="31FDC32B" w14:textId="77777777" w:rsidR="00E43966" w:rsidRDefault="00E43966"/>
    <w:p w14:paraId="6F351A97" w14:textId="77777777" w:rsidR="00E43966" w:rsidRDefault="00E43966">
      <w:r>
        <w:t>- After all calculations have finished running, make a directory titled according to the perturbed atom and inputted value</w:t>
      </w:r>
      <w:r w:rsidR="00F2587B">
        <w:t xml:space="preserve"> of the perturbed U (</w:t>
      </w:r>
      <w:proofErr w:type="spellStart"/>
      <w:r w:rsidR="00F2587B">
        <w:t>mkdir</w:t>
      </w:r>
      <w:proofErr w:type="spellEnd"/>
      <w:r w:rsidR="00F2587B">
        <w:t xml:space="preserve"> </w:t>
      </w:r>
      <w:r>
        <w:t>Ucalc_100_Co)</w:t>
      </w:r>
      <w:r w:rsidR="00F2587B">
        <w:t>. Then, c</w:t>
      </w:r>
      <w:r>
        <w:t>opy the output file (</w:t>
      </w:r>
      <w:proofErr w:type="spellStart"/>
      <w:r>
        <w:t>run.o</w:t>
      </w:r>
      <w:proofErr w:type="spellEnd"/>
      <w:r>
        <w:t xml:space="preserve"> …) into this directory and rename it OUTPUT.</w:t>
      </w:r>
    </w:p>
    <w:p w14:paraId="634A081E" w14:textId="77777777" w:rsidR="00E43966" w:rsidRDefault="00E43966"/>
    <w:p w14:paraId="2A264B14" w14:textId="77777777" w:rsidR="00E43966" w:rsidRDefault="00E43966">
      <w:r>
        <w:t>- Copy aggregator_1</w:t>
      </w:r>
      <w:r w:rsidRPr="00E43966">
        <w:t>st</w:t>
      </w:r>
      <w:r>
        <w:t xml:space="preserve">_QE_DFT+U </w:t>
      </w:r>
      <w:r w:rsidR="001431CA">
        <w:t xml:space="preserve">into this directory and run it to separate the initial SCF calculation and all subsequent perturbation calculations into distinct files. After this separation, the initial and final responses of each atom, which are taken with respect to appropriately enumerated perturbed atoms, will be formed by this code. They are named according to the convention: </w:t>
      </w:r>
      <w:proofErr w:type="gramStart"/>
      <w:r w:rsidR="001431CA">
        <w:t xml:space="preserve">“ </w:t>
      </w:r>
      <w:proofErr w:type="spellStart"/>
      <w:r w:rsidR="001431CA">
        <w:t>dn</w:t>
      </w:r>
      <w:proofErr w:type="spellEnd"/>
      <w:proofErr w:type="gramEnd"/>
      <w:r w:rsidR="001431CA">
        <w:t xml:space="preserve"> / dn0 (final / initial response)” _ “atom # or index of current atom” _ </w:t>
      </w:r>
      <w:proofErr w:type="spellStart"/>
      <w:r w:rsidR="001431CA">
        <w:t>dalpha</w:t>
      </w:r>
      <w:proofErr w:type="spellEnd"/>
      <w:r w:rsidR="001431CA">
        <w:t xml:space="preserve"> _ “atom index of perturbed atom”.</w:t>
      </w:r>
    </w:p>
    <w:p w14:paraId="1A1B127D" w14:textId="77777777" w:rsidR="001431CA" w:rsidRDefault="001431CA"/>
    <w:p w14:paraId="1BA0FF2F" w14:textId="77777777" w:rsidR="006F557C" w:rsidRDefault="004B16E2" w:rsidP="006F557C">
      <w:r>
        <w:t>- The occupations of the perturbed orbitals are listed in files where th</w:t>
      </w:r>
      <w:r w:rsidR="00F2587B">
        <w:t xml:space="preserve">e two atomic indices within </w:t>
      </w:r>
      <w:r>
        <w:t>file name</w:t>
      </w:r>
      <w:r w:rsidR="00F2587B">
        <w:t>s</w:t>
      </w:r>
      <w:r>
        <w:t xml:space="preserve"> match. For U = 0, the initial and final responses must have equal occ</w:t>
      </w:r>
      <w:r w:rsidR="002B28AC">
        <w:t xml:space="preserve">upation traces (sum of diagonals </w:t>
      </w:r>
      <w:r>
        <w:t xml:space="preserve">of occupation matrices) when their perturbations are both </w:t>
      </w:r>
      <w:r w:rsidR="009B058C">
        <w:t xml:space="preserve">zero. Both responses must also be linear over perturbations sampled. This is verified for examples tested by this code – 2x2x2 AFM (FCC) </w:t>
      </w:r>
      <w:proofErr w:type="spellStart"/>
      <w:r w:rsidR="009B058C">
        <w:t>NiO</w:t>
      </w:r>
      <w:proofErr w:type="spellEnd"/>
      <w:r w:rsidR="009B058C">
        <w:t xml:space="preserve"> (tested by </w:t>
      </w:r>
      <w:proofErr w:type="spellStart"/>
      <w:r w:rsidR="009B058C">
        <w:t>Cococcioni</w:t>
      </w:r>
      <w:proofErr w:type="spellEnd"/>
      <w:r w:rsidR="009B058C">
        <w:t xml:space="preserve"> at U = 0, files stored </w:t>
      </w:r>
      <w:r w:rsidR="0044622B">
        <w:t xml:space="preserve">at </w:t>
      </w:r>
      <w:proofErr w:type="spellStart"/>
      <w:r w:rsidR="0044622B">
        <w:t>media.quantum</w:t>
      </w:r>
      <w:proofErr w:type="spellEnd"/>
      <w:r w:rsidR="0044622B">
        <w:t xml:space="preserve"> </w:t>
      </w:r>
      <w:r w:rsidR="006F557C">
        <w:t>espresso.org/</w:t>
      </w:r>
      <w:r w:rsidR="0044622B">
        <w:t xml:space="preserve"> </w:t>
      </w:r>
      <w:r w:rsidR="006F557C">
        <w:t>santa_barbara_2009_07/</w:t>
      </w:r>
      <w:proofErr w:type="spellStart"/>
      <w:r w:rsidR="0044622B">
        <w:t>i</w:t>
      </w:r>
      <w:r w:rsidR="006F557C">
        <w:t>ndex.php</w:t>
      </w:r>
      <w:proofErr w:type="spellEnd"/>
      <w:r w:rsidR="006F557C">
        <w:t>) and 1x1x1 FM (R-3c) LaCoO</w:t>
      </w:r>
      <w:r w:rsidR="006F557C" w:rsidRPr="009B058C">
        <w:rPr>
          <w:vertAlign w:val="subscript"/>
        </w:rPr>
        <w:t>3</w:t>
      </w:r>
      <w:r w:rsidR="006F557C">
        <w:t xml:space="preserve"> – (tested by </w:t>
      </w:r>
      <w:proofErr w:type="spellStart"/>
      <w:r w:rsidR="006F557C">
        <w:t>Wentzcovitch</w:t>
      </w:r>
      <w:proofErr w:type="spellEnd"/>
      <w:r w:rsidR="006F557C">
        <w:t xml:space="preserve"> </w:t>
      </w:r>
      <w:r w:rsidR="006F557C" w:rsidRPr="009B058C">
        <w:rPr>
          <w:i/>
        </w:rPr>
        <w:t>et al.</w:t>
      </w:r>
      <w:r w:rsidR="006F557C">
        <w:t xml:space="preserve"> at Physical Review B 85, 140404(R) 2012) on </w:t>
      </w:r>
      <w:r w:rsidR="0044622B">
        <w:t>the next page.</w:t>
      </w:r>
    </w:p>
    <w:p w14:paraId="0A6A6347" w14:textId="77777777" w:rsidR="009B058C" w:rsidRDefault="009B058C"/>
    <w:p w14:paraId="2E6F4CEC" w14:textId="77777777" w:rsidR="006F557C" w:rsidRDefault="006F557C" w:rsidP="006F557C">
      <w:r>
        <w:t xml:space="preserve">- This process is completed for each perturbed atomic species, and all responses </w:t>
      </w:r>
      <w:proofErr w:type="gramStart"/>
      <w:r>
        <w:t>resulting</w:t>
      </w:r>
      <w:proofErr w:type="gramEnd"/>
      <w:r>
        <w:t xml:space="preserve"> from these perturbations are copied over to parent directories of the form </w:t>
      </w:r>
      <w:proofErr w:type="spellStart"/>
      <w:r>
        <w:t>Ucalc</w:t>
      </w:r>
      <w:proofErr w:type="spellEnd"/>
      <w:r>
        <w:t xml:space="preserve">_#_combine (# = value of inputted U), along with lists generated that specify the names of the files containing occupation data (e.g.: </w:t>
      </w:r>
      <w:proofErr w:type="spellStart"/>
      <w:r>
        <w:t>files_NiO</w:t>
      </w:r>
      <w:proofErr w:type="spellEnd"/>
      <w:r>
        <w:t xml:space="preserve">). </w:t>
      </w:r>
      <w:r w:rsidR="0044622B">
        <w:t xml:space="preserve">These individual file lists are concatenated </w:t>
      </w:r>
      <w:r w:rsidR="00132011">
        <w:t xml:space="preserve">to match the ordering of </w:t>
      </w:r>
      <w:r w:rsidR="0044622B">
        <w:t xml:space="preserve">elements written into a position file (e.g.: </w:t>
      </w:r>
      <w:proofErr w:type="spellStart"/>
      <w:r w:rsidR="0044622B">
        <w:t>pos_NiO</w:t>
      </w:r>
      <w:proofErr w:type="spellEnd"/>
      <w:r w:rsidR="0044622B">
        <w:t xml:space="preserve">), which gives the cell </w:t>
      </w:r>
      <w:r w:rsidR="00132011">
        <w:t xml:space="preserve">geometry and coordinates of all atoms, as well as </w:t>
      </w:r>
      <w:r w:rsidR="002B28AC">
        <w:t>data</w:t>
      </w:r>
      <w:r w:rsidR="00132011">
        <w:t xml:space="preserve"> detailing the magnitudes and sign</w:t>
      </w:r>
      <w:r w:rsidR="002B28AC">
        <w:t>s</w:t>
      </w:r>
      <w:r w:rsidR="00132011">
        <w:t xml:space="preserve"> of atomic magnetic moments.</w:t>
      </w:r>
    </w:p>
    <w:p w14:paraId="7EE6C110" w14:textId="77777777" w:rsidR="00132011" w:rsidRDefault="00132011" w:rsidP="006F557C"/>
    <w:p w14:paraId="75898004" w14:textId="77777777" w:rsidR="0044622B" w:rsidRDefault="00132011">
      <w:r>
        <w:t>- The executable (</w:t>
      </w:r>
      <w:proofErr w:type="spellStart"/>
      <w:r>
        <w:t>r.x</w:t>
      </w:r>
      <w:proofErr w:type="spellEnd"/>
      <w:r>
        <w:t>) that runs the linear response calculation code (resp_mat.f90) is generated by the command “</w:t>
      </w:r>
      <w:proofErr w:type="spellStart"/>
      <w:r>
        <w:t>sh</w:t>
      </w:r>
      <w:proofErr w:type="spellEnd"/>
      <w:r>
        <w:t xml:space="preserve"> </w:t>
      </w:r>
      <w:proofErr w:type="spellStart"/>
      <w:r>
        <w:t>comp_resp_mat.j</w:t>
      </w:r>
      <w:proofErr w:type="spellEnd"/>
      <w:r>
        <w:t>”, while the command “</w:t>
      </w:r>
      <w:proofErr w:type="gramStart"/>
      <w:r>
        <w:t>.</w:t>
      </w:r>
      <w:r w:rsidR="002B28AC">
        <w:t>/</w:t>
      </w:r>
      <w:proofErr w:type="spellStart"/>
      <w:proofErr w:type="gramEnd"/>
      <w:r w:rsidR="002B28AC">
        <w:t>r.x</w:t>
      </w:r>
      <w:proofErr w:type="spellEnd"/>
      <w:r w:rsidR="002B28AC">
        <w:t xml:space="preserve"> &lt; resp_mat.in” calculates </w:t>
      </w:r>
      <w:r>
        <w:t>effective outputted U value</w:t>
      </w:r>
      <w:r w:rsidR="002B28AC">
        <w:t>s</w:t>
      </w:r>
      <w:r>
        <w:t xml:space="preserve"> from a system with particular inputted values of U. The input file read into the executable (resp_mat.in), in addition to specifying the numbers of different types of atoms and perturbations present, also indicates whether magnetism is present in the system. Lastly, the input file can specify </w:t>
      </w:r>
      <w:r w:rsidR="002B28AC">
        <w:t>the addition of a “</w:t>
      </w:r>
      <w:r>
        <w:t>background</w:t>
      </w:r>
      <w:r w:rsidR="002B28AC">
        <w:t>”</w:t>
      </w:r>
      <w:r>
        <w:t xml:space="preserve"> </w:t>
      </w:r>
      <w:r w:rsidR="00F2587B">
        <w:t xml:space="preserve">to the response matrix; the addition of a background, which is generally a weighted (evenly weighted in the ‘neutral’ case) sum of all response matrix elements added to newly appended </w:t>
      </w:r>
      <w:r w:rsidR="002B28AC">
        <w:t xml:space="preserve">column and row </w:t>
      </w:r>
      <w:r w:rsidR="00F2587B">
        <w:t>entries,</w:t>
      </w:r>
      <w:r>
        <w:t xml:space="preserve"> </w:t>
      </w:r>
      <w:r w:rsidR="00F2587B">
        <w:t xml:space="preserve">can lead to faster </w:t>
      </w:r>
      <w:r w:rsidR="002B28AC">
        <w:t xml:space="preserve">U </w:t>
      </w:r>
      <w:r w:rsidR="00F2587B">
        <w:t xml:space="preserve">convergence with respect to </w:t>
      </w:r>
      <w:proofErr w:type="spellStart"/>
      <w:r w:rsidR="00F2587B">
        <w:t>supercell</w:t>
      </w:r>
      <w:proofErr w:type="spellEnd"/>
      <w:r w:rsidR="00F2587B">
        <w:t xml:space="preserve"> size.</w:t>
      </w:r>
    </w:p>
    <w:p w14:paraId="37010760" w14:textId="77777777" w:rsidR="006F557C" w:rsidRDefault="006F557C">
      <w:r>
        <w:rPr>
          <w:noProof/>
        </w:rPr>
        <w:lastRenderedPageBreak/>
        <w:drawing>
          <wp:inline distT="0" distB="0" distL="0" distR="0" wp14:anchorId="3E777FB3" wp14:editId="096AD591">
            <wp:extent cx="5486400" cy="4072255"/>
            <wp:effectExtent l="0" t="0" r="25400"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84B356" w14:textId="77777777" w:rsidR="009B058C" w:rsidRDefault="00D206A7">
      <w:r>
        <w:rPr>
          <w:noProof/>
        </w:rPr>
        <w:drawing>
          <wp:inline distT="0" distB="0" distL="0" distR="0" wp14:anchorId="628FBF7D" wp14:editId="3FB217DF">
            <wp:extent cx="5486400" cy="4072255"/>
            <wp:effectExtent l="0" t="0" r="2540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E0AC55" w14:textId="77777777" w:rsidR="002B28AC" w:rsidRDefault="002B28AC">
      <w:r>
        <w:rPr>
          <w:noProof/>
        </w:rPr>
        <w:lastRenderedPageBreak/>
        <w:drawing>
          <wp:inline distT="0" distB="0" distL="0" distR="0" wp14:anchorId="2E4A8A59" wp14:editId="7CAA44FB">
            <wp:extent cx="5486400" cy="4072255"/>
            <wp:effectExtent l="0" t="0" r="2540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3FF44D" w14:textId="77777777" w:rsidR="009B058C" w:rsidRDefault="002B28AC">
      <w:r>
        <w:rPr>
          <w:noProof/>
        </w:rPr>
        <w:drawing>
          <wp:inline distT="0" distB="0" distL="0" distR="0" wp14:anchorId="2B254A6B" wp14:editId="50A4C0D0">
            <wp:extent cx="5486400" cy="4072255"/>
            <wp:effectExtent l="0" t="0" r="2540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8BE305" w14:textId="77777777" w:rsidR="001431CA" w:rsidRDefault="00596EB7">
      <w:r>
        <w:rPr>
          <w:noProof/>
        </w:rPr>
        <w:lastRenderedPageBreak/>
        <w:drawing>
          <wp:inline distT="0" distB="0" distL="0" distR="0" wp14:anchorId="5B85D283" wp14:editId="1F84B6A2">
            <wp:extent cx="5486400" cy="4072255"/>
            <wp:effectExtent l="0" t="0" r="25400" b="171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9127BC" w14:textId="77777777" w:rsidR="00596EB7" w:rsidRDefault="00596EB7">
      <w:r>
        <w:rPr>
          <w:noProof/>
        </w:rPr>
        <w:drawing>
          <wp:inline distT="0" distB="0" distL="0" distR="0" wp14:anchorId="2194F89D" wp14:editId="6B126218">
            <wp:extent cx="5486400" cy="4072255"/>
            <wp:effectExtent l="0" t="0" r="25400"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018EEF9" w14:textId="17D87496" w:rsidR="009B058C" w:rsidRPr="004377A1" w:rsidRDefault="0013744E">
      <w:r>
        <w:lastRenderedPageBreak/>
        <w:t>In addition to showcasing the linearity and intersection of the initial and final responses for all cases above, the variation in the initial response with increasing inputted U</w:t>
      </w:r>
      <w:r w:rsidR="004377A1">
        <w:t xml:space="preserve"> (U perturbing 3</w:t>
      </w:r>
      <w:r w:rsidR="004377A1">
        <w:rPr>
          <w:i/>
        </w:rPr>
        <w:t>d</w:t>
      </w:r>
      <w:r w:rsidR="004377A1">
        <w:t xml:space="preserve"> orbitals of Co)</w:t>
      </w:r>
      <w:r>
        <w:t xml:space="preserve"> is illustrated as well for the LaCoO</w:t>
      </w:r>
      <w:r>
        <w:rPr>
          <w:vertAlign w:val="subscript"/>
        </w:rPr>
        <w:t>3</w:t>
      </w:r>
      <w:r w:rsidR="004377A1">
        <w:t xml:space="preserve"> case. Note that 3</w:t>
      </w:r>
      <w:r w:rsidR="004377A1">
        <w:rPr>
          <w:i/>
        </w:rPr>
        <w:t>d</w:t>
      </w:r>
      <w:r w:rsidR="004377A1">
        <w:t xml:space="preserve"> orbital perturbation occurs for Ni, 2</w:t>
      </w:r>
      <w:r w:rsidR="004377A1">
        <w:rPr>
          <w:i/>
        </w:rPr>
        <w:t>p</w:t>
      </w:r>
      <w:r w:rsidR="004377A1">
        <w:t xml:space="preserve"> orbital perturbation occurs whenever O is considered, and La – due to the design of its </w:t>
      </w:r>
      <w:proofErr w:type="spellStart"/>
      <w:r w:rsidR="004377A1">
        <w:t>pseudopotential</w:t>
      </w:r>
      <w:proofErr w:type="spellEnd"/>
      <w:r w:rsidR="004377A1">
        <w:t xml:space="preserve"> – must be modeled with respect to its ground state (0 K) occupancy (i.e.: 5</w:t>
      </w:r>
      <w:r w:rsidR="004377A1">
        <w:rPr>
          <w:i/>
        </w:rPr>
        <w:t>d</w:t>
      </w:r>
      <w:r w:rsidR="004377A1">
        <w:t xml:space="preserve"> orbital perturbation occurs). In order to obtain the self-consistent U of FM LaCoO</w:t>
      </w:r>
      <w:r w:rsidR="004377A1" w:rsidRPr="004377A1">
        <w:rPr>
          <w:vertAlign w:val="subscript"/>
        </w:rPr>
        <w:t>3</w:t>
      </w:r>
      <w:r w:rsidR="004377A1">
        <w:t xml:space="preserve">, different values of inputted U are first placed on all Co </w:t>
      </w:r>
      <w:proofErr w:type="spellStart"/>
      <w:r w:rsidR="004377A1">
        <w:t>cations</w:t>
      </w:r>
      <w:proofErr w:type="spellEnd"/>
      <w:r w:rsidR="004377A1">
        <w:t xml:space="preserve"> in the unit cell, </w:t>
      </w:r>
      <w:r w:rsidR="00374A16">
        <w:t xml:space="preserve">while the values of outputted U on those Co </w:t>
      </w:r>
      <w:proofErr w:type="spellStart"/>
      <w:r w:rsidR="00374A16">
        <w:t>cations</w:t>
      </w:r>
      <w:proofErr w:type="spellEnd"/>
      <w:r w:rsidR="00374A16">
        <w:t xml:space="preserve"> are resolved in every case via linear response theory. Outputted U values are regressed against inputted U values</w:t>
      </w:r>
      <w:r w:rsidR="004377A1">
        <w:t xml:space="preserve"> </w:t>
      </w:r>
      <w:r w:rsidR="00374A16">
        <w:t>linearly – in cases where either a neutral background is added or none is considered – up to the point at which outputted and inputted U values are no longer linearly related (valid points for both LaCoO</w:t>
      </w:r>
      <w:r w:rsidR="00374A16" w:rsidRPr="00374A16">
        <w:rPr>
          <w:vertAlign w:val="subscript"/>
        </w:rPr>
        <w:t xml:space="preserve">3 </w:t>
      </w:r>
      <w:r w:rsidR="00374A16">
        <w:t>cases are marked accordingly).</w:t>
      </w:r>
    </w:p>
    <w:p w14:paraId="3794B73A" w14:textId="77777777" w:rsidR="009B058C" w:rsidRDefault="009B058C"/>
    <w:p w14:paraId="5002CFC2" w14:textId="19DA48C5" w:rsidR="0013744E" w:rsidRDefault="0013744E">
      <w:r>
        <w:rPr>
          <w:noProof/>
        </w:rPr>
        <w:drawing>
          <wp:inline distT="0" distB="0" distL="0" distR="0" wp14:anchorId="66266F80" wp14:editId="15313844">
            <wp:extent cx="5486400" cy="3979545"/>
            <wp:effectExtent l="0" t="0" r="25400" b="3365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F45EDB5" w14:textId="77777777" w:rsidR="001431CA" w:rsidRDefault="001431CA"/>
    <w:p w14:paraId="79EAC43E" w14:textId="7B90D656" w:rsidR="00334DA4" w:rsidRDefault="00374A16">
      <w:r>
        <w:t xml:space="preserve">The y-intercepts formed by these regressions equal the calculated self-consistent U values for </w:t>
      </w:r>
      <w:proofErr w:type="spellStart"/>
      <w:r>
        <w:t>Co in</w:t>
      </w:r>
      <w:proofErr w:type="spellEnd"/>
      <w:r>
        <w:t xml:space="preserve"> the FM LaCoO</w:t>
      </w:r>
      <w:r w:rsidRPr="00374A16">
        <w:rPr>
          <w:vertAlign w:val="subscript"/>
        </w:rPr>
        <w:t>3</w:t>
      </w:r>
      <w:r>
        <w:t xml:space="preserve"> system.</w:t>
      </w:r>
      <w:r w:rsidR="00335FBE">
        <w:t xml:space="preserve"> Despite the fact that only a unit cell representation of the R-3c cell was implemented in this calculation, the resolved U of 7.08 </w:t>
      </w:r>
      <w:proofErr w:type="spellStart"/>
      <w:r w:rsidR="00335FBE">
        <w:t>eV</w:t>
      </w:r>
      <w:proofErr w:type="spellEnd"/>
      <w:r w:rsidR="00335FBE">
        <w:t xml:space="preserve"> is in very strong agreement with corresponding results deduced by </w:t>
      </w:r>
      <w:proofErr w:type="spellStart"/>
      <w:r w:rsidR="00335FBE">
        <w:t>Wentzkovitch</w:t>
      </w:r>
      <w:proofErr w:type="spellEnd"/>
      <w:r w:rsidR="00335FBE">
        <w:t xml:space="preserve"> </w:t>
      </w:r>
      <w:r w:rsidR="00335FBE">
        <w:rPr>
          <w:i/>
        </w:rPr>
        <w:t>et al</w:t>
      </w:r>
      <w:r w:rsidR="00335FBE">
        <w:t xml:space="preserve"> (7.0 </w:t>
      </w:r>
      <w:proofErr w:type="spellStart"/>
      <w:r w:rsidR="00335FBE">
        <w:t>eV</w:t>
      </w:r>
      <w:proofErr w:type="spellEnd"/>
      <w:r w:rsidR="00335FBE">
        <w:t xml:space="preserve">). Implementation of a neutral background, which can – but does not necessarily – speed up convergence of calculated U values with respect to cell size, has a negligible effect in larger </w:t>
      </w:r>
      <w:proofErr w:type="spellStart"/>
      <w:r w:rsidR="00335FBE">
        <w:t>supercells</w:t>
      </w:r>
      <w:proofErr w:type="spellEnd"/>
      <w:r w:rsidR="00335FBE">
        <w:t>.</w:t>
      </w:r>
    </w:p>
    <w:sectPr w:rsidR="00334DA4" w:rsidSect="00BD06F0">
      <w:headerReference w:type="even" r:id="rId15"/>
      <w:headerReference w:type="default" r:id="rId16"/>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FC54B" w14:textId="77777777" w:rsidR="003C1E60" w:rsidRDefault="003C1E60" w:rsidP="00115EED">
      <w:r>
        <w:separator/>
      </w:r>
    </w:p>
  </w:endnote>
  <w:endnote w:type="continuationSeparator" w:id="0">
    <w:p w14:paraId="064123A8" w14:textId="77777777" w:rsidR="003C1E60" w:rsidRDefault="003C1E60" w:rsidP="00115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62B69" w14:textId="77777777" w:rsidR="00374A16" w:rsidRDefault="00374A16" w:rsidP="00115E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8C42D9" w14:textId="77777777" w:rsidR="00374A16" w:rsidRDefault="00374A16" w:rsidP="00115E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EB882" w14:textId="77777777" w:rsidR="00374A16" w:rsidRDefault="00374A16" w:rsidP="00115E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0E2A">
      <w:rPr>
        <w:rStyle w:val="PageNumber"/>
        <w:noProof/>
      </w:rPr>
      <w:t>5</w:t>
    </w:r>
    <w:r>
      <w:rPr>
        <w:rStyle w:val="PageNumber"/>
      </w:rPr>
      <w:fldChar w:fldCharType="end"/>
    </w:r>
  </w:p>
  <w:p w14:paraId="68291A08" w14:textId="77777777" w:rsidR="00374A16" w:rsidRDefault="00374A16" w:rsidP="00115EE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649141" w14:textId="77777777" w:rsidR="003C1E60" w:rsidRDefault="003C1E60" w:rsidP="00115EED">
      <w:r>
        <w:separator/>
      </w:r>
    </w:p>
  </w:footnote>
  <w:footnote w:type="continuationSeparator" w:id="0">
    <w:p w14:paraId="728158B2" w14:textId="77777777" w:rsidR="003C1E60" w:rsidRDefault="003C1E60" w:rsidP="00115E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5DFCE" w14:textId="77777777" w:rsidR="00374A16" w:rsidRDefault="003C1E60">
    <w:pPr>
      <w:pStyle w:val="Header"/>
    </w:pPr>
    <w:sdt>
      <w:sdtPr>
        <w:id w:val="171999623"/>
        <w:placeholder>
          <w:docPart w:val="07C3356D1417CF498673CDB42FA71A09"/>
        </w:placeholder>
        <w:temporary/>
        <w:showingPlcHdr/>
      </w:sdtPr>
      <w:sdtEndPr/>
      <w:sdtContent>
        <w:r w:rsidR="00374A16">
          <w:t>[Type text]</w:t>
        </w:r>
      </w:sdtContent>
    </w:sdt>
    <w:r w:rsidR="00374A16">
      <w:ptab w:relativeTo="margin" w:alignment="center" w:leader="none"/>
    </w:r>
    <w:sdt>
      <w:sdtPr>
        <w:id w:val="171999624"/>
        <w:placeholder>
          <w:docPart w:val="C2157F5BA3384542931157F9DB4659B0"/>
        </w:placeholder>
        <w:temporary/>
        <w:showingPlcHdr/>
      </w:sdtPr>
      <w:sdtEndPr/>
      <w:sdtContent>
        <w:r w:rsidR="00374A16">
          <w:t>[Type text]</w:t>
        </w:r>
      </w:sdtContent>
    </w:sdt>
    <w:r w:rsidR="00374A16">
      <w:ptab w:relativeTo="margin" w:alignment="right" w:leader="none"/>
    </w:r>
    <w:sdt>
      <w:sdtPr>
        <w:id w:val="171999625"/>
        <w:placeholder>
          <w:docPart w:val="2C0E240AA87BFD4DA970F107C5A0DBCE"/>
        </w:placeholder>
        <w:temporary/>
        <w:showingPlcHdr/>
      </w:sdtPr>
      <w:sdtEndPr/>
      <w:sdtContent>
        <w:r w:rsidR="00374A16">
          <w:t>[Type text]</w:t>
        </w:r>
      </w:sdtContent>
    </w:sdt>
  </w:p>
  <w:p w14:paraId="4D37C6B0" w14:textId="77777777" w:rsidR="00374A16" w:rsidRDefault="00374A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76EA2" w14:textId="77777777" w:rsidR="00374A16" w:rsidRDefault="00374A16" w:rsidP="00115EED">
    <w:pPr>
      <w:pStyle w:val="Header"/>
      <w:tabs>
        <w:tab w:val="clear" w:pos="4320"/>
        <w:tab w:val="center" w:pos="1980"/>
      </w:tabs>
    </w:pPr>
    <w:r>
      <w:t xml:space="preserve">Matthew </w:t>
    </w:r>
    <w:proofErr w:type="spellStart"/>
    <w:r>
      <w:t>Curnan</w:t>
    </w:r>
    <w:proofErr w:type="spellEnd"/>
    <w:r>
      <w:ptab w:relativeTo="margin" w:alignment="center" w:leader="none"/>
    </w:r>
    <w:r>
      <w:t xml:space="preserve">              06-640: Principles and Applications of Molecular Simulation</w:t>
    </w:r>
  </w:p>
  <w:p w14:paraId="134C1BCA" w14:textId="77777777" w:rsidR="00374A16" w:rsidRDefault="00374A16">
    <w:pPr>
      <w:pStyle w:val="Header"/>
    </w:pPr>
    <w:r>
      <w:t>11/12/12</w:t>
    </w:r>
    <w:r>
      <w:tab/>
    </w:r>
    <w:r>
      <w:tab/>
      <w:t>Project #1: Results and Discussion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DA4"/>
    <w:rsid w:val="00102FC6"/>
    <w:rsid w:val="00115EED"/>
    <w:rsid w:val="00132011"/>
    <w:rsid w:val="0013744E"/>
    <w:rsid w:val="001431CA"/>
    <w:rsid w:val="002672E0"/>
    <w:rsid w:val="002B28AC"/>
    <w:rsid w:val="00334DA4"/>
    <w:rsid w:val="00335FBE"/>
    <w:rsid w:val="00374A16"/>
    <w:rsid w:val="003C1E60"/>
    <w:rsid w:val="004377A1"/>
    <w:rsid w:val="0044622B"/>
    <w:rsid w:val="004B16E2"/>
    <w:rsid w:val="00596EB7"/>
    <w:rsid w:val="006F557C"/>
    <w:rsid w:val="009B058C"/>
    <w:rsid w:val="00BD06F0"/>
    <w:rsid w:val="00C60E2A"/>
    <w:rsid w:val="00D206A7"/>
    <w:rsid w:val="00D90BB1"/>
    <w:rsid w:val="00E43966"/>
    <w:rsid w:val="00F2587B"/>
    <w:rsid w:val="00FE1C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917F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EED"/>
    <w:pPr>
      <w:tabs>
        <w:tab w:val="center" w:pos="4320"/>
        <w:tab w:val="right" w:pos="8640"/>
      </w:tabs>
    </w:pPr>
  </w:style>
  <w:style w:type="character" w:customStyle="1" w:styleId="HeaderChar">
    <w:name w:val="Header Char"/>
    <w:basedOn w:val="DefaultParagraphFont"/>
    <w:link w:val="Header"/>
    <w:uiPriority w:val="99"/>
    <w:rsid w:val="00115EED"/>
  </w:style>
  <w:style w:type="paragraph" w:styleId="Footer">
    <w:name w:val="footer"/>
    <w:basedOn w:val="Normal"/>
    <w:link w:val="FooterChar"/>
    <w:uiPriority w:val="99"/>
    <w:unhideWhenUsed/>
    <w:rsid w:val="00115EED"/>
    <w:pPr>
      <w:tabs>
        <w:tab w:val="center" w:pos="4320"/>
        <w:tab w:val="right" w:pos="8640"/>
      </w:tabs>
    </w:pPr>
  </w:style>
  <w:style w:type="character" w:customStyle="1" w:styleId="FooterChar">
    <w:name w:val="Footer Char"/>
    <w:basedOn w:val="DefaultParagraphFont"/>
    <w:link w:val="Footer"/>
    <w:uiPriority w:val="99"/>
    <w:rsid w:val="00115EED"/>
  </w:style>
  <w:style w:type="character" w:styleId="PageNumber">
    <w:name w:val="page number"/>
    <w:basedOn w:val="DefaultParagraphFont"/>
    <w:uiPriority w:val="99"/>
    <w:semiHidden/>
    <w:unhideWhenUsed/>
    <w:rsid w:val="00115EED"/>
  </w:style>
  <w:style w:type="paragraph" w:styleId="ListParagraph">
    <w:name w:val="List Paragraph"/>
    <w:basedOn w:val="Normal"/>
    <w:uiPriority w:val="34"/>
    <w:qFormat/>
    <w:rsid w:val="001431CA"/>
    <w:pPr>
      <w:ind w:left="720"/>
      <w:contextualSpacing/>
    </w:pPr>
  </w:style>
  <w:style w:type="paragraph" w:styleId="BalloonText">
    <w:name w:val="Balloon Text"/>
    <w:basedOn w:val="Normal"/>
    <w:link w:val="BalloonTextChar"/>
    <w:uiPriority w:val="99"/>
    <w:semiHidden/>
    <w:unhideWhenUsed/>
    <w:rsid w:val="00D206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06A7"/>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EED"/>
    <w:pPr>
      <w:tabs>
        <w:tab w:val="center" w:pos="4320"/>
        <w:tab w:val="right" w:pos="8640"/>
      </w:tabs>
    </w:pPr>
  </w:style>
  <w:style w:type="character" w:customStyle="1" w:styleId="HeaderChar">
    <w:name w:val="Header Char"/>
    <w:basedOn w:val="DefaultParagraphFont"/>
    <w:link w:val="Header"/>
    <w:uiPriority w:val="99"/>
    <w:rsid w:val="00115EED"/>
  </w:style>
  <w:style w:type="paragraph" w:styleId="Footer">
    <w:name w:val="footer"/>
    <w:basedOn w:val="Normal"/>
    <w:link w:val="FooterChar"/>
    <w:uiPriority w:val="99"/>
    <w:unhideWhenUsed/>
    <w:rsid w:val="00115EED"/>
    <w:pPr>
      <w:tabs>
        <w:tab w:val="center" w:pos="4320"/>
        <w:tab w:val="right" w:pos="8640"/>
      </w:tabs>
    </w:pPr>
  </w:style>
  <w:style w:type="character" w:customStyle="1" w:styleId="FooterChar">
    <w:name w:val="Footer Char"/>
    <w:basedOn w:val="DefaultParagraphFont"/>
    <w:link w:val="Footer"/>
    <w:uiPriority w:val="99"/>
    <w:rsid w:val="00115EED"/>
  </w:style>
  <w:style w:type="character" w:styleId="PageNumber">
    <w:name w:val="page number"/>
    <w:basedOn w:val="DefaultParagraphFont"/>
    <w:uiPriority w:val="99"/>
    <w:semiHidden/>
    <w:unhideWhenUsed/>
    <w:rsid w:val="00115EED"/>
  </w:style>
  <w:style w:type="paragraph" w:styleId="ListParagraph">
    <w:name w:val="List Paragraph"/>
    <w:basedOn w:val="Normal"/>
    <w:uiPriority w:val="34"/>
    <w:qFormat/>
    <w:rsid w:val="001431CA"/>
    <w:pPr>
      <w:ind w:left="720"/>
      <w:contextualSpacing/>
    </w:pPr>
  </w:style>
  <w:style w:type="paragraph" w:styleId="BalloonText">
    <w:name w:val="Balloon Text"/>
    <w:basedOn w:val="Normal"/>
    <w:link w:val="BalloonTextChar"/>
    <w:uiPriority w:val="99"/>
    <w:semiHidden/>
    <w:unhideWhenUsed/>
    <w:rsid w:val="00D206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06A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cintosh%20HD:Users:mtc:Documents:Results_Project1_KitchinClas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Macintosh%20HD:Users:mtc:Documents:Results_Project1_KitchinClas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Macintosh%20HD:Users:mtc:Documents:Results_Project1_KitchinClas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Macintosh%20HD:Users:mtc:Documents:Results_Project1_KitchinClas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Macintosh%20HD:Users:mtc:Documents:Results_Project1_KitchinClas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Macintosh%20HD:Users:mtc:Documents:Results_Project1_KitchinClas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mtc:Documents:Results_Project1_KitchinClas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4638651939340899"/>
          <c:y val="2.66768657660191E-2"/>
          <c:w val="0.81109033245844298"/>
          <c:h val="0.84085770660236103"/>
        </c:manualLayout>
      </c:layout>
      <c:scatterChart>
        <c:scatterStyle val="smoothMarker"/>
        <c:varyColors val="0"/>
        <c:ser>
          <c:idx val="0"/>
          <c:order val="0"/>
          <c:trendline>
            <c:trendlineType val="linear"/>
            <c:dispRSqr val="1"/>
            <c:dispEq val="0"/>
            <c:trendlineLbl>
              <c:layout>
                <c:manualLayout>
                  <c:x val="-0.372529527559055"/>
                  <c:y val="-0.46060990777836802"/>
                </c:manualLayout>
              </c:layout>
              <c:numFmt formatCode="General" sourceLinked="0"/>
              <c:txPr>
                <a:bodyPr/>
                <a:lstStyle/>
                <a:p>
                  <a:pPr>
                    <a:defRPr sz="1400"/>
                  </a:pPr>
                  <a:endParaRPr lang="en-US"/>
                </a:p>
              </c:txPr>
            </c:trendlineLbl>
          </c:trendline>
          <c:xVal>
            <c:numRef>
              <c:f>NiO!$A$2:$A$8</c:f>
              <c:numCache>
                <c:formatCode>General</c:formatCode>
                <c:ptCount val="7"/>
                <c:pt idx="0">
                  <c:v>-0.15</c:v>
                </c:pt>
                <c:pt idx="1">
                  <c:v>-0.1</c:v>
                </c:pt>
                <c:pt idx="2">
                  <c:v>-0.05</c:v>
                </c:pt>
                <c:pt idx="3">
                  <c:v>0</c:v>
                </c:pt>
                <c:pt idx="4">
                  <c:v>0.05</c:v>
                </c:pt>
                <c:pt idx="5">
                  <c:v>0.1</c:v>
                </c:pt>
                <c:pt idx="6">
                  <c:v>0.15</c:v>
                </c:pt>
              </c:numCache>
            </c:numRef>
          </c:xVal>
          <c:yVal>
            <c:numRef>
              <c:f>NiO!$B$2:$B$8</c:f>
              <c:numCache>
                <c:formatCode>General</c:formatCode>
                <c:ptCount val="7"/>
                <c:pt idx="0">
                  <c:v>8.7411899999999996</c:v>
                </c:pt>
                <c:pt idx="1">
                  <c:v>8.7294</c:v>
                </c:pt>
                <c:pt idx="2">
                  <c:v>8.7176799999999997</c:v>
                </c:pt>
                <c:pt idx="3">
                  <c:v>8.7060399999999998</c:v>
                </c:pt>
                <c:pt idx="4">
                  <c:v>8.6944700000000008</c:v>
                </c:pt>
                <c:pt idx="5">
                  <c:v>8.6829699999999992</c:v>
                </c:pt>
                <c:pt idx="6">
                  <c:v>8.6715300000000006</c:v>
                </c:pt>
              </c:numCache>
            </c:numRef>
          </c:yVal>
          <c:smooth val="1"/>
        </c:ser>
        <c:ser>
          <c:idx val="1"/>
          <c:order val="1"/>
          <c:xVal>
            <c:numRef>
              <c:f>NiO!$A$2:$A$8</c:f>
              <c:numCache>
                <c:formatCode>General</c:formatCode>
                <c:ptCount val="7"/>
                <c:pt idx="0">
                  <c:v>-0.15</c:v>
                </c:pt>
                <c:pt idx="1">
                  <c:v>-0.1</c:v>
                </c:pt>
                <c:pt idx="2">
                  <c:v>-0.05</c:v>
                </c:pt>
                <c:pt idx="3">
                  <c:v>0</c:v>
                </c:pt>
                <c:pt idx="4">
                  <c:v>0.05</c:v>
                </c:pt>
                <c:pt idx="5">
                  <c:v>0.1</c:v>
                </c:pt>
                <c:pt idx="6">
                  <c:v>0.15</c:v>
                </c:pt>
              </c:numCache>
            </c:numRef>
          </c:xVal>
          <c:yVal>
            <c:numRef>
              <c:f>NiO!$C$2:$C$8</c:f>
              <c:numCache>
                <c:formatCode>General</c:formatCode>
                <c:ptCount val="7"/>
                <c:pt idx="0">
                  <c:v>8.7227599999999992</c:v>
                </c:pt>
                <c:pt idx="1">
                  <c:v>8.7171900000000004</c:v>
                </c:pt>
                <c:pt idx="2">
                  <c:v>8.7115799999999997</c:v>
                </c:pt>
                <c:pt idx="3">
                  <c:v>8.7060399999999998</c:v>
                </c:pt>
                <c:pt idx="4">
                  <c:v>8.70045</c:v>
                </c:pt>
                <c:pt idx="5">
                  <c:v>8.6948399999999992</c:v>
                </c:pt>
                <c:pt idx="6">
                  <c:v>8.6892399999999999</c:v>
                </c:pt>
              </c:numCache>
            </c:numRef>
          </c:yVal>
          <c:smooth val="1"/>
        </c:ser>
        <c:dLbls>
          <c:showLegendKey val="0"/>
          <c:showVal val="0"/>
          <c:showCatName val="0"/>
          <c:showSerName val="0"/>
          <c:showPercent val="0"/>
          <c:showBubbleSize val="0"/>
        </c:dLbls>
        <c:axId val="53156096"/>
        <c:axId val="53158272"/>
      </c:scatterChart>
      <c:valAx>
        <c:axId val="53156096"/>
        <c:scaling>
          <c:orientation val="minMax"/>
          <c:max val="0.15"/>
          <c:min val="-0.15"/>
        </c:scaling>
        <c:delete val="0"/>
        <c:axPos val="b"/>
        <c:title>
          <c:tx>
            <c:rich>
              <a:bodyPr/>
              <a:lstStyle/>
              <a:p>
                <a:pPr>
                  <a:defRPr sz="1300"/>
                </a:pPr>
                <a:r>
                  <a:rPr lang="en-US" sz="1300"/>
                  <a:t>Size of Ni Perturbation (</a:t>
                </a:r>
                <a:r>
                  <a:rPr lang="en-US" sz="1300" b="1" i="0" u="none" strike="noStrike" baseline="0">
                    <a:effectLst/>
                  </a:rPr>
                  <a:t>α, eV)</a:t>
                </a:r>
                <a:endParaRPr lang="en-US" sz="1300"/>
              </a:p>
            </c:rich>
          </c:tx>
          <c:layout>
            <c:manualLayout>
              <c:xMode val="edge"/>
              <c:yMode val="edge"/>
              <c:x val="0.33417997229513002"/>
              <c:y val="0.94199282707001397"/>
            </c:manualLayout>
          </c:layout>
          <c:overlay val="0"/>
        </c:title>
        <c:numFmt formatCode="General" sourceLinked="1"/>
        <c:majorTickMark val="cross"/>
        <c:minorTickMark val="in"/>
        <c:tickLblPos val="nextTo"/>
        <c:txPr>
          <a:bodyPr/>
          <a:lstStyle/>
          <a:p>
            <a:pPr>
              <a:defRPr sz="1200"/>
            </a:pPr>
            <a:endParaRPr lang="en-US"/>
          </a:p>
        </c:txPr>
        <c:crossAx val="53158272"/>
        <c:crosses val="autoZero"/>
        <c:crossBetween val="midCat"/>
      </c:valAx>
      <c:valAx>
        <c:axId val="53158272"/>
        <c:scaling>
          <c:orientation val="minMax"/>
          <c:max val="8.75"/>
          <c:min val="8.65"/>
        </c:scaling>
        <c:delete val="0"/>
        <c:axPos val="l"/>
        <c:majorGridlines/>
        <c:title>
          <c:tx>
            <c:rich>
              <a:bodyPr rot="-5400000" vert="horz"/>
              <a:lstStyle/>
              <a:p>
                <a:pPr>
                  <a:defRPr sz="1300"/>
                </a:pPr>
                <a:r>
                  <a:rPr lang="en-US" sz="1300"/>
                  <a:t>Occupation of Perturbed</a:t>
                </a:r>
                <a:r>
                  <a:rPr lang="en-US" sz="1300" baseline="0"/>
                  <a:t> Orbital</a:t>
                </a:r>
                <a:endParaRPr lang="en-US" sz="1300"/>
              </a:p>
            </c:rich>
          </c:tx>
          <c:layout>
            <c:manualLayout>
              <c:xMode val="edge"/>
              <c:yMode val="edge"/>
              <c:x val="1.7497812773403299E-4"/>
              <c:y val="0.14258021661217199"/>
            </c:manualLayout>
          </c:layout>
          <c:overlay val="0"/>
        </c:title>
        <c:numFmt formatCode="General" sourceLinked="1"/>
        <c:majorTickMark val="cross"/>
        <c:minorTickMark val="in"/>
        <c:tickLblPos val="nextTo"/>
        <c:txPr>
          <a:bodyPr/>
          <a:lstStyle/>
          <a:p>
            <a:pPr>
              <a:defRPr sz="1200"/>
            </a:pPr>
            <a:endParaRPr lang="en-US"/>
          </a:p>
        </c:txPr>
        <c:crossAx val="53156096"/>
        <c:crossesAt val="-0.15"/>
        <c:crossBetween val="midCat"/>
        <c:majorUnit val="0.01"/>
        <c:minorUnit val="5.0000000000000001E-3"/>
      </c:valAx>
      <c:spPr>
        <a:ln>
          <a:solidFill>
            <a:schemeClr val="tx1"/>
          </a:solidFill>
        </a:ln>
      </c:spPr>
    </c:plotArea>
    <c:legend>
      <c:legendPos val="b"/>
      <c:layout>
        <c:manualLayout>
          <c:xMode val="edge"/>
          <c:yMode val="edge"/>
          <c:x val="0.51818387284922696"/>
          <c:y val="8.2510304487317193E-2"/>
          <c:w val="0.46581984543598698"/>
          <c:h val="3.7662094908759498E-2"/>
        </c:manualLayout>
      </c:layout>
      <c:overlay val="0"/>
      <c:txPr>
        <a:bodyPr/>
        <a:lstStyle/>
        <a:p>
          <a:pPr>
            <a:defRPr>
              <a:solidFill>
                <a:schemeClr val="bg1"/>
              </a:solidFill>
            </a:defRPr>
          </a:pPr>
          <a:endParaRPr lang="en-US"/>
        </a:p>
      </c:txPr>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46162146398367"/>
          <c:y val="3.2914196188598199E-2"/>
          <c:w val="0.80931248177311199"/>
          <c:h val="0.81590838491204498"/>
        </c:manualLayout>
      </c:layout>
      <c:scatterChart>
        <c:scatterStyle val="smoothMarker"/>
        <c:varyColors val="0"/>
        <c:ser>
          <c:idx val="0"/>
          <c:order val="0"/>
          <c:trendline>
            <c:trendlineType val="linear"/>
            <c:dispRSqr val="1"/>
            <c:dispEq val="0"/>
            <c:trendlineLbl>
              <c:layout>
                <c:manualLayout>
                  <c:x val="-0.33560945575635598"/>
                  <c:y val="-0.51309025911820405"/>
                </c:manualLayout>
              </c:layout>
              <c:numFmt formatCode="General" sourceLinked="0"/>
              <c:txPr>
                <a:bodyPr/>
                <a:lstStyle/>
                <a:p>
                  <a:pPr>
                    <a:defRPr sz="1400"/>
                  </a:pPr>
                  <a:endParaRPr lang="en-US"/>
                </a:p>
              </c:txPr>
            </c:trendlineLbl>
          </c:trendline>
          <c:xVal>
            <c:numRef>
              <c:f>LaCoO3!$K$4:$K$10</c:f>
              <c:numCache>
                <c:formatCode>General</c:formatCode>
                <c:ptCount val="7"/>
                <c:pt idx="0">
                  <c:v>-0.15</c:v>
                </c:pt>
                <c:pt idx="1">
                  <c:v>-0.1</c:v>
                </c:pt>
                <c:pt idx="2">
                  <c:v>-0.05</c:v>
                </c:pt>
                <c:pt idx="3">
                  <c:v>0</c:v>
                </c:pt>
                <c:pt idx="4">
                  <c:v>0.05</c:v>
                </c:pt>
                <c:pt idx="5">
                  <c:v>0.1</c:v>
                </c:pt>
                <c:pt idx="6">
                  <c:v>0.15</c:v>
                </c:pt>
              </c:numCache>
            </c:numRef>
          </c:xVal>
          <c:yVal>
            <c:numRef>
              <c:f>LaCoO3!$L$4:$L$10</c:f>
              <c:numCache>
                <c:formatCode>General</c:formatCode>
                <c:ptCount val="7"/>
                <c:pt idx="0">
                  <c:v>8.1444799999999997</c:v>
                </c:pt>
                <c:pt idx="1">
                  <c:v>8.10473</c:v>
                </c:pt>
                <c:pt idx="2">
                  <c:v>8.0639900000000004</c:v>
                </c:pt>
                <c:pt idx="3">
                  <c:v>8.0222899999999999</c:v>
                </c:pt>
                <c:pt idx="4">
                  <c:v>7.9796699999999996</c:v>
                </c:pt>
                <c:pt idx="5">
                  <c:v>7.9361499999999996</c:v>
                </c:pt>
                <c:pt idx="6">
                  <c:v>7.8918100000000004</c:v>
                </c:pt>
              </c:numCache>
            </c:numRef>
          </c:yVal>
          <c:smooth val="1"/>
        </c:ser>
        <c:ser>
          <c:idx val="1"/>
          <c:order val="1"/>
          <c:xVal>
            <c:numRef>
              <c:f>LaCoO3!$K$4:$K$10</c:f>
              <c:numCache>
                <c:formatCode>General</c:formatCode>
                <c:ptCount val="7"/>
                <c:pt idx="0">
                  <c:v>-0.15</c:v>
                </c:pt>
                <c:pt idx="1">
                  <c:v>-0.1</c:v>
                </c:pt>
                <c:pt idx="2">
                  <c:v>-0.05</c:v>
                </c:pt>
                <c:pt idx="3">
                  <c:v>0</c:v>
                </c:pt>
                <c:pt idx="4">
                  <c:v>0.05</c:v>
                </c:pt>
                <c:pt idx="5">
                  <c:v>0.1</c:v>
                </c:pt>
                <c:pt idx="6">
                  <c:v>0.15</c:v>
                </c:pt>
              </c:numCache>
            </c:numRef>
          </c:xVal>
          <c:yVal>
            <c:numRef>
              <c:f>LaCoO3!$M$4:$M$10</c:f>
              <c:numCache>
                <c:formatCode>General</c:formatCode>
                <c:ptCount val="7"/>
                <c:pt idx="0">
                  <c:v>8.0408000000000008</c:v>
                </c:pt>
                <c:pt idx="1">
                  <c:v>8.0345999999999993</c:v>
                </c:pt>
                <c:pt idx="2">
                  <c:v>8.0284099999999992</c:v>
                </c:pt>
                <c:pt idx="3">
                  <c:v>8.0220900000000004</c:v>
                </c:pt>
                <c:pt idx="4">
                  <c:v>8.0158199999999997</c:v>
                </c:pt>
                <c:pt idx="5">
                  <c:v>8.0094899999999996</c:v>
                </c:pt>
                <c:pt idx="6">
                  <c:v>8.0031700000000008</c:v>
                </c:pt>
              </c:numCache>
            </c:numRef>
          </c:yVal>
          <c:smooth val="1"/>
        </c:ser>
        <c:dLbls>
          <c:showLegendKey val="0"/>
          <c:showVal val="0"/>
          <c:showCatName val="0"/>
          <c:showSerName val="0"/>
          <c:showPercent val="0"/>
          <c:showBubbleSize val="0"/>
        </c:dLbls>
        <c:axId val="53176960"/>
        <c:axId val="53183232"/>
      </c:scatterChart>
      <c:valAx>
        <c:axId val="53176960"/>
        <c:scaling>
          <c:orientation val="minMax"/>
          <c:max val="0.15"/>
          <c:min val="-0.15"/>
        </c:scaling>
        <c:delete val="0"/>
        <c:axPos val="b"/>
        <c:title>
          <c:tx>
            <c:rich>
              <a:bodyPr/>
              <a:lstStyle/>
              <a:p>
                <a:pPr>
                  <a:defRPr sz="1300"/>
                </a:pPr>
                <a:r>
                  <a:rPr lang="en-US" sz="1300"/>
                  <a:t>Size of</a:t>
                </a:r>
                <a:r>
                  <a:rPr lang="en-US" sz="1300" baseline="0"/>
                  <a:t> O</a:t>
                </a:r>
                <a:r>
                  <a:rPr lang="en-US" sz="1300"/>
                  <a:t> Perturbation (</a:t>
                </a:r>
                <a:r>
                  <a:rPr lang="en-US" sz="1300" b="1" i="0" u="none" strike="noStrike" baseline="0">
                    <a:effectLst/>
                  </a:rPr>
                  <a:t>α, eV)</a:t>
                </a:r>
                <a:endParaRPr lang="en-US" sz="1300"/>
              </a:p>
            </c:rich>
          </c:tx>
          <c:layout>
            <c:manualLayout>
              <c:xMode val="edge"/>
              <c:yMode val="edge"/>
              <c:x val="0.35370807815689698"/>
              <c:y val="0.93503574800694"/>
            </c:manualLayout>
          </c:layout>
          <c:overlay val="0"/>
        </c:title>
        <c:numFmt formatCode="General" sourceLinked="1"/>
        <c:majorTickMark val="cross"/>
        <c:minorTickMark val="in"/>
        <c:tickLblPos val="nextTo"/>
        <c:txPr>
          <a:bodyPr/>
          <a:lstStyle/>
          <a:p>
            <a:pPr>
              <a:defRPr sz="1300"/>
            </a:pPr>
            <a:endParaRPr lang="en-US"/>
          </a:p>
        </c:txPr>
        <c:crossAx val="53183232"/>
        <c:crosses val="autoZero"/>
        <c:crossBetween val="midCat"/>
      </c:valAx>
      <c:valAx>
        <c:axId val="53183232"/>
        <c:scaling>
          <c:orientation val="minMax"/>
          <c:max val="8.15"/>
          <c:min val="7.85"/>
        </c:scaling>
        <c:delete val="0"/>
        <c:axPos val="l"/>
        <c:majorGridlines/>
        <c:title>
          <c:tx>
            <c:rich>
              <a:bodyPr rot="-5400000" vert="horz"/>
              <a:lstStyle/>
              <a:p>
                <a:pPr>
                  <a:defRPr sz="1300"/>
                </a:pPr>
                <a:r>
                  <a:rPr lang="en-US" sz="1300"/>
                  <a:t>Occupation of Perturbed</a:t>
                </a:r>
                <a:r>
                  <a:rPr lang="en-US" sz="1300" baseline="0"/>
                  <a:t> Orbital</a:t>
                </a:r>
                <a:endParaRPr lang="en-US" sz="1300"/>
              </a:p>
            </c:rich>
          </c:tx>
          <c:layout>
            <c:manualLayout>
              <c:xMode val="edge"/>
              <c:yMode val="edge"/>
              <c:x val="1.7497812773403399E-4"/>
              <c:y val="0.148817547034751"/>
            </c:manualLayout>
          </c:layout>
          <c:overlay val="0"/>
        </c:title>
        <c:numFmt formatCode="General" sourceLinked="1"/>
        <c:majorTickMark val="cross"/>
        <c:minorTickMark val="in"/>
        <c:tickLblPos val="nextTo"/>
        <c:txPr>
          <a:bodyPr/>
          <a:lstStyle/>
          <a:p>
            <a:pPr>
              <a:defRPr sz="1300"/>
            </a:pPr>
            <a:endParaRPr lang="en-US"/>
          </a:p>
        </c:txPr>
        <c:crossAx val="53176960"/>
        <c:crossesAt val="-0.15"/>
        <c:crossBetween val="midCat"/>
        <c:majorUnit val="0.05"/>
        <c:minorUnit val="2.5000000000000001E-2"/>
      </c:valAx>
      <c:spPr>
        <a:ln>
          <a:solidFill>
            <a:schemeClr val="tx1"/>
          </a:solidFill>
        </a:ln>
      </c:spPr>
    </c:plotArea>
    <c:legend>
      <c:legendPos val="b"/>
      <c:layout>
        <c:manualLayout>
          <c:xMode val="edge"/>
          <c:yMode val="edge"/>
          <c:x val="0.53649496937882801"/>
          <c:y val="8.9352950637914402E-2"/>
          <c:w val="0.46350503062117199"/>
          <c:h val="3.7662094908759498E-2"/>
        </c:manualLayout>
      </c:layout>
      <c:overlay val="0"/>
      <c:txPr>
        <a:bodyPr/>
        <a:lstStyle/>
        <a:p>
          <a:pPr>
            <a:defRPr>
              <a:solidFill>
                <a:schemeClr val="bg1"/>
              </a:solidFill>
            </a:defRPr>
          </a:pPr>
          <a:endParaRPr lang="en-US"/>
        </a:p>
      </c:txPr>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4638651939340899"/>
          <c:y val="4.85074626865672E-2"/>
          <c:w val="0.80908810877806903"/>
          <c:h val="0.81902708007196401"/>
        </c:manualLayout>
      </c:layout>
      <c:scatterChart>
        <c:scatterStyle val="smoothMarker"/>
        <c:varyColors val="0"/>
        <c:ser>
          <c:idx val="0"/>
          <c:order val="0"/>
          <c:trendline>
            <c:trendlineType val="linear"/>
            <c:dispRSqr val="1"/>
            <c:dispEq val="0"/>
            <c:trendlineLbl>
              <c:layout>
                <c:manualLayout>
                  <c:x val="-0.368212489063867"/>
                  <c:y val="-0.58555296758184305"/>
                </c:manualLayout>
              </c:layout>
              <c:numFmt formatCode="General" sourceLinked="0"/>
              <c:txPr>
                <a:bodyPr/>
                <a:lstStyle/>
                <a:p>
                  <a:pPr>
                    <a:defRPr sz="1400"/>
                  </a:pPr>
                  <a:endParaRPr lang="en-US"/>
                </a:p>
              </c:txPr>
            </c:trendlineLbl>
          </c:trendline>
          <c:xVal>
            <c:numRef>
              <c:f>LaCoO3!$K$4:$K$10</c:f>
              <c:numCache>
                <c:formatCode>General</c:formatCode>
                <c:ptCount val="7"/>
                <c:pt idx="0">
                  <c:v>-0.15</c:v>
                </c:pt>
                <c:pt idx="1">
                  <c:v>-0.1</c:v>
                </c:pt>
                <c:pt idx="2">
                  <c:v>-0.05</c:v>
                </c:pt>
                <c:pt idx="3">
                  <c:v>0</c:v>
                </c:pt>
                <c:pt idx="4">
                  <c:v>0.05</c:v>
                </c:pt>
                <c:pt idx="5">
                  <c:v>0.1</c:v>
                </c:pt>
                <c:pt idx="6">
                  <c:v>0.15</c:v>
                </c:pt>
              </c:numCache>
            </c:numRef>
          </c:xVal>
          <c:yVal>
            <c:numRef>
              <c:f>LaCoO3!$O$4:$O$10</c:f>
              <c:numCache>
                <c:formatCode>General</c:formatCode>
                <c:ptCount val="7"/>
                <c:pt idx="0">
                  <c:v>3.8583400000000001</c:v>
                </c:pt>
                <c:pt idx="1">
                  <c:v>3.8397899999999998</c:v>
                </c:pt>
                <c:pt idx="2">
                  <c:v>3.8213200000000001</c:v>
                </c:pt>
                <c:pt idx="3">
                  <c:v>3.8029199999999999</c:v>
                </c:pt>
                <c:pt idx="4">
                  <c:v>3.7846000000000002</c:v>
                </c:pt>
                <c:pt idx="5">
                  <c:v>3.7663600000000002</c:v>
                </c:pt>
                <c:pt idx="6">
                  <c:v>3.7482000000000002</c:v>
                </c:pt>
              </c:numCache>
            </c:numRef>
          </c:yVal>
          <c:smooth val="1"/>
        </c:ser>
        <c:ser>
          <c:idx val="1"/>
          <c:order val="1"/>
          <c:xVal>
            <c:numRef>
              <c:f>LaCoO3!$K$4:$K$10</c:f>
              <c:numCache>
                <c:formatCode>General</c:formatCode>
                <c:ptCount val="7"/>
                <c:pt idx="0">
                  <c:v>-0.15</c:v>
                </c:pt>
                <c:pt idx="1">
                  <c:v>-0.1</c:v>
                </c:pt>
                <c:pt idx="2">
                  <c:v>-0.05</c:v>
                </c:pt>
                <c:pt idx="3">
                  <c:v>0</c:v>
                </c:pt>
                <c:pt idx="4">
                  <c:v>0.05</c:v>
                </c:pt>
                <c:pt idx="5">
                  <c:v>0.1</c:v>
                </c:pt>
                <c:pt idx="6">
                  <c:v>0.15</c:v>
                </c:pt>
              </c:numCache>
            </c:numRef>
          </c:xVal>
          <c:yVal>
            <c:numRef>
              <c:f>LaCoO3!$P$4:$P$10</c:f>
              <c:numCache>
                <c:formatCode>General</c:formatCode>
                <c:ptCount val="7"/>
                <c:pt idx="0">
                  <c:v>3.8448199999999999</c:v>
                </c:pt>
                <c:pt idx="1">
                  <c:v>3.8308300000000002</c:v>
                </c:pt>
                <c:pt idx="2">
                  <c:v>3.81684</c:v>
                </c:pt>
                <c:pt idx="3">
                  <c:v>3.80287</c:v>
                </c:pt>
                <c:pt idx="4">
                  <c:v>3.7888700000000002</c:v>
                </c:pt>
                <c:pt idx="5">
                  <c:v>3.7748900000000001</c:v>
                </c:pt>
                <c:pt idx="6">
                  <c:v>3.7608999999999999</c:v>
                </c:pt>
              </c:numCache>
            </c:numRef>
          </c:yVal>
          <c:smooth val="1"/>
        </c:ser>
        <c:dLbls>
          <c:showLegendKey val="0"/>
          <c:showVal val="0"/>
          <c:showCatName val="0"/>
          <c:showSerName val="0"/>
          <c:showPercent val="0"/>
          <c:showBubbleSize val="0"/>
        </c:dLbls>
        <c:axId val="53225728"/>
        <c:axId val="53227904"/>
      </c:scatterChart>
      <c:valAx>
        <c:axId val="53225728"/>
        <c:scaling>
          <c:orientation val="minMax"/>
          <c:max val="0.15"/>
          <c:min val="-0.15"/>
        </c:scaling>
        <c:delete val="0"/>
        <c:axPos val="b"/>
        <c:title>
          <c:tx>
            <c:rich>
              <a:bodyPr/>
              <a:lstStyle/>
              <a:p>
                <a:pPr>
                  <a:defRPr sz="1300"/>
                </a:pPr>
                <a:r>
                  <a:rPr lang="en-US" sz="1300"/>
                  <a:t>Size of La Perturbation (</a:t>
                </a:r>
                <a:r>
                  <a:rPr lang="en-US" sz="1300" b="1" i="0" u="none" strike="noStrike" baseline="0">
                    <a:effectLst/>
                  </a:rPr>
                  <a:t>α, eV)</a:t>
                </a:r>
                <a:endParaRPr lang="en-US" sz="1300"/>
              </a:p>
            </c:rich>
          </c:tx>
          <c:layout>
            <c:manualLayout>
              <c:xMode val="edge"/>
              <c:yMode val="edge"/>
              <c:x val="0.33417997229513002"/>
              <c:y val="0.94199282707001397"/>
            </c:manualLayout>
          </c:layout>
          <c:overlay val="0"/>
        </c:title>
        <c:numFmt formatCode="General" sourceLinked="1"/>
        <c:majorTickMark val="cross"/>
        <c:minorTickMark val="in"/>
        <c:tickLblPos val="nextTo"/>
        <c:txPr>
          <a:bodyPr/>
          <a:lstStyle/>
          <a:p>
            <a:pPr>
              <a:defRPr sz="1300"/>
            </a:pPr>
            <a:endParaRPr lang="en-US"/>
          </a:p>
        </c:txPr>
        <c:crossAx val="53227904"/>
        <c:crosses val="autoZero"/>
        <c:crossBetween val="midCat"/>
      </c:valAx>
      <c:valAx>
        <c:axId val="53227904"/>
        <c:scaling>
          <c:orientation val="minMax"/>
          <c:max val="3.86"/>
          <c:min val="3.74"/>
        </c:scaling>
        <c:delete val="0"/>
        <c:axPos val="l"/>
        <c:majorGridlines/>
        <c:title>
          <c:tx>
            <c:rich>
              <a:bodyPr rot="-5400000" vert="horz"/>
              <a:lstStyle/>
              <a:p>
                <a:pPr>
                  <a:defRPr sz="1300"/>
                </a:pPr>
                <a:r>
                  <a:rPr lang="en-US" sz="1300"/>
                  <a:t>Occupation of Perturbed</a:t>
                </a:r>
                <a:r>
                  <a:rPr lang="en-US" sz="1300" baseline="0"/>
                  <a:t> Orbital</a:t>
                </a:r>
                <a:endParaRPr lang="en-US" sz="1300"/>
              </a:p>
            </c:rich>
          </c:tx>
          <c:layout>
            <c:manualLayout>
              <c:xMode val="edge"/>
              <c:yMode val="edge"/>
              <c:x val="1.7497812773403399E-4"/>
              <c:y val="0.17064820351377799"/>
            </c:manualLayout>
          </c:layout>
          <c:overlay val="0"/>
        </c:title>
        <c:numFmt formatCode="General" sourceLinked="1"/>
        <c:majorTickMark val="cross"/>
        <c:minorTickMark val="in"/>
        <c:tickLblPos val="nextTo"/>
        <c:txPr>
          <a:bodyPr/>
          <a:lstStyle/>
          <a:p>
            <a:pPr>
              <a:defRPr sz="1300"/>
            </a:pPr>
            <a:endParaRPr lang="en-US"/>
          </a:p>
        </c:txPr>
        <c:crossAx val="53225728"/>
        <c:crossesAt val="-0.15"/>
        <c:crossBetween val="midCat"/>
        <c:majorUnit val="0.02"/>
        <c:minorUnit val="0.01"/>
      </c:valAx>
      <c:spPr>
        <a:ln>
          <a:solidFill>
            <a:schemeClr val="tx1"/>
          </a:solidFill>
        </a:ln>
      </c:spPr>
    </c:plotArea>
    <c:legend>
      <c:legendPos val="b"/>
      <c:layout>
        <c:manualLayout>
          <c:xMode val="edge"/>
          <c:yMode val="edge"/>
          <c:x val="0.51818387284922696"/>
          <c:y val="7.3154279305591194E-2"/>
          <c:w val="0.46581984543598698"/>
          <c:h val="3.7662094908759498E-2"/>
        </c:manualLayout>
      </c:layout>
      <c:overlay val="0"/>
      <c:txPr>
        <a:bodyPr/>
        <a:lstStyle/>
        <a:p>
          <a:pPr>
            <a:defRPr>
              <a:solidFill>
                <a:schemeClr val="bg1"/>
              </a:solidFill>
            </a:defRPr>
          </a:pPr>
          <a:endParaRPr lang="en-US"/>
        </a:p>
      </c:txPr>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46162146398367"/>
          <c:y val="4.85074626865672E-2"/>
          <c:w val="0.80931248177311199"/>
          <c:h val="0.81902708007196401"/>
        </c:manualLayout>
      </c:layout>
      <c:scatterChart>
        <c:scatterStyle val="smoothMarker"/>
        <c:varyColors val="0"/>
        <c:ser>
          <c:idx val="0"/>
          <c:order val="0"/>
          <c:trendline>
            <c:trendlineType val="linear"/>
            <c:dispRSqr val="1"/>
            <c:dispEq val="0"/>
            <c:trendlineLbl>
              <c:layout>
                <c:manualLayout>
                  <c:x val="-0.366847112860892"/>
                  <c:y val="-0.54169471214351705"/>
                </c:manualLayout>
              </c:layout>
              <c:numFmt formatCode="General" sourceLinked="0"/>
              <c:txPr>
                <a:bodyPr/>
                <a:lstStyle/>
                <a:p>
                  <a:pPr>
                    <a:defRPr sz="1400"/>
                  </a:pPr>
                  <a:endParaRPr lang="en-US"/>
                </a:p>
              </c:txPr>
            </c:trendlineLbl>
          </c:trendline>
          <c:xVal>
            <c:numRef>
              <c:f>LaCoO3!$K$4:$K$10</c:f>
              <c:numCache>
                <c:formatCode>General</c:formatCode>
                <c:ptCount val="7"/>
                <c:pt idx="0">
                  <c:v>-0.15</c:v>
                </c:pt>
                <c:pt idx="1">
                  <c:v>-0.1</c:v>
                </c:pt>
                <c:pt idx="2">
                  <c:v>-0.05</c:v>
                </c:pt>
                <c:pt idx="3">
                  <c:v>0</c:v>
                </c:pt>
                <c:pt idx="4">
                  <c:v>0.05</c:v>
                </c:pt>
                <c:pt idx="5">
                  <c:v>0.1</c:v>
                </c:pt>
                <c:pt idx="6">
                  <c:v>0.15</c:v>
                </c:pt>
              </c:numCache>
            </c:numRef>
          </c:xVal>
          <c:yVal>
            <c:numRef>
              <c:f>LaCoO3!$L$4:$L$10</c:f>
              <c:numCache>
                <c:formatCode>General</c:formatCode>
                <c:ptCount val="7"/>
                <c:pt idx="0">
                  <c:v>8.1444799999999997</c:v>
                </c:pt>
                <c:pt idx="1">
                  <c:v>8.10473</c:v>
                </c:pt>
                <c:pt idx="2">
                  <c:v>8.0639900000000004</c:v>
                </c:pt>
                <c:pt idx="3">
                  <c:v>8.0222899999999999</c:v>
                </c:pt>
                <c:pt idx="4">
                  <c:v>7.9796699999999996</c:v>
                </c:pt>
                <c:pt idx="5">
                  <c:v>7.9361499999999996</c:v>
                </c:pt>
                <c:pt idx="6">
                  <c:v>7.8918100000000004</c:v>
                </c:pt>
              </c:numCache>
            </c:numRef>
          </c:yVal>
          <c:smooth val="1"/>
        </c:ser>
        <c:ser>
          <c:idx val="1"/>
          <c:order val="1"/>
          <c:xVal>
            <c:numRef>
              <c:f>LaCoO3!$K$4:$K$10</c:f>
              <c:numCache>
                <c:formatCode>General</c:formatCode>
                <c:ptCount val="7"/>
                <c:pt idx="0">
                  <c:v>-0.15</c:v>
                </c:pt>
                <c:pt idx="1">
                  <c:v>-0.1</c:v>
                </c:pt>
                <c:pt idx="2">
                  <c:v>-0.05</c:v>
                </c:pt>
                <c:pt idx="3">
                  <c:v>0</c:v>
                </c:pt>
                <c:pt idx="4">
                  <c:v>0.05</c:v>
                </c:pt>
                <c:pt idx="5">
                  <c:v>0.1</c:v>
                </c:pt>
                <c:pt idx="6">
                  <c:v>0.15</c:v>
                </c:pt>
              </c:numCache>
            </c:numRef>
          </c:xVal>
          <c:yVal>
            <c:numRef>
              <c:f>LaCoO3!$M$4:$M$10</c:f>
              <c:numCache>
                <c:formatCode>General</c:formatCode>
                <c:ptCount val="7"/>
                <c:pt idx="0">
                  <c:v>8.0408000000000008</c:v>
                </c:pt>
                <c:pt idx="1">
                  <c:v>8.0345999999999993</c:v>
                </c:pt>
                <c:pt idx="2">
                  <c:v>8.0284099999999992</c:v>
                </c:pt>
                <c:pt idx="3">
                  <c:v>8.0220900000000004</c:v>
                </c:pt>
                <c:pt idx="4">
                  <c:v>8.0158199999999997</c:v>
                </c:pt>
                <c:pt idx="5">
                  <c:v>8.0094899999999996</c:v>
                </c:pt>
                <c:pt idx="6">
                  <c:v>8.0031700000000008</c:v>
                </c:pt>
              </c:numCache>
            </c:numRef>
          </c:yVal>
          <c:smooth val="1"/>
        </c:ser>
        <c:dLbls>
          <c:showLegendKey val="0"/>
          <c:showVal val="0"/>
          <c:showCatName val="0"/>
          <c:showSerName val="0"/>
          <c:showPercent val="0"/>
          <c:showBubbleSize val="0"/>
        </c:dLbls>
        <c:axId val="53262976"/>
        <c:axId val="53273344"/>
      </c:scatterChart>
      <c:valAx>
        <c:axId val="53262976"/>
        <c:scaling>
          <c:orientation val="minMax"/>
          <c:max val="0.15"/>
          <c:min val="-0.15"/>
        </c:scaling>
        <c:delete val="0"/>
        <c:axPos val="b"/>
        <c:title>
          <c:tx>
            <c:rich>
              <a:bodyPr/>
              <a:lstStyle/>
              <a:p>
                <a:pPr>
                  <a:defRPr sz="1300"/>
                </a:pPr>
                <a:r>
                  <a:rPr lang="en-US" sz="1300"/>
                  <a:t>Size of B-site Perturbation (</a:t>
                </a:r>
                <a:r>
                  <a:rPr lang="en-US" sz="1300" b="1" i="0" u="none" strike="noStrike" baseline="0">
                    <a:effectLst/>
                  </a:rPr>
                  <a:t>α, eV)</a:t>
                </a:r>
                <a:endParaRPr lang="en-US" sz="1300"/>
              </a:p>
            </c:rich>
          </c:tx>
          <c:layout>
            <c:manualLayout>
              <c:xMode val="edge"/>
              <c:yMode val="edge"/>
              <c:x val="0.31435622630504501"/>
              <c:y val="0.93503574800694"/>
            </c:manualLayout>
          </c:layout>
          <c:overlay val="0"/>
        </c:title>
        <c:numFmt formatCode="General" sourceLinked="1"/>
        <c:majorTickMark val="cross"/>
        <c:minorTickMark val="in"/>
        <c:tickLblPos val="nextTo"/>
        <c:txPr>
          <a:bodyPr/>
          <a:lstStyle/>
          <a:p>
            <a:pPr>
              <a:defRPr sz="1300"/>
            </a:pPr>
            <a:endParaRPr lang="en-US"/>
          </a:p>
        </c:txPr>
        <c:crossAx val="53273344"/>
        <c:crosses val="autoZero"/>
        <c:crossBetween val="midCat"/>
      </c:valAx>
      <c:valAx>
        <c:axId val="53273344"/>
        <c:scaling>
          <c:orientation val="minMax"/>
          <c:max val="8.15"/>
          <c:min val="7.85"/>
        </c:scaling>
        <c:delete val="0"/>
        <c:axPos val="l"/>
        <c:majorGridlines/>
        <c:title>
          <c:tx>
            <c:rich>
              <a:bodyPr rot="-5400000" vert="horz"/>
              <a:lstStyle/>
              <a:p>
                <a:pPr>
                  <a:defRPr sz="1300"/>
                </a:pPr>
                <a:r>
                  <a:rPr lang="en-US" sz="1300"/>
                  <a:t>Occupation of Perturbed</a:t>
                </a:r>
                <a:r>
                  <a:rPr lang="en-US" sz="1300" baseline="0"/>
                  <a:t> Orbital</a:t>
                </a:r>
                <a:endParaRPr lang="en-US" sz="1300"/>
              </a:p>
            </c:rich>
          </c:tx>
          <c:layout>
            <c:manualLayout>
              <c:xMode val="edge"/>
              <c:yMode val="edge"/>
              <c:x val="1.7497812773403299E-4"/>
              <c:y val="0.148817547034751"/>
            </c:manualLayout>
          </c:layout>
          <c:overlay val="0"/>
        </c:title>
        <c:numFmt formatCode="General" sourceLinked="1"/>
        <c:majorTickMark val="cross"/>
        <c:minorTickMark val="in"/>
        <c:tickLblPos val="nextTo"/>
        <c:txPr>
          <a:bodyPr/>
          <a:lstStyle/>
          <a:p>
            <a:pPr>
              <a:defRPr sz="1300"/>
            </a:pPr>
            <a:endParaRPr lang="en-US"/>
          </a:p>
        </c:txPr>
        <c:crossAx val="53262976"/>
        <c:crossesAt val="-0.15"/>
        <c:crossBetween val="midCat"/>
        <c:majorUnit val="0.05"/>
        <c:minorUnit val="2.5000000000000001E-2"/>
      </c:valAx>
      <c:spPr>
        <a:ln>
          <a:solidFill>
            <a:schemeClr val="tx1"/>
          </a:solidFill>
        </a:ln>
      </c:spPr>
    </c:plotArea>
    <c:legend>
      <c:legendPos val="b"/>
      <c:layout>
        <c:manualLayout>
          <c:xMode val="edge"/>
          <c:yMode val="edge"/>
          <c:x val="0.53912930154563998"/>
          <c:y val="6.1284843103810799E-2"/>
          <c:w val="0.44267169728783901"/>
          <c:h val="3.7662094908759498E-2"/>
        </c:manualLayout>
      </c:layout>
      <c:overlay val="0"/>
      <c:txPr>
        <a:bodyPr/>
        <a:lstStyle/>
        <a:p>
          <a:pPr>
            <a:defRPr>
              <a:solidFill>
                <a:schemeClr val="bg1"/>
              </a:solidFill>
            </a:defRPr>
          </a:pPr>
          <a:endParaRPr lang="en-US"/>
        </a:p>
      </c:txPr>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4560130504520299"/>
          <c:y val="2.66768657660191E-2"/>
          <c:w val="0.80987332312627602"/>
          <c:h val="0.84085770660236103"/>
        </c:manualLayout>
      </c:layout>
      <c:scatterChart>
        <c:scatterStyle val="smoothMarker"/>
        <c:varyColors val="0"/>
        <c:ser>
          <c:idx val="0"/>
          <c:order val="0"/>
          <c:trendline>
            <c:trendlineType val="linear"/>
            <c:dispRSqr val="1"/>
            <c:dispEq val="0"/>
            <c:trendlineLbl>
              <c:layout>
                <c:manualLayout>
                  <c:x val="-0.368212489063867"/>
                  <c:y val="-0.49721174140617402"/>
                </c:manualLayout>
              </c:layout>
              <c:numFmt formatCode="General" sourceLinked="0"/>
              <c:txPr>
                <a:bodyPr/>
                <a:lstStyle/>
                <a:p>
                  <a:pPr>
                    <a:defRPr sz="1400"/>
                  </a:pPr>
                  <a:endParaRPr lang="en-US"/>
                </a:p>
              </c:txPr>
            </c:trendlineLbl>
          </c:trendline>
          <c:xVal>
            <c:numRef>
              <c:f>LaCoO3!$K$4:$K$10</c:f>
              <c:numCache>
                <c:formatCode>General</c:formatCode>
                <c:ptCount val="7"/>
                <c:pt idx="0">
                  <c:v>-0.15</c:v>
                </c:pt>
                <c:pt idx="1">
                  <c:v>-0.1</c:v>
                </c:pt>
                <c:pt idx="2">
                  <c:v>-0.05</c:v>
                </c:pt>
                <c:pt idx="3">
                  <c:v>0</c:v>
                </c:pt>
                <c:pt idx="4">
                  <c:v>0.05</c:v>
                </c:pt>
                <c:pt idx="5">
                  <c:v>0.1</c:v>
                </c:pt>
                <c:pt idx="6">
                  <c:v>0.15</c:v>
                </c:pt>
              </c:numCache>
            </c:numRef>
          </c:xVal>
          <c:yVal>
            <c:numRef>
              <c:f>LaCoO3!$R$4:$R$10</c:f>
              <c:numCache>
                <c:formatCode>General</c:formatCode>
                <c:ptCount val="7"/>
                <c:pt idx="0">
                  <c:v>5.4554</c:v>
                </c:pt>
                <c:pt idx="1">
                  <c:v>5.4482699999999999</c:v>
                </c:pt>
                <c:pt idx="2">
                  <c:v>5.4409599999999996</c:v>
                </c:pt>
                <c:pt idx="3">
                  <c:v>5.4334600000000002</c:v>
                </c:pt>
                <c:pt idx="4">
                  <c:v>5.42577</c:v>
                </c:pt>
                <c:pt idx="5">
                  <c:v>5.4178600000000001</c:v>
                </c:pt>
                <c:pt idx="6">
                  <c:v>5.4097400000000002</c:v>
                </c:pt>
              </c:numCache>
            </c:numRef>
          </c:yVal>
          <c:smooth val="1"/>
        </c:ser>
        <c:ser>
          <c:idx val="1"/>
          <c:order val="1"/>
          <c:xVal>
            <c:numRef>
              <c:f>LaCoO3!$K$4:$K$10</c:f>
              <c:numCache>
                <c:formatCode>General</c:formatCode>
                <c:ptCount val="7"/>
                <c:pt idx="0">
                  <c:v>-0.15</c:v>
                </c:pt>
                <c:pt idx="1">
                  <c:v>-0.1</c:v>
                </c:pt>
                <c:pt idx="2">
                  <c:v>-0.05</c:v>
                </c:pt>
                <c:pt idx="3">
                  <c:v>0</c:v>
                </c:pt>
                <c:pt idx="4">
                  <c:v>0.05</c:v>
                </c:pt>
                <c:pt idx="5">
                  <c:v>0.1</c:v>
                </c:pt>
                <c:pt idx="6">
                  <c:v>0.15</c:v>
                </c:pt>
              </c:numCache>
            </c:numRef>
          </c:xVal>
          <c:yVal>
            <c:numRef>
              <c:f>LaCoO3!$S$4:$S$10</c:f>
              <c:numCache>
                <c:formatCode>General</c:formatCode>
                <c:ptCount val="7"/>
                <c:pt idx="0">
                  <c:v>5.4420799999999998</c:v>
                </c:pt>
                <c:pt idx="1">
                  <c:v>5.4392500000000004</c:v>
                </c:pt>
                <c:pt idx="2">
                  <c:v>5.4364100000000004</c:v>
                </c:pt>
                <c:pt idx="3">
                  <c:v>5.4335399999999998</c:v>
                </c:pt>
                <c:pt idx="4">
                  <c:v>5.4306599999999996</c:v>
                </c:pt>
                <c:pt idx="5">
                  <c:v>5.4277600000000001</c:v>
                </c:pt>
                <c:pt idx="6">
                  <c:v>5.42483</c:v>
                </c:pt>
              </c:numCache>
            </c:numRef>
          </c:yVal>
          <c:smooth val="1"/>
        </c:ser>
        <c:dLbls>
          <c:showLegendKey val="0"/>
          <c:showVal val="0"/>
          <c:showCatName val="0"/>
          <c:showSerName val="0"/>
          <c:showPercent val="0"/>
          <c:showBubbleSize val="0"/>
        </c:dLbls>
        <c:axId val="53316608"/>
        <c:axId val="53322880"/>
      </c:scatterChart>
      <c:valAx>
        <c:axId val="53316608"/>
        <c:scaling>
          <c:orientation val="minMax"/>
          <c:max val="0.15"/>
          <c:min val="-0.15"/>
        </c:scaling>
        <c:delete val="0"/>
        <c:axPos val="b"/>
        <c:title>
          <c:tx>
            <c:rich>
              <a:bodyPr/>
              <a:lstStyle/>
              <a:p>
                <a:pPr>
                  <a:defRPr sz="1300"/>
                </a:pPr>
                <a:r>
                  <a:rPr lang="en-US" sz="1300"/>
                  <a:t>Size of O Perturbation (</a:t>
                </a:r>
                <a:r>
                  <a:rPr lang="en-US" sz="1300" b="1" i="0" u="none" strike="noStrike" baseline="0">
                    <a:effectLst/>
                  </a:rPr>
                  <a:t>α, eV)</a:t>
                </a:r>
                <a:endParaRPr lang="en-US" sz="1300"/>
              </a:p>
            </c:rich>
          </c:tx>
          <c:layout>
            <c:manualLayout>
              <c:xMode val="edge"/>
              <c:yMode val="edge"/>
              <c:x val="0.35434036891221898"/>
              <c:y val="0.94199282707001397"/>
            </c:manualLayout>
          </c:layout>
          <c:overlay val="0"/>
        </c:title>
        <c:numFmt formatCode="General" sourceLinked="1"/>
        <c:majorTickMark val="cross"/>
        <c:minorTickMark val="in"/>
        <c:tickLblPos val="nextTo"/>
        <c:txPr>
          <a:bodyPr/>
          <a:lstStyle/>
          <a:p>
            <a:pPr>
              <a:defRPr sz="1300"/>
            </a:pPr>
            <a:endParaRPr lang="en-US"/>
          </a:p>
        </c:txPr>
        <c:crossAx val="53322880"/>
        <c:crosses val="autoZero"/>
        <c:crossBetween val="midCat"/>
      </c:valAx>
      <c:valAx>
        <c:axId val="53322880"/>
        <c:scaling>
          <c:orientation val="minMax"/>
          <c:max val="5.46"/>
        </c:scaling>
        <c:delete val="0"/>
        <c:axPos val="l"/>
        <c:majorGridlines/>
        <c:title>
          <c:tx>
            <c:rich>
              <a:bodyPr rot="-5400000" vert="horz"/>
              <a:lstStyle/>
              <a:p>
                <a:pPr>
                  <a:defRPr sz="1300"/>
                </a:pPr>
                <a:r>
                  <a:rPr lang="en-US" sz="1300"/>
                  <a:t>Occupation of Perturbed</a:t>
                </a:r>
                <a:r>
                  <a:rPr lang="en-US" sz="1300" baseline="0"/>
                  <a:t> Orbital</a:t>
                </a:r>
                <a:endParaRPr lang="en-US" sz="1300"/>
              </a:p>
            </c:rich>
          </c:tx>
          <c:layout>
            <c:manualLayout>
              <c:xMode val="edge"/>
              <c:yMode val="edge"/>
              <c:x val="1.7497812773403299E-4"/>
              <c:y val="0.16752953830248801"/>
            </c:manualLayout>
          </c:layout>
          <c:overlay val="0"/>
        </c:title>
        <c:numFmt formatCode="General" sourceLinked="1"/>
        <c:majorTickMark val="cross"/>
        <c:minorTickMark val="in"/>
        <c:tickLblPos val="nextTo"/>
        <c:txPr>
          <a:bodyPr/>
          <a:lstStyle/>
          <a:p>
            <a:pPr>
              <a:defRPr sz="1300"/>
            </a:pPr>
            <a:endParaRPr lang="en-US"/>
          </a:p>
        </c:txPr>
        <c:crossAx val="53316608"/>
        <c:crossesAt val="-0.15"/>
        <c:crossBetween val="midCat"/>
        <c:majorUnit val="0.01"/>
        <c:minorUnit val="5.0000000000000001E-3"/>
      </c:valAx>
      <c:spPr>
        <a:ln>
          <a:solidFill>
            <a:schemeClr val="tx1"/>
          </a:solidFill>
        </a:ln>
      </c:spPr>
    </c:plotArea>
    <c:legend>
      <c:legendPos val="b"/>
      <c:layout>
        <c:manualLayout>
          <c:xMode val="edge"/>
          <c:yMode val="edge"/>
          <c:x val="0.51829596821230695"/>
          <c:y val="7.3154279305591194E-2"/>
          <c:w val="0.46350503062117199"/>
          <c:h val="3.7662094908759498E-2"/>
        </c:manualLayout>
      </c:layout>
      <c:overlay val="0"/>
      <c:txPr>
        <a:bodyPr/>
        <a:lstStyle/>
        <a:p>
          <a:pPr>
            <a:defRPr>
              <a:solidFill>
                <a:schemeClr val="bg1"/>
              </a:solidFill>
            </a:defRPr>
          </a:pPr>
          <a:endParaRPr lang="en-US"/>
        </a:p>
      </c:txPr>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4638651939340899"/>
          <c:y val="2.3145400593471799E-2"/>
          <c:w val="0.80908810877806903"/>
          <c:h val="0.85166793336861302"/>
        </c:manualLayout>
      </c:layout>
      <c:scatterChart>
        <c:scatterStyle val="smoothMarker"/>
        <c:varyColors val="0"/>
        <c:ser>
          <c:idx val="0"/>
          <c:order val="0"/>
          <c:xVal>
            <c:numRef>
              <c:f>LaCoO3!$K$4:$K$10</c:f>
              <c:numCache>
                <c:formatCode>General</c:formatCode>
                <c:ptCount val="7"/>
                <c:pt idx="0">
                  <c:v>-0.15</c:v>
                </c:pt>
                <c:pt idx="1">
                  <c:v>-0.1</c:v>
                </c:pt>
                <c:pt idx="2">
                  <c:v>-0.05</c:v>
                </c:pt>
                <c:pt idx="3">
                  <c:v>0</c:v>
                </c:pt>
                <c:pt idx="4">
                  <c:v>0.05</c:v>
                </c:pt>
                <c:pt idx="5">
                  <c:v>0.1</c:v>
                </c:pt>
                <c:pt idx="6">
                  <c:v>0.15</c:v>
                </c:pt>
              </c:numCache>
            </c:numRef>
          </c:xVal>
          <c:yVal>
            <c:numRef>
              <c:f>LaCoO3!$L$4:$L$10</c:f>
              <c:numCache>
                <c:formatCode>General</c:formatCode>
                <c:ptCount val="7"/>
                <c:pt idx="0">
                  <c:v>8.1444799999999997</c:v>
                </c:pt>
                <c:pt idx="1">
                  <c:v>8.10473</c:v>
                </c:pt>
                <c:pt idx="2">
                  <c:v>8.0639900000000004</c:v>
                </c:pt>
                <c:pt idx="3">
                  <c:v>8.0222899999999999</c:v>
                </c:pt>
                <c:pt idx="4">
                  <c:v>7.9796699999999996</c:v>
                </c:pt>
                <c:pt idx="5">
                  <c:v>7.9361499999999996</c:v>
                </c:pt>
                <c:pt idx="6">
                  <c:v>7.8918100000000004</c:v>
                </c:pt>
              </c:numCache>
            </c:numRef>
          </c:yVal>
          <c:smooth val="1"/>
        </c:ser>
        <c:ser>
          <c:idx val="1"/>
          <c:order val="1"/>
          <c:xVal>
            <c:numRef>
              <c:f>LaCoO3!$K$14:$K$20</c:f>
              <c:numCache>
                <c:formatCode>General</c:formatCode>
                <c:ptCount val="7"/>
                <c:pt idx="0">
                  <c:v>-0.15</c:v>
                </c:pt>
                <c:pt idx="1">
                  <c:v>-0.1</c:v>
                </c:pt>
                <c:pt idx="2">
                  <c:v>-0.05</c:v>
                </c:pt>
                <c:pt idx="3">
                  <c:v>0</c:v>
                </c:pt>
                <c:pt idx="4">
                  <c:v>0.05</c:v>
                </c:pt>
                <c:pt idx="5">
                  <c:v>0.1</c:v>
                </c:pt>
                <c:pt idx="6">
                  <c:v>0.15</c:v>
                </c:pt>
              </c:numCache>
            </c:numRef>
          </c:xVal>
          <c:yVal>
            <c:numRef>
              <c:f>LaCoO3!$L$14:$L$20</c:f>
              <c:numCache>
                <c:formatCode>General</c:formatCode>
                <c:ptCount val="7"/>
                <c:pt idx="0">
                  <c:v>8.16981</c:v>
                </c:pt>
                <c:pt idx="1">
                  <c:v>8.1392799999999994</c:v>
                </c:pt>
                <c:pt idx="2">
                  <c:v>8.1082699999999992</c:v>
                </c:pt>
                <c:pt idx="3">
                  <c:v>8.0767699999999998</c:v>
                </c:pt>
                <c:pt idx="4">
                  <c:v>8.04481</c:v>
                </c:pt>
                <c:pt idx="5">
                  <c:v>8.0123700000000007</c:v>
                </c:pt>
                <c:pt idx="6">
                  <c:v>7.9794799999999997</c:v>
                </c:pt>
              </c:numCache>
            </c:numRef>
          </c:yVal>
          <c:smooth val="1"/>
        </c:ser>
        <c:ser>
          <c:idx val="2"/>
          <c:order val="2"/>
          <c:xVal>
            <c:numRef>
              <c:f>LaCoO3!$K$24:$K$30</c:f>
              <c:numCache>
                <c:formatCode>General</c:formatCode>
                <c:ptCount val="7"/>
                <c:pt idx="0">
                  <c:v>-0.15</c:v>
                </c:pt>
                <c:pt idx="1">
                  <c:v>-0.1</c:v>
                </c:pt>
                <c:pt idx="2">
                  <c:v>-0.05</c:v>
                </c:pt>
                <c:pt idx="3">
                  <c:v>0</c:v>
                </c:pt>
                <c:pt idx="4">
                  <c:v>0.05</c:v>
                </c:pt>
                <c:pt idx="5">
                  <c:v>0.1</c:v>
                </c:pt>
                <c:pt idx="6">
                  <c:v>0.15</c:v>
                </c:pt>
              </c:numCache>
            </c:numRef>
          </c:xVal>
          <c:yVal>
            <c:numRef>
              <c:f>LaCoO3!$L$24:$L$30</c:f>
              <c:numCache>
                <c:formatCode>General</c:formatCode>
                <c:ptCount val="7"/>
                <c:pt idx="0">
                  <c:v>8.1950599999999998</c:v>
                </c:pt>
                <c:pt idx="1">
                  <c:v>8.1698500000000003</c:v>
                </c:pt>
                <c:pt idx="2">
                  <c:v>8.1444299999999998</c:v>
                </c:pt>
                <c:pt idx="3">
                  <c:v>8.1187900000000006</c:v>
                </c:pt>
                <c:pt idx="4">
                  <c:v>8.0929300000000008</c:v>
                </c:pt>
                <c:pt idx="5">
                  <c:v>8.0668500000000005</c:v>
                </c:pt>
                <c:pt idx="6">
                  <c:v>8.0405599999999993</c:v>
                </c:pt>
              </c:numCache>
            </c:numRef>
          </c:yVal>
          <c:smooth val="1"/>
        </c:ser>
        <c:ser>
          <c:idx val="3"/>
          <c:order val="3"/>
          <c:xVal>
            <c:numRef>
              <c:f>LaCoO3!$K$34:$K$40</c:f>
              <c:numCache>
                <c:formatCode>General</c:formatCode>
                <c:ptCount val="7"/>
                <c:pt idx="0">
                  <c:v>-0.15</c:v>
                </c:pt>
                <c:pt idx="1">
                  <c:v>-0.1</c:v>
                </c:pt>
                <c:pt idx="2">
                  <c:v>-0.05</c:v>
                </c:pt>
                <c:pt idx="3">
                  <c:v>0</c:v>
                </c:pt>
                <c:pt idx="4">
                  <c:v>0.05</c:v>
                </c:pt>
                <c:pt idx="5">
                  <c:v>0.1</c:v>
                </c:pt>
                <c:pt idx="6">
                  <c:v>0.15</c:v>
                </c:pt>
              </c:numCache>
            </c:numRef>
          </c:xVal>
          <c:yVal>
            <c:numRef>
              <c:f>LaCoO3!$L$34:$L$40</c:f>
              <c:numCache>
                <c:formatCode>General</c:formatCode>
                <c:ptCount val="7"/>
                <c:pt idx="0">
                  <c:v>8.2216699999999996</c:v>
                </c:pt>
                <c:pt idx="1">
                  <c:v>8.1993799999999997</c:v>
                </c:pt>
                <c:pt idx="2">
                  <c:v>8.17699</c:v>
                </c:pt>
                <c:pt idx="3">
                  <c:v>8.1545100000000001</c:v>
                </c:pt>
                <c:pt idx="4">
                  <c:v>8.1319400000000002</c:v>
                </c:pt>
                <c:pt idx="5">
                  <c:v>8.1092700000000004</c:v>
                </c:pt>
                <c:pt idx="6">
                  <c:v>8.0865100000000005</c:v>
                </c:pt>
              </c:numCache>
            </c:numRef>
          </c:yVal>
          <c:smooth val="1"/>
        </c:ser>
        <c:ser>
          <c:idx val="4"/>
          <c:order val="4"/>
          <c:xVal>
            <c:numRef>
              <c:f>LaCoO3!$K$24:$K$30</c:f>
              <c:numCache>
                <c:formatCode>General</c:formatCode>
                <c:ptCount val="7"/>
                <c:pt idx="0">
                  <c:v>-0.15</c:v>
                </c:pt>
                <c:pt idx="1">
                  <c:v>-0.1</c:v>
                </c:pt>
                <c:pt idx="2">
                  <c:v>-0.05</c:v>
                </c:pt>
                <c:pt idx="3">
                  <c:v>0</c:v>
                </c:pt>
                <c:pt idx="4">
                  <c:v>0.05</c:v>
                </c:pt>
                <c:pt idx="5">
                  <c:v>0.1</c:v>
                </c:pt>
                <c:pt idx="6">
                  <c:v>0.15</c:v>
                </c:pt>
              </c:numCache>
            </c:numRef>
          </c:xVal>
          <c:yVal>
            <c:numRef>
              <c:f>LaCoO3!$O$24:$O$30</c:f>
              <c:numCache>
                <c:formatCode>General</c:formatCode>
                <c:ptCount val="7"/>
                <c:pt idx="0">
                  <c:v>8.2500199999999992</c:v>
                </c:pt>
                <c:pt idx="1">
                  <c:v>8.2293099999999999</c:v>
                </c:pt>
                <c:pt idx="2">
                  <c:v>8.2085600000000003</c:v>
                </c:pt>
                <c:pt idx="3">
                  <c:v>8.1877600000000008</c:v>
                </c:pt>
                <c:pt idx="4">
                  <c:v>8.1669099999999997</c:v>
                </c:pt>
                <c:pt idx="5">
                  <c:v>8.1460299999999997</c:v>
                </c:pt>
                <c:pt idx="6">
                  <c:v>8.1251099999999994</c:v>
                </c:pt>
              </c:numCache>
            </c:numRef>
          </c:yVal>
          <c:smooth val="1"/>
        </c:ser>
        <c:ser>
          <c:idx val="5"/>
          <c:order val="5"/>
          <c:xVal>
            <c:numRef>
              <c:f>LaCoO3!$K$34:$K$40</c:f>
              <c:numCache>
                <c:formatCode>General</c:formatCode>
                <c:ptCount val="7"/>
                <c:pt idx="0">
                  <c:v>-0.15</c:v>
                </c:pt>
                <c:pt idx="1">
                  <c:v>-0.1</c:v>
                </c:pt>
                <c:pt idx="2">
                  <c:v>-0.05</c:v>
                </c:pt>
                <c:pt idx="3">
                  <c:v>0</c:v>
                </c:pt>
                <c:pt idx="4">
                  <c:v>0.05</c:v>
                </c:pt>
                <c:pt idx="5">
                  <c:v>0.1</c:v>
                </c:pt>
                <c:pt idx="6">
                  <c:v>0.15</c:v>
                </c:pt>
              </c:numCache>
            </c:numRef>
          </c:xVal>
          <c:yVal>
            <c:numRef>
              <c:f>LaCoO3!$O$34:$O$40</c:f>
              <c:numCache>
                <c:formatCode>General</c:formatCode>
                <c:ptCount val="7"/>
                <c:pt idx="0">
                  <c:v>8.2800700000000003</c:v>
                </c:pt>
                <c:pt idx="1">
                  <c:v>8.2602499999999992</c:v>
                </c:pt>
                <c:pt idx="2">
                  <c:v>8.2403899999999997</c:v>
                </c:pt>
                <c:pt idx="3">
                  <c:v>8.2204999999999995</c:v>
                </c:pt>
                <c:pt idx="4">
                  <c:v>8.2005800000000004</c:v>
                </c:pt>
                <c:pt idx="5">
                  <c:v>8.18065</c:v>
                </c:pt>
                <c:pt idx="6">
                  <c:v>8.1607000000000003</c:v>
                </c:pt>
              </c:numCache>
            </c:numRef>
          </c:yVal>
          <c:smooth val="1"/>
        </c:ser>
        <c:ser>
          <c:idx val="6"/>
          <c:order val="6"/>
          <c:xVal>
            <c:numRef>
              <c:f>LaCoO3!$K$24:$K$30</c:f>
              <c:numCache>
                <c:formatCode>General</c:formatCode>
                <c:ptCount val="7"/>
                <c:pt idx="0">
                  <c:v>-0.15</c:v>
                </c:pt>
                <c:pt idx="1">
                  <c:v>-0.1</c:v>
                </c:pt>
                <c:pt idx="2">
                  <c:v>-0.05</c:v>
                </c:pt>
                <c:pt idx="3">
                  <c:v>0</c:v>
                </c:pt>
                <c:pt idx="4">
                  <c:v>0.05</c:v>
                </c:pt>
                <c:pt idx="5">
                  <c:v>0.1</c:v>
                </c:pt>
                <c:pt idx="6">
                  <c:v>0.15</c:v>
                </c:pt>
              </c:numCache>
            </c:numRef>
          </c:xVal>
          <c:yVal>
            <c:numRef>
              <c:f>LaCoO3!$R$24:$R$30</c:f>
              <c:numCache>
                <c:formatCode>General</c:formatCode>
                <c:ptCount val="7"/>
                <c:pt idx="0">
                  <c:v>8.3116900000000005</c:v>
                </c:pt>
                <c:pt idx="1">
                  <c:v>8.29237</c:v>
                </c:pt>
                <c:pt idx="2">
                  <c:v>8.2730200000000007</c:v>
                </c:pt>
                <c:pt idx="3">
                  <c:v>8.2536400000000008</c:v>
                </c:pt>
                <c:pt idx="4">
                  <c:v>8.2342399999999998</c:v>
                </c:pt>
                <c:pt idx="5">
                  <c:v>8.2148199999999996</c:v>
                </c:pt>
                <c:pt idx="6">
                  <c:v>8.1953999999999994</c:v>
                </c:pt>
              </c:numCache>
            </c:numRef>
          </c:yVal>
          <c:smooth val="1"/>
        </c:ser>
        <c:ser>
          <c:idx val="7"/>
          <c:order val="7"/>
          <c:xVal>
            <c:numRef>
              <c:f>LaCoO3!$K$34:$K$40</c:f>
              <c:numCache>
                <c:formatCode>General</c:formatCode>
                <c:ptCount val="7"/>
                <c:pt idx="0">
                  <c:v>-0.15</c:v>
                </c:pt>
                <c:pt idx="1">
                  <c:v>-0.1</c:v>
                </c:pt>
                <c:pt idx="2">
                  <c:v>-0.05</c:v>
                </c:pt>
                <c:pt idx="3">
                  <c:v>0</c:v>
                </c:pt>
                <c:pt idx="4">
                  <c:v>0.05</c:v>
                </c:pt>
                <c:pt idx="5">
                  <c:v>0.1</c:v>
                </c:pt>
                <c:pt idx="6">
                  <c:v>0.15</c:v>
                </c:pt>
              </c:numCache>
            </c:numRef>
          </c:xVal>
          <c:yVal>
            <c:numRef>
              <c:f>LaCoO3!$R$34:$R$40</c:f>
              <c:numCache>
                <c:formatCode>General</c:formatCode>
                <c:ptCount val="7"/>
                <c:pt idx="0">
                  <c:v>8.3446499999999997</c:v>
                </c:pt>
                <c:pt idx="1">
                  <c:v>8.3256399999999999</c:v>
                </c:pt>
                <c:pt idx="2">
                  <c:v>8.3065899999999999</c:v>
                </c:pt>
                <c:pt idx="3">
                  <c:v>8.2875200000000007</c:v>
                </c:pt>
                <c:pt idx="4">
                  <c:v>8.2684200000000008</c:v>
                </c:pt>
                <c:pt idx="5">
                  <c:v>8.2492999999999999</c:v>
                </c:pt>
                <c:pt idx="6">
                  <c:v>8.2301599999999997</c:v>
                </c:pt>
              </c:numCache>
            </c:numRef>
          </c:yVal>
          <c:smooth val="1"/>
        </c:ser>
        <c:dLbls>
          <c:showLegendKey val="0"/>
          <c:showVal val="0"/>
          <c:showCatName val="0"/>
          <c:showSerName val="0"/>
          <c:showPercent val="0"/>
          <c:showBubbleSize val="0"/>
        </c:dLbls>
        <c:axId val="53468544"/>
        <c:axId val="53483008"/>
      </c:scatterChart>
      <c:valAx>
        <c:axId val="53468544"/>
        <c:scaling>
          <c:orientation val="minMax"/>
          <c:max val="0.15"/>
          <c:min val="-0.15"/>
        </c:scaling>
        <c:delete val="0"/>
        <c:axPos val="b"/>
        <c:title>
          <c:tx>
            <c:rich>
              <a:bodyPr/>
              <a:lstStyle/>
              <a:p>
                <a:pPr>
                  <a:defRPr sz="1300"/>
                </a:pPr>
                <a:r>
                  <a:rPr lang="en-US" sz="1300"/>
                  <a:t>Size of B-site Perturbation (</a:t>
                </a:r>
                <a:r>
                  <a:rPr lang="en-US" sz="1300" b="1" i="0" u="none" strike="noStrike" baseline="0">
                    <a:effectLst/>
                  </a:rPr>
                  <a:t>α, eV)</a:t>
                </a:r>
                <a:endParaRPr lang="en-US" sz="1300"/>
              </a:p>
            </c:rich>
          </c:tx>
          <c:layout>
            <c:manualLayout>
              <c:xMode val="edge"/>
              <c:yMode val="edge"/>
              <c:x val="0.33119222076407101"/>
              <c:y val="0.93503574800694"/>
            </c:manualLayout>
          </c:layout>
          <c:overlay val="0"/>
        </c:title>
        <c:numFmt formatCode="General" sourceLinked="1"/>
        <c:majorTickMark val="cross"/>
        <c:minorTickMark val="in"/>
        <c:tickLblPos val="nextTo"/>
        <c:txPr>
          <a:bodyPr/>
          <a:lstStyle/>
          <a:p>
            <a:pPr>
              <a:defRPr sz="1300"/>
            </a:pPr>
            <a:endParaRPr lang="en-US"/>
          </a:p>
        </c:txPr>
        <c:crossAx val="53483008"/>
        <c:crosses val="autoZero"/>
        <c:crossBetween val="midCat"/>
      </c:valAx>
      <c:valAx>
        <c:axId val="53483008"/>
        <c:scaling>
          <c:orientation val="minMax"/>
          <c:max val="8.35"/>
          <c:min val="7.85"/>
        </c:scaling>
        <c:delete val="0"/>
        <c:axPos val="l"/>
        <c:majorGridlines/>
        <c:title>
          <c:tx>
            <c:rich>
              <a:bodyPr rot="-5400000" vert="horz"/>
              <a:lstStyle/>
              <a:p>
                <a:pPr>
                  <a:defRPr sz="1300"/>
                </a:pPr>
                <a:r>
                  <a:rPr lang="en-US" sz="1300"/>
                  <a:t>Occupation of Perturbed</a:t>
                </a:r>
                <a:r>
                  <a:rPr lang="en-US" sz="1300" baseline="0"/>
                  <a:t> Orbital</a:t>
                </a:r>
                <a:endParaRPr lang="en-US" sz="1300"/>
              </a:p>
            </c:rich>
          </c:tx>
          <c:layout>
            <c:manualLayout>
              <c:xMode val="edge"/>
              <c:yMode val="edge"/>
              <c:x val="1.7497812773403399E-4"/>
              <c:y val="0.148817547034751"/>
            </c:manualLayout>
          </c:layout>
          <c:overlay val="0"/>
        </c:title>
        <c:numFmt formatCode="General" sourceLinked="1"/>
        <c:majorTickMark val="cross"/>
        <c:minorTickMark val="in"/>
        <c:tickLblPos val="nextTo"/>
        <c:txPr>
          <a:bodyPr/>
          <a:lstStyle/>
          <a:p>
            <a:pPr>
              <a:defRPr sz="1300"/>
            </a:pPr>
            <a:endParaRPr lang="en-US"/>
          </a:p>
        </c:txPr>
        <c:crossAx val="53468544"/>
        <c:crossesAt val="-0.15"/>
        <c:crossBetween val="midCat"/>
        <c:majorUnit val="0.1"/>
        <c:minorUnit val="0.05"/>
      </c:valAx>
      <c:spPr>
        <a:ln>
          <a:solidFill>
            <a:schemeClr val="tx1"/>
          </a:solidFill>
        </a:ln>
      </c:spPr>
    </c:plotArea>
    <c:legend>
      <c:legendPos val="b"/>
      <c:layout>
        <c:manualLayout>
          <c:xMode val="edge"/>
          <c:yMode val="edge"/>
          <c:x val="0.12813243608866101"/>
          <c:y val="0.53606229117502702"/>
          <c:w val="0.368540755322251"/>
          <c:h val="0.33308231500736002"/>
        </c:manualLayout>
      </c:layout>
      <c:overlay val="0"/>
      <c:txPr>
        <a:bodyPr/>
        <a:lstStyle/>
        <a:p>
          <a:pPr>
            <a:defRPr>
              <a:solidFill>
                <a:schemeClr val="bg1"/>
              </a:solidFill>
            </a:defRPr>
          </a:pPr>
          <a:endParaRPr lang="en-US"/>
        </a:p>
      </c:txPr>
    </c:legend>
    <c:plotVisOnly val="1"/>
    <c:dispBlanksAs val="gap"/>
    <c:showDLblsOverMax val="0"/>
  </c:chart>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2532571449402199"/>
          <c:y val="1.9199999999999998E-2"/>
          <c:w val="0.850200860309128"/>
          <c:h val="0.76396849388560695"/>
        </c:manualLayout>
      </c:layout>
      <c:scatterChart>
        <c:scatterStyle val="lineMarker"/>
        <c:varyColors val="0"/>
        <c:ser>
          <c:idx val="0"/>
          <c:order val="0"/>
          <c:tx>
            <c:v>None</c:v>
          </c:tx>
          <c:spPr>
            <a:ln w="47625">
              <a:noFill/>
            </a:ln>
          </c:spPr>
          <c:marker>
            <c:symbol val="circle"/>
            <c:size val="10"/>
            <c:spPr>
              <a:ln w="6350" cmpd="sng">
                <a:solidFill>
                  <a:schemeClr val="tx1"/>
                </a:solidFill>
              </a:ln>
            </c:spPr>
          </c:marker>
          <c:xVal>
            <c:numRef>
              <c:f>LaCoO3!$A$4:$A$11</c:f>
              <c:numCache>
                <c:formatCode>General</c:formatCode>
                <c:ptCount val="8"/>
                <c:pt idx="0">
                  <c:v>0</c:v>
                </c:pt>
                <c:pt idx="1">
                  <c:v>1</c:v>
                </c:pt>
                <c:pt idx="2">
                  <c:v>2</c:v>
                </c:pt>
                <c:pt idx="3">
                  <c:v>3</c:v>
                </c:pt>
                <c:pt idx="4">
                  <c:v>4</c:v>
                </c:pt>
                <c:pt idx="5">
                  <c:v>5</c:v>
                </c:pt>
                <c:pt idx="6">
                  <c:v>6</c:v>
                </c:pt>
                <c:pt idx="7">
                  <c:v>7</c:v>
                </c:pt>
              </c:numCache>
            </c:numRef>
          </c:xVal>
          <c:yVal>
            <c:numRef>
              <c:f>LaCoO3!$B$4:$B$11</c:f>
              <c:numCache>
                <c:formatCode>General</c:formatCode>
                <c:ptCount val="8"/>
                <c:pt idx="0">
                  <c:v>6.68018027609084</c:v>
                </c:pt>
                <c:pt idx="1">
                  <c:v>6.6633389380287298</c:v>
                </c:pt>
                <c:pt idx="2">
                  <c:v>6.4240894300499303</c:v>
                </c:pt>
                <c:pt idx="3">
                  <c:v>6.0075229707363604</c:v>
                </c:pt>
                <c:pt idx="4">
                  <c:v>5.5819885936067903</c:v>
                </c:pt>
                <c:pt idx="5">
                  <c:v>5.2301758882691596</c:v>
                </c:pt>
                <c:pt idx="6">
                  <c:v>4.9134345973943301</c:v>
                </c:pt>
                <c:pt idx="7">
                  <c:v>4.6478587504587603</c:v>
                </c:pt>
              </c:numCache>
            </c:numRef>
          </c:yVal>
          <c:smooth val="0"/>
        </c:ser>
        <c:ser>
          <c:idx val="2"/>
          <c:order val="1"/>
          <c:tx>
            <c:v>None - Regression</c:v>
          </c:tx>
          <c:spPr>
            <a:ln w="47625">
              <a:noFill/>
            </a:ln>
          </c:spPr>
          <c:marker>
            <c:symbol val="x"/>
            <c:size val="10"/>
            <c:spPr>
              <a:ln>
                <a:solidFill>
                  <a:schemeClr val="tx1"/>
                </a:solidFill>
              </a:ln>
            </c:spPr>
          </c:marker>
          <c:trendline>
            <c:trendlineType val="linear"/>
            <c:dispRSqr val="1"/>
            <c:dispEq val="1"/>
            <c:trendlineLbl>
              <c:layout>
                <c:manualLayout>
                  <c:x val="-6.1155220180810703E-2"/>
                  <c:y val="-0.27177780374389499"/>
                </c:manualLayout>
              </c:layout>
              <c:numFmt formatCode="General" sourceLinked="0"/>
              <c:txPr>
                <a:bodyPr/>
                <a:lstStyle/>
                <a:p>
                  <a:pPr>
                    <a:defRPr sz="1100"/>
                  </a:pPr>
                  <a:endParaRPr lang="en-US"/>
                </a:p>
              </c:txPr>
            </c:trendlineLbl>
          </c:trendline>
          <c:xVal>
            <c:numRef>
              <c:f>LaCoO3!$A$6:$A$11</c:f>
              <c:numCache>
                <c:formatCode>General</c:formatCode>
                <c:ptCount val="6"/>
                <c:pt idx="0">
                  <c:v>2</c:v>
                </c:pt>
                <c:pt idx="1">
                  <c:v>3</c:v>
                </c:pt>
                <c:pt idx="2">
                  <c:v>4</c:v>
                </c:pt>
                <c:pt idx="3">
                  <c:v>5</c:v>
                </c:pt>
                <c:pt idx="4">
                  <c:v>6</c:v>
                </c:pt>
                <c:pt idx="5">
                  <c:v>7</c:v>
                </c:pt>
              </c:numCache>
            </c:numRef>
          </c:xVal>
          <c:yVal>
            <c:numRef>
              <c:f>LaCoO3!$B$6:$B$11</c:f>
              <c:numCache>
                <c:formatCode>General</c:formatCode>
                <c:ptCount val="6"/>
                <c:pt idx="0">
                  <c:v>6.4240894300499303</c:v>
                </c:pt>
                <c:pt idx="1">
                  <c:v>6.0075229707363604</c:v>
                </c:pt>
                <c:pt idx="2">
                  <c:v>5.5819885936067903</c:v>
                </c:pt>
                <c:pt idx="3">
                  <c:v>5.2301758882691596</c:v>
                </c:pt>
                <c:pt idx="4">
                  <c:v>4.9134345973943301</c:v>
                </c:pt>
                <c:pt idx="5">
                  <c:v>4.6478587504587603</c:v>
                </c:pt>
              </c:numCache>
            </c:numRef>
          </c:yVal>
          <c:smooth val="0"/>
        </c:ser>
        <c:ser>
          <c:idx val="1"/>
          <c:order val="2"/>
          <c:tx>
            <c:v>Neutral</c:v>
          </c:tx>
          <c:spPr>
            <a:ln w="47625">
              <a:noFill/>
            </a:ln>
          </c:spPr>
          <c:marker>
            <c:symbol val="square"/>
            <c:size val="10"/>
            <c:spPr>
              <a:ln w="3175">
                <a:solidFill>
                  <a:schemeClr val="tx1"/>
                </a:solidFill>
                <a:prstDash val="solid"/>
              </a:ln>
            </c:spPr>
          </c:marker>
          <c:xVal>
            <c:numRef>
              <c:f>LaCoO3!$A$4:$A$11</c:f>
              <c:numCache>
                <c:formatCode>General</c:formatCode>
                <c:ptCount val="8"/>
                <c:pt idx="0">
                  <c:v>0</c:v>
                </c:pt>
                <c:pt idx="1">
                  <c:v>1</c:v>
                </c:pt>
                <c:pt idx="2">
                  <c:v>2</c:v>
                </c:pt>
                <c:pt idx="3">
                  <c:v>3</c:v>
                </c:pt>
                <c:pt idx="4">
                  <c:v>4</c:v>
                </c:pt>
                <c:pt idx="5">
                  <c:v>5</c:v>
                </c:pt>
                <c:pt idx="6">
                  <c:v>6</c:v>
                </c:pt>
                <c:pt idx="7">
                  <c:v>7</c:v>
                </c:pt>
              </c:numCache>
            </c:numRef>
          </c:xVal>
          <c:yVal>
            <c:numRef>
              <c:f>LaCoO3!$F$4:$F$11</c:f>
              <c:numCache>
                <c:formatCode>General</c:formatCode>
                <c:ptCount val="8"/>
                <c:pt idx="0">
                  <c:v>5.3907833776827996</c:v>
                </c:pt>
                <c:pt idx="1">
                  <c:v>5.3802714636244797</c:v>
                </c:pt>
                <c:pt idx="2">
                  <c:v>5.1921228914804596</c:v>
                </c:pt>
                <c:pt idx="3">
                  <c:v>4.8842836207593798</c:v>
                </c:pt>
                <c:pt idx="4">
                  <c:v>4.5536657989111999</c:v>
                </c:pt>
                <c:pt idx="5">
                  <c:v>4.2828166323421</c:v>
                </c:pt>
                <c:pt idx="6">
                  <c:v>4.0410003454541403</c:v>
                </c:pt>
                <c:pt idx="7">
                  <c:v>3.8235296643899099</c:v>
                </c:pt>
              </c:numCache>
            </c:numRef>
          </c:yVal>
          <c:smooth val="0"/>
        </c:ser>
        <c:ser>
          <c:idx val="3"/>
          <c:order val="3"/>
          <c:tx>
            <c:v>Neutral - Regression</c:v>
          </c:tx>
          <c:spPr>
            <a:ln w="47625">
              <a:noFill/>
            </a:ln>
          </c:spPr>
          <c:marker>
            <c:symbol val="plus"/>
            <c:size val="10"/>
            <c:spPr>
              <a:ln>
                <a:solidFill>
                  <a:schemeClr val="tx1"/>
                </a:solidFill>
              </a:ln>
            </c:spPr>
          </c:marker>
          <c:trendline>
            <c:trendlineType val="linear"/>
            <c:dispRSqr val="1"/>
            <c:dispEq val="1"/>
            <c:trendlineLbl>
              <c:layout>
                <c:manualLayout>
                  <c:x val="-0.206988553514144"/>
                  <c:y val="-0.259101731479353"/>
                </c:manualLayout>
              </c:layout>
              <c:numFmt formatCode="General" sourceLinked="0"/>
              <c:txPr>
                <a:bodyPr/>
                <a:lstStyle/>
                <a:p>
                  <a:pPr>
                    <a:defRPr sz="1100"/>
                  </a:pPr>
                  <a:endParaRPr lang="en-US"/>
                </a:p>
              </c:txPr>
            </c:trendlineLbl>
          </c:trendline>
          <c:xVal>
            <c:numRef>
              <c:f>LaCoO3!$A$6:$A$11</c:f>
              <c:numCache>
                <c:formatCode>General</c:formatCode>
                <c:ptCount val="6"/>
                <c:pt idx="0">
                  <c:v>2</c:v>
                </c:pt>
                <c:pt idx="1">
                  <c:v>3</c:v>
                </c:pt>
                <c:pt idx="2">
                  <c:v>4</c:v>
                </c:pt>
                <c:pt idx="3">
                  <c:v>5</c:v>
                </c:pt>
                <c:pt idx="4">
                  <c:v>6</c:v>
                </c:pt>
                <c:pt idx="5">
                  <c:v>7</c:v>
                </c:pt>
              </c:numCache>
            </c:numRef>
          </c:xVal>
          <c:yVal>
            <c:numRef>
              <c:f>LaCoO3!$F$6:$F$11</c:f>
              <c:numCache>
                <c:formatCode>General</c:formatCode>
                <c:ptCount val="6"/>
                <c:pt idx="0">
                  <c:v>5.1921228914804596</c:v>
                </c:pt>
                <c:pt idx="1">
                  <c:v>4.8842836207593798</c:v>
                </c:pt>
                <c:pt idx="2">
                  <c:v>4.5536657989111999</c:v>
                </c:pt>
                <c:pt idx="3">
                  <c:v>4.2828166323421</c:v>
                </c:pt>
                <c:pt idx="4">
                  <c:v>4.0410003454541403</c:v>
                </c:pt>
                <c:pt idx="5">
                  <c:v>3.8235296643899099</c:v>
                </c:pt>
              </c:numCache>
            </c:numRef>
          </c:yVal>
          <c:smooth val="0"/>
        </c:ser>
        <c:dLbls>
          <c:showLegendKey val="0"/>
          <c:showVal val="0"/>
          <c:showCatName val="0"/>
          <c:showSerName val="0"/>
          <c:showPercent val="0"/>
          <c:showBubbleSize val="0"/>
        </c:dLbls>
        <c:axId val="53621504"/>
        <c:axId val="53623424"/>
      </c:scatterChart>
      <c:valAx>
        <c:axId val="53621504"/>
        <c:scaling>
          <c:orientation val="minMax"/>
          <c:max val="7"/>
        </c:scaling>
        <c:delete val="0"/>
        <c:axPos val="b"/>
        <c:title>
          <c:tx>
            <c:rich>
              <a:bodyPr/>
              <a:lstStyle/>
              <a:p>
                <a:pPr>
                  <a:defRPr sz="1200"/>
                </a:pPr>
                <a:r>
                  <a:rPr lang="en-US" sz="1200"/>
                  <a:t>Inputted</a:t>
                </a:r>
                <a:r>
                  <a:rPr lang="en-US" sz="1200" baseline="0"/>
                  <a:t> U(3d) for B-site (eV)</a:t>
                </a:r>
                <a:endParaRPr lang="en-US" sz="1200"/>
              </a:p>
            </c:rich>
          </c:tx>
          <c:layout>
            <c:manualLayout>
              <c:xMode val="edge"/>
              <c:yMode val="edge"/>
              <c:x val="0.35396434820647399"/>
              <c:y val="0.84769464850881204"/>
            </c:manualLayout>
          </c:layout>
          <c:overlay val="0"/>
        </c:title>
        <c:numFmt formatCode="General" sourceLinked="1"/>
        <c:majorTickMark val="out"/>
        <c:minorTickMark val="none"/>
        <c:tickLblPos val="nextTo"/>
        <c:txPr>
          <a:bodyPr/>
          <a:lstStyle/>
          <a:p>
            <a:pPr>
              <a:defRPr sz="1200"/>
            </a:pPr>
            <a:endParaRPr lang="en-US"/>
          </a:p>
        </c:txPr>
        <c:crossAx val="53623424"/>
        <c:crosses val="autoZero"/>
        <c:crossBetween val="midCat"/>
      </c:valAx>
      <c:valAx>
        <c:axId val="53623424"/>
        <c:scaling>
          <c:orientation val="minMax"/>
          <c:max val="6.8"/>
          <c:min val="3.8"/>
        </c:scaling>
        <c:delete val="0"/>
        <c:axPos val="l"/>
        <c:majorGridlines/>
        <c:title>
          <c:tx>
            <c:rich>
              <a:bodyPr rot="-5400000" vert="horz"/>
              <a:lstStyle/>
              <a:p>
                <a:pPr>
                  <a:defRPr sz="1200"/>
                </a:pPr>
                <a:r>
                  <a:rPr lang="en-US" sz="1200"/>
                  <a:t>Outputted</a:t>
                </a:r>
                <a:r>
                  <a:rPr lang="en-US" sz="1200" baseline="0"/>
                  <a:t> U(3d) for B-site (eV)</a:t>
                </a:r>
                <a:endParaRPr lang="en-US" sz="1200"/>
              </a:p>
            </c:rich>
          </c:tx>
          <c:layout>
            <c:manualLayout>
              <c:xMode val="edge"/>
              <c:yMode val="edge"/>
              <c:x val="0"/>
              <c:y val="0.12448533689152901"/>
            </c:manualLayout>
          </c:layout>
          <c:overlay val="0"/>
        </c:title>
        <c:numFmt formatCode="General" sourceLinked="1"/>
        <c:majorTickMark val="cross"/>
        <c:minorTickMark val="out"/>
        <c:tickLblPos val="nextTo"/>
        <c:txPr>
          <a:bodyPr/>
          <a:lstStyle/>
          <a:p>
            <a:pPr>
              <a:defRPr sz="1200"/>
            </a:pPr>
            <a:endParaRPr lang="en-US"/>
          </a:p>
        </c:txPr>
        <c:crossAx val="53621504"/>
        <c:crosses val="autoZero"/>
        <c:crossBetween val="midCat"/>
      </c:valAx>
      <c:spPr>
        <a:ln>
          <a:solidFill>
            <a:schemeClr val="tx1"/>
          </a:solidFill>
        </a:ln>
      </c:spPr>
    </c:plotArea>
    <c:legend>
      <c:legendPos val="b"/>
      <c:layout>
        <c:manualLayout>
          <c:xMode val="edge"/>
          <c:yMode val="edge"/>
          <c:x val="0.114537382537047"/>
          <c:y val="0.90327813858116901"/>
          <c:w val="0.88311092157967697"/>
          <c:h val="9.3879576685274302E-2"/>
        </c:manualLayout>
      </c:layout>
      <c:overlay val="0"/>
      <c:txPr>
        <a:bodyPr/>
        <a:lstStyle/>
        <a:p>
          <a:pPr>
            <a:defRPr sz="1200"/>
          </a:pPr>
          <a:endParaRPr lang="en-US"/>
        </a:p>
      </c:txPr>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0.64583</cdr:x>
      <cdr:y>0.05614</cdr:y>
    </cdr:from>
    <cdr:to>
      <cdr:x>0.7053</cdr:x>
      <cdr:y>0.12142</cdr:y>
    </cdr:to>
    <cdr:sp macro="" textlink="">
      <cdr:nvSpPr>
        <cdr:cNvPr id="2" name="TextBox 1"/>
        <cdr:cNvSpPr txBox="1"/>
      </cdr:nvSpPr>
      <cdr:spPr>
        <a:xfrm xmlns:a="http://schemas.openxmlformats.org/drawingml/2006/main">
          <a:off x="3543300" y="228600"/>
          <a:ext cx="326277" cy="265837"/>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no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l-GR" sz="1200"/>
            <a:t>χ0</a:t>
          </a:r>
          <a:endParaRPr lang="en-US" sz="1200"/>
        </a:p>
      </cdr:txBody>
    </cdr:sp>
  </cdr:relSizeAnchor>
  <cdr:relSizeAnchor xmlns:cdr="http://schemas.openxmlformats.org/drawingml/2006/chartDrawing">
    <cdr:from>
      <cdr:x>0.83333</cdr:x>
      <cdr:y>0.05614</cdr:y>
    </cdr:from>
    <cdr:to>
      <cdr:x>0.87738</cdr:x>
      <cdr:y>0.12086</cdr:y>
    </cdr:to>
    <cdr:sp macro="" textlink="">
      <cdr:nvSpPr>
        <cdr:cNvPr id="3" name="TextBox 2"/>
        <cdr:cNvSpPr txBox="1"/>
      </cdr:nvSpPr>
      <cdr:spPr>
        <a:xfrm xmlns:a="http://schemas.openxmlformats.org/drawingml/2006/main">
          <a:off x="4572000" y="228600"/>
          <a:ext cx="241676" cy="263557"/>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l-GR" sz="1200"/>
            <a:t>χ</a:t>
          </a:r>
          <a:endParaRPr lang="en-US" sz="1200"/>
        </a:p>
      </cdr:txBody>
    </cdr:sp>
  </cdr:relSizeAnchor>
</c:userShapes>
</file>

<file path=word/drawings/drawing2.xml><?xml version="1.0" encoding="utf-8"?>
<c:userShapes xmlns:c="http://schemas.openxmlformats.org/drawingml/2006/chart">
  <cdr:relSizeAnchor xmlns:cdr="http://schemas.openxmlformats.org/drawingml/2006/chartDrawing">
    <cdr:from>
      <cdr:x>0.66667</cdr:x>
      <cdr:y>0.06237</cdr:y>
    </cdr:from>
    <cdr:to>
      <cdr:x>0.70833</cdr:x>
      <cdr:y>0.11851</cdr:y>
    </cdr:to>
    <cdr:sp macro="" textlink="">
      <cdr:nvSpPr>
        <cdr:cNvPr id="2" name="TextBox 1"/>
        <cdr:cNvSpPr txBox="1"/>
      </cdr:nvSpPr>
      <cdr:spPr>
        <a:xfrm xmlns:a="http://schemas.openxmlformats.org/drawingml/2006/main">
          <a:off x="3657600" y="254001"/>
          <a:ext cx="228601" cy="228599"/>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no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l-GR" sz="1200"/>
            <a:t>χ0</a:t>
          </a:r>
          <a:endParaRPr lang="en-US" sz="1200"/>
        </a:p>
      </cdr:txBody>
    </cdr:sp>
  </cdr:relSizeAnchor>
  <cdr:relSizeAnchor xmlns:cdr="http://schemas.openxmlformats.org/drawingml/2006/chartDrawing">
    <cdr:from>
      <cdr:x>0.85417</cdr:x>
      <cdr:y>0.06237</cdr:y>
    </cdr:from>
    <cdr:to>
      <cdr:x>0.89822</cdr:x>
      <cdr:y>0.12709</cdr:y>
    </cdr:to>
    <cdr:sp macro="" textlink="">
      <cdr:nvSpPr>
        <cdr:cNvPr id="3" name="TextBox 2"/>
        <cdr:cNvSpPr txBox="1"/>
      </cdr:nvSpPr>
      <cdr:spPr>
        <a:xfrm xmlns:a="http://schemas.openxmlformats.org/drawingml/2006/main">
          <a:off x="4686300" y="254000"/>
          <a:ext cx="241676" cy="263556"/>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l-GR" sz="1200"/>
            <a:t>χ</a:t>
          </a:r>
          <a:endParaRPr lang="en-US" sz="1200"/>
        </a:p>
      </cdr:txBody>
    </cdr:sp>
  </cdr:relSizeAnchor>
</c:userShapes>
</file>

<file path=word/drawings/drawing3.xml><?xml version="1.0" encoding="utf-8"?>
<c:userShapes xmlns:c="http://schemas.openxmlformats.org/drawingml/2006/chart">
  <cdr:relSizeAnchor xmlns:cdr="http://schemas.openxmlformats.org/drawingml/2006/chartDrawing">
    <cdr:from>
      <cdr:x>0.67401</cdr:x>
      <cdr:y>0.05045</cdr:y>
    </cdr:from>
    <cdr:to>
      <cdr:x>0.73348</cdr:x>
      <cdr:y>0.11573</cdr:y>
    </cdr:to>
    <cdr:sp macro="" textlink="">
      <cdr:nvSpPr>
        <cdr:cNvPr id="2" name="TextBox 1"/>
        <cdr:cNvSpPr txBox="1"/>
      </cdr:nvSpPr>
      <cdr:spPr>
        <a:xfrm xmlns:a="http://schemas.openxmlformats.org/drawingml/2006/main">
          <a:off x="3886201" y="215900"/>
          <a:ext cx="342900" cy="279400"/>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no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l-GR" sz="1200"/>
            <a:t>χ0</a:t>
          </a:r>
          <a:endParaRPr lang="en-US" sz="1200"/>
        </a:p>
      </cdr:txBody>
    </cdr:sp>
  </cdr:relSizeAnchor>
  <cdr:relSizeAnchor xmlns:cdr="http://schemas.openxmlformats.org/drawingml/2006/chartDrawing">
    <cdr:from>
      <cdr:x>0.85463</cdr:x>
      <cdr:y>0.05128</cdr:y>
    </cdr:from>
    <cdr:to>
      <cdr:x>0.89868</cdr:x>
      <cdr:y>0.116</cdr:y>
    </cdr:to>
    <cdr:sp macro="" textlink="">
      <cdr:nvSpPr>
        <cdr:cNvPr id="3" name="TextBox 2"/>
        <cdr:cNvSpPr txBox="1"/>
      </cdr:nvSpPr>
      <cdr:spPr>
        <a:xfrm xmlns:a="http://schemas.openxmlformats.org/drawingml/2006/main">
          <a:off x="4927626" y="219473"/>
          <a:ext cx="253983" cy="276999"/>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l-GR" sz="1200"/>
            <a:t>χ</a:t>
          </a:r>
          <a:endParaRPr lang="en-US" sz="1200"/>
        </a:p>
      </cdr:txBody>
    </cdr:sp>
  </cdr:relSizeAnchor>
</c:userShapes>
</file>

<file path=word/drawings/drawing4.xml><?xml version="1.0" encoding="utf-8"?>
<c:userShapes xmlns:c="http://schemas.openxmlformats.org/drawingml/2006/chart">
  <cdr:relSizeAnchor xmlns:cdr="http://schemas.openxmlformats.org/drawingml/2006/chartDrawing">
    <cdr:from>
      <cdr:x>0.6696</cdr:x>
      <cdr:y>0.04452</cdr:y>
    </cdr:from>
    <cdr:to>
      <cdr:x>0.72907</cdr:x>
      <cdr:y>0.1098</cdr:y>
    </cdr:to>
    <cdr:sp macro="" textlink="">
      <cdr:nvSpPr>
        <cdr:cNvPr id="2" name="TextBox 1"/>
        <cdr:cNvSpPr txBox="1"/>
      </cdr:nvSpPr>
      <cdr:spPr>
        <a:xfrm xmlns:a="http://schemas.openxmlformats.org/drawingml/2006/main">
          <a:off x="3860807" y="190521"/>
          <a:ext cx="342892" cy="279392"/>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no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l-GR" sz="1200"/>
            <a:t>χ0</a:t>
          </a:r>
          <a:endParaRPr lang="en-US" sz="1200"/>
        </a:p>
      </cdr:txBody>
    </cdr:sp>
  </cdr:relSizeAnchor>
  <cdr:relSizeAnchor xmlns:cdr="http://schemas.openxmlformats.org/drawingml/2006/chartDrawing">
    <cdr:from>
      <cdr:x>0.84802</cdr:x>
      <cdr:y>0.04535</cdr:y>
    </cdr:from>
    <cdr:to>
      <cdr:x>0.89207</cdr:x>
      <cdr:y>0.11007</cdr:y>
    </cdr:to>
    <cdr:sp macro="" textlink="">
      <cdr:nvSpPr>
        <cdr:cNvPr id="3" name="TextBox 2"/>
        <cdr:cNvSpPr txBox="1"/>
      </cdr:nvSpPr>
      <cdr:spPr>
        <a:xfrm xmlns:a="http://schemas.openxmlformats.org/drawingml/2006/main">
          <a:off x="4889526" y="194073"/>
          <a:ext cx="253983" cy="276999"/>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l-GR" sz="1200"/>
            <a:t>χ</a:t>
          </a:r>
          <a:endParaRPr lang="en-US" sz="1200"/>
        </a:p>
      </cdr:txBody>
    </cdr:sp>
  </cdr:relSizeAnchor>
</c:userShapes>
</file>

<file path=word/drawings/drawing5.xml><?xml version="1.0" encoding="utf-8"?>
<c:userShapes xmlns:c="http://schemas.openxmlformats.org/drawingml/2006/chart">
  <cdr:relSizeAnchor xmlns:cdr="http://schemas.openxmlformats.org/drawingml/2006/chartDrawing">
    <cdr:from>
      <cdr:x>0.64583</cdr:x>
      <cdr:y>0.05614</cdr:y>
    </cdr:from>
    <cdr:to>
      <cdr:x>0.7053</cdr:x>
      <cdr:y>0.12142</cdr:y>
    </cdr:to>
    <cdr:sp macro="" textlink="">
      <cdr:nvSpPr>
        <cdr:cNvPr id="2" name="TextBox 1"/>
        <cdr:cNvSpPr txBox="1"/>
      </cdr:nvSpPr>
      <cdr:spPr>
        <a:xfrm xmlns:a="http://schemas.openxmlformats.org/drawingml/2006/main">
          <a:off x="3543300" y="228600"/>
          <a:ext cx="326277" cy="265837"/>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no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l-GR" sz="1200"/>
            <a:t>χ0</a:t>
          </a:r>
          <a:endParaRPr lang="en-US" sz="1200"/>
        </a:p>
      </cdr:txBody>
    </cdr:sp>
  </cdr:relSizeAnchor>
  <cdr:relSizeAnchor xmlns:cdr="http://schemas.openxmlformats.org/drawingml/2006/chartDrawing">
    <cdr:from>
      <cdr:x>0.85463</cdr:x>
      <cdr:y>0.05128</cdr:y>
    </cdr:from>
    <cdr:to>
      <cdr:x>0.89868</cdr:x>
      <cdr:y>0.116</cdr:y>
    </cdr:to>
    <cdr:sp macro="" textlink="">
      <cdr:nvSpPr>
        <cdr:cNvPr id="3" name="TextBox 2"/>
        <cdr:cNvSpPr txBox="1"/>
      </cdr:nvSpPr>
      <cdr:spPr>
        <a:xfrm xmlns:a="http://schemas.openxmlformats.org/drawingml/2006/main">
          <a:off x="4927626" y="219473"/>
          <a:ext cx="253983" cy="276999"/>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l-GR" sz="1200"/>
            <a:t>χ</a:t>
          </a:r>
          <a:endParaRPr lang="en-US" sz="1200"/>
        </a:p>
      </cdr:txBody>
    </cdr:sp>
  </cdr:relSizeAnchor>
</c:userShapes>
</file>

<file path=word/drawings/drawing6.xml><?xml version="1.0" encoding="utf-8"?>
<c:userShapes xmlns:c="http://schemas.openxmlformats.org/drawingml/2006/chart">
  <cdr:relSizeAnchor xmlns:cdr="http://schemas.openxmlformats.org/drawingml/2006/chartDrawing">
    <cdr:from>
      <cdr:x>0.21366</cdr:x>
      <cdr:y>0.54303</cdr:y>
    </cdr:from>
    <cdr:to>
      <cdr:x>0.27313</cdr:x>
      <cdr:y>0.60831</cdr:y>
    </cdr:to>
    <cdr:sp macro="" textlink="">
      <cdr:nvSpPr>
        <cdr:cNvPr id="2" name="TextBox 1"/>
        <cdr:cNvSpPr txBox="1"/>
      </cdr:nvSpPr>
      <cdr:spPr>
        <a:xfrm xmlns:a="http://schemas.openxmlformats.org/drawingml/2006/main">
          <a:off x="1231907" y="2324121"/>
          <a:ext cx="342892" cy="279392"/>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no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l-GR" sz="1100"/>
            <a:t>χ0</a:t>
          </a:r>
          <a:r>
            <a:rPr lang="en-US" sz="1100"/>
            <a:t> (U = 0)</a:t>
          </a:r>
        </a:p>
      </cdr:txBody>
    </cdr:sp>
  </cdr:relSizeAnchor>
  <cdr:relSizeAnchor xmlns:cdr="http://schemas.openxmlformats.org/drawingml/2006/chartDrawing">
    <cdr:from>
      <cdr:x>0.21586</cdr:x>
      <cdr:y>0.62315</cdr:y>
    </cdr:from>
    <cdr:to>
      <cdr:x>0.27533</cdr:x>
      <cdr:y>0.68843</cdr:y>
    </cdr:to>
    <cdr:sp macro="" textlink="">
      <cdr:nvSpPr>
        <cdr:cNvPr id="4" name="TextBox 3"/>
        <cdr:cNvSpPr txBox="1"/>
      </cdr:nvSpPr>
      <cdr:spPr>
        <a:xfrm xmlns:a="http://schemas.openxmlformats.org/drawingml/2006/main">
          <a:off x="1244600" y="2667000"/>
          <a:ext cx="342892" cy="279392"/>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no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l-GR" sz="1100"/>
            <a:t>χ0</a:t>
          </a:r>
          <a:r>
            <a:rPr lang="en-US" sz="1100"/>
            <a:t> (U = 2)</a:t>
          </a:r>
        </a:p>
      </cdr:txBody>
    </cdr:sp>
  </cdr:relSizeAnchor>
  <cdr:relSizeAnchor xmlns:cdr="http://schemas.openxmlformats.org/drawingml/2006/chartDrawing">
    <cdr:from>
      <cdr:x>0.38767</cdr:x>
      <cdr:y>0.54599</cdr:y>
    </cdr:from>
    <cdr:to>
      <cdr:x>0.44714</cdr:x>
      <cdr:y>0.61127</cdr:y>
    </cdr:to>
    <cdr:sp macro="" textlink="">
      <cdr:nvSpPr>
        <cdr:cNvPr id="5" name="TextBox 4"/>
        <cdr:cNvSpPr txBox="1"/>
      </cdr:nvSpPr>
      <cdr:spPr>
        <a:xfrm xmlns:a="http://schemas.openxmlformats.org/drawingml/2006/main">
          <a:off x="2235200" y="2336800"/>
          <a:ext cx="342892" cy="279392"/>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no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l-GR" sz="1100"/>
            <a:t>χ0</a:t>
          </a:r>
          <a:r>
            <a:rPr lang="en-US" sz="1100"/>
            <a:t> (U = 1)</a:t>
          </a:r>
        </a:p>
      </cdr:txBody>
    </cdr:sp>
  </cdr:relSizeAnchor>
  <cdr:relSizeAnchor xmlns:cdr="http://schemas.openxmlformats.org/drawingml/2006/chartDrawing">
    <cdr:from>
      <cdr:x>0.38767</cdr:x>
      <cdr:y>0.62611</cdr:y>
    </cdr:from>
    <cdr:to>
      <cdr:x>0.44714</cdr:x>
      <cdr:y>0.69139</cdr:y>
    </cdr:to>
    <cdr:sp macro="" textlink="">
      <cdr:nvSpPr>
        <cdr:cNvPr id="6" name="TextBox 5"/>
        <cdr:cNvSpPr txBox="1"/>
      </cdr:nvSpPr>
      <cdr:spPr>
        <a:xfrm xmlns:a="http://schemas.openxmlformats.org/drawingml/2006/main">
          <a:off x="2235200" y="2679700"/>
          <a:ext cx="342892" cy="279392"/>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no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l-GR" sz="1100"/>
            <a:t>χ0</a:t>
          </a:r>
          <a:r>
            <a:rPr lang="en-US" sz="1100"/>
            <a:t> (U = 3)</a:t>
          </a:r>
        </a:p>
      </cdr:txBody>
    </cdr:sp>
  </cdr:relSizeAnchor>
  <cdr:relSizeAnchor xmlns:cdr="http://schemas.openxmlformats.org/drawingml/2006/chartDrawing">
    <cdr:from>
      <cdr:x>0.38987</cdr:x>
      <cdr:y>0.79525</cdr:y>
    </cdr:from>
    <cdr:to>
      <cdr:x>0.44934</cdr:x>
      <cdr:y>0.86053</cdr:y>
    </cdr:to>
    <cdr:sp macro="" textlink="">
      <cdr:nvSpPr>
        <cdr:cNvPr id="7" name="TextBox 6"/>
        <cdr:cNvSpPr txBox="1"/>
      </cdr:nvSpPr>
      <cdr:spPr>
        <a:xfrm xmlns:a="http://schemas.openxmlformats.org/drawingml/2006/main">
          <a:off x="2247900" y="3403600"/>
          <a:ext cx="342892" cy="279392"/>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no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l-GR" sz="1100"/>
            <a:t>χ0</a:t>
          </a:r>
          <a:r>
            <a:rPr lang="en-US" sz="1100"/>
            <a:t> (U = 7)</a:t>
          </a:r>
        </a:p>
      </cdr:txBody>
    </cdr:sp>
  </cdr:relSizeAnchor>
  <cdr:relSizeAnchor xmlns:cdr="http://schemas.openxmlformats.org/drawingml/2006/chartDrawing">
    <cdr:from>
      <cdr:x>0.21586</cdr:x>
      <cdr:y>0.78338</cdr:y>
    </cdr:from>
    <cdr:to>
      <cdr:x>0.27533</cdr:x>
      <cdr:y>0.84866</cdr:y>
    </cdr:to>
    <cdr:sp macro="" textlink="">
      <cdr:nvSpPr>
        <cdr:cNvPr id="8" name="TextBox 7"/>
        <cdr:cNvSpPr txBox="1"/>
      </cdr:nvSpPr>
      <cdr:spPr>
        <a:xfrm xmlns:a="http://schemas.openxmlformats.org/drawingml/2006/main">
          <a:off x="1244600" y="3352800"/>
          <a:ext cx="342892" cy="279392"/>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no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l-GR" sz="1100"/>
            <a:t>χ0</a:t>
          </a:r>
          <a:r>
            <a:rPr lang="en-US" sz="1100"/>
            <a:t> (U = 6)</a:t>
          </a:r>
        </a:p>
      </cdr:txBody>
    </cdr:sp>
  </cdr:relSizeAnchor>
  <cdr:relSizeAnchor xmlns:cdr="http://schemas.openxmlformats.org/drawingml/2006/chartDrawing">
    <cdr:from>
      <cdr:x>0.38987</cdr:x>
      <cdr:y>0.71513</cdr:y>
    </cdr:from>
    <cdr:to>
      <cdr:x>0.44934</cdr:x>
      <cdr:y>0.78041</cdr:y>
    </cdr:to>
    <cdr:sp macro="" textlink="">
      <cdr:nvSpPr>
        <cdr:cNvPr id="9" name="TextBox 8"/>
        <cdr:cNvSpPr txBox="1"/>
      </cdr:nvSpPr>
      <cdr:spPr>
        <a:xfrm xmlns:a="http://schemas.openxmlformats.org/drawingml/2006/main">
          <a:off x="2247900" y="3060700"/>
          <a:ext cx="342892" cy="279392"/>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no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l-GR" sz="1100"/>
            <a:t>χ0</a:t>
          </a:r>
          <a:r>
            <a:rPr lang="en-US" sz="1100"/>
            <a:t> (U = 5)</a:t>
          </a:r>
        </a:p>
      </cdr:txBody>
    </cdr:sp>
  </cdr:relSizeAnchor>
  <cdr:relSizeAnchor xmlns:cdr="http://schemas.openxmlformats.org/drawingml/2006/chartDrawing">
    <cdr:from>
      <cdr:x>0.21586</cdr:x>
      <cdr:y>0.7092</cdr:y>
    </cdr:from>
    <cdr:to>
      <cdr:x>0.25771</cdr:x>
      <cdr:y>0.77151</cdr:y>
    </cdr:to>
    <cdr:sp macro="" textlink="">
      <cdr:nvSpPr>
        <cdr:cNvPr id="10" name="TextBox 9"/>
        <cdr:cNvSpPr txBox="1"/>
      </cdr:nvSpPr>
      <cdr:spPr>
        <a:xfrm xmlns:a="http://schemas.openxmlformats.org/drawingml/2006/main">
          <a:off x="1244600" y="3035300"/>
          <a:ext cx="241292" cy="266692"/>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no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l-GR" sz="1100"/>
            <a:t>χ0</a:t>
          </a:r>
          <a:r>
            <a:rPr lang="en-US" sz="1100"/>
            <a:t> (U = 4)</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C3356D1417CF498673CDB42FA71A09"/>
        <w:category>
          <w:name w:val="General"/>
          <w:gallery w:val="placeholder"/>
        </w:category>
        <w:types>
          <w:type w:val="bbPlcHdr"/>
        </w:types>
        <w:behaviors>
          <w:behavior w:val="content"/>
        </w:behaviors>
        <w:guid w:val="{319C1E77-6701-3940-B744-301DD2FF43E2}"/>
      </w:docPartPr>
      <w:docPartBody>
        <w:p w:rsidR="001C5269" w:rsidRDefault="001C5269" w:rsidP="001C5269">
          <w:pPr>
            <w:pStyle w:val="07C3356D1417CF498673CDB42FA71A09"/>
          </w:pPr>
          <w:r>
            <w:t>[Type text]</w:t>
          </w:r>
        </w:p>
      </w:docPartBody>
    </w:docPart>
    <w:docPart>
      <w:docPartPr>
        <w:name w:val="C2157F5BA3384542931157F9DB4659B0"/>
        <w:category>
          <w:name w:val="General"/>
          <w:gallery w:val="placeholder"/>
        </w:category>
        <w:types>
          <w:type w:val="bbPlcHdr"/>
        </w:types>
        <w:behaviors>
          <w:behavior w:val="content"/>
        </w:behaviors>
        <w:guid w:val="{A53F0648-EAF7-A04C-B3A4-94F783C946B8}"/>
      </w:docPartPr>
      <w:docPartBody>
        <w:p w:rsidR="001C5269" w:rsidRDefault="001C5269" w:rsidP="001C5269">
          <w:pPr>
            <w:pStyle w:val="C2157F5BA3384542931157F9DB4659B0"/>
          </w:pPr>
          <w:r>
            <w:t>[Type text]</w:t>
          </w:r>
        </w:p>
      </w:docPartBody>
    </w:docPart>
    <w:docPart>
      <w:docPartPr>
        <w:name w:val="2C0E240AA87BFD4DA970F107C5A0DBCE"/>
        <w:category>
          <w:name w:val="General"/>
          <w:gallery w:val="placeholder"/>
        </w:category>
        <w:types>
          <w:type w:val="bbPlcHdr"/>
        </w:types>
        <w:behaviors>
          <w:behavior w:val="content"/>
        </w:behaviors>
        <w:guid w:val="{753409D9-068D-FB41-9FDC-62947AE30BF3}"/>
      </w:docPartPr>
      <w:docPartBody>
        <w:p w:rsidR="001C5269" w:rsidRDefault="001C5269" w:rsidP="001C5269">
          <w:pPr>
            <w:pStyle w:val="2C0E240AA87BFD4DA970F107C5A0DBC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269"/>
    <w:rsid w:val="0001329C"/>
    <w:rsid w:val="001C5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C3356D1417CF498673CDB42FA71A09">
    <w:name w:val="07C3356D1417CF498673CDB42FA71A09"/>
    <w:rsid w:val="001C5269"/>
  </w:style>
  <w:style w:type="paragraph" w:customStyle="1" w:styleId="C2157F5BA3384542931157F9DB4659B0">
    <w:name w:val="C2157F5BA3384542931157F9DB4659B0"/>
    <w:rsid w:val="001C5269"/>
  </w:style>
  <w:style w:type="paragraph" w:customStyle="1" w:styleId="2C0E240AA87BFD4DA970F107C5A0DBCE">
    <w:name w:val="2C0E240AA87BFD4DA970F107C5A0DBCE"/>
    <w:rsid w:val="001C5269"/>
  </w:style>
  <w:style w:type="paragraph" w:customStyle="1" w:styleId="BF199C65EDECA4419A7781AAC9292647">
    <w:name w:val="BF199C65EDECA4419A7781AAC9292647"/>
    <w:rsid w:val="001C5269"/>
  </w:style>
  <w:style w:type="paragraph" w:customStyle="1" w:styleId="2FA348F0ED00474F848C9AEBBA4E7727">
    <w:name w:val="2FA348F0ED00474F848C9AEBBA4E7727"/>
    <w:rsid w:val="001C5269"/>
  </w:style>
  <w:style w:type="paragraph" w:customStyle="1" w:styleId="718B34C543A59A478496DB1C4F4D35F4">
    <w:name w:val="718B34C543A59A478496DB1C4F4D35F4"/>
    <w:rsid w:val="001C5269"/>
  </w:style>
  <w:style w:type="paragraph" w:customStyle="1" w:styleId="BBDFF4283A4F9A48A153685ACE1AA6A3">
    <w:name w:val="BBDFF4283A4F9A48A153685ACE1AA6A3"/>
    <w:rsid w:val="001C5269"/>
  </w:style>
  <w:style w:type="paragraph" w:customStyle="1" w:styleId="0DDAA9E2E5142C4B98C84D570A90D91E">
    <w:name w:val="0DDAA9E2E5142C4B98C84D570A90D91E"/>
    <w:rsid w:val="001C5269"/>
  </w:style>
  <w:style w:type="paragraph" w:customStyle="1" w:styleId="3E172AB7A00A694FACAD5E54C10E673A">
    <w:name w:val="3E172AB7A00A694FACAD5E54C10E673A"/>
    <w:rsid w:val="001C5269"/>
  </w:style>
  <w:style w:type="paragraph" w:customStyle="1" w:styleId="D9655098A201024CA3DB41A5204B7C00">
    <w:name w:val="D9655098A201024CA3DB41A5204B7C00"/>
    <w:rsid w:val="001C5269"/>
  </w:style>
  <w:style w:type="paragraph" w:customStyle="1" w:styleId="D610C8E962EEDE42BBD67405101BA133">
    <w:name w:val="D610C8E962EEDE42BBD67405101BA133"/>
    <w:rsid w:val="001C5269"/>
  </w:style>
  <w:style w:type="paragraph" w:customStyle="1" w:styleId="F004295D1EB2754B95A39156BD8A9A8B">
    <w:name w:val="F004295D1EB2754B95A39156BD8A9A8B"/>
    <w:rsid w:val="001C52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C3356D1417CF498673CDB42FA71A09">
    <w:name w:val="07C3356D1417CF498673CDB42FA71A09"/>
    <w:rsid w:val="001C5269"/>
  </w:style>
  <w:style w:type="paragraph" w:customStyle="1" w:styleId="C2157F5BA3384542931157F9DB4659B0">
    <w:name w:val="C2157F5BA3384542931157F9DB4659B0"/>
    <w:rsid w:val="001C5269"/>
  </w:style>
  <w:style w:type="paragraph" w:customStyle="1" w:styleId="2C0E240AA87BFD4DA970F107C5A0DBCE">
    <w:name w:val="2C0E240AA87BFD4DA970F107C5A0DBCE"/>
    <w:rsid w:val="001C5269"/>
  </w:style>
  <w:style w:type="paragraph" w:customStyle="1" w:styleId="BF199C65EDECA4419A7781AAC9292647">
    <w:name w:val="BF199C65EDECA4419A7781AAC9292647"/>
    <w:rsid w:val="001C5269"/>
  </w:style>
  <w:style w:type="paragraph" w:customStyle="1" w:styleId="2FA348F0ED00474F848C9AEBBA4E7727">
    <w:name w:val="2FA348F0ED00474F848C9AEBBA4E7727"/>
    <w:rsid w:val="001C5269"/>
  </w:style>
  <w:style w:type="paragraph" w:customStyle="1" w:styleId="718B34C543A59A478496DB1C4F4D35F4">
    <w:name w:val="718B34C543A59A478496DB1C4F4D35F4"/>
    <w:rsid w:val="001C5269"/>
  </w:style>
  <w:style w:type="paragraph" w:customStyle="1" w:styleId="BBDFF4283A4F9A48A153685ACE1AA6A3">
    <w:name w:val="BBDFF4283A4F9A48A153685ACE1AA6A3"/>
    <w:rsid w:val="001C5269"/>
  </w:style>
  <w:style w:type="paragraph" w:customStyle="1" w:styleId="0DDAA9E2E5142C4B98C84D570A90D91E">
    <w:name w:val="0DDAA9E2E5142C4B98C84D570A90D91E"/>
    <w:rsid w:val="001C5269"/>
  </w:style>
  <w:style w:type="paragraph" w:customStyle="1" w:styleId="3E172AB7A00A694FACAD5E54C10E673A">
    <w:name w:val="3E172AB7A00A694FACAD5E54C10E673A"/>
    <w:rsid w:val="001C5269"/>
  </w:style>
  <w:style w:type="paragraph" w:customStyle="1" w:styleId="D9655098A201024CA3DB41A5204B7C00">
    <w:name w:val="D9655098A201024CA3DB41A5204B7C00"/>
    <w:rsid w:val="001C5269"/>
  </w:style>
  <w:style w:type="paragraph" w:customStyle="1" w:styleId="D610C8E962EEDE42BBD67405101BA133">
    <w:name w:val="D610C8E962EEDE42BBD67405101BA133"/>
    <w:rsid w:val="001C5269"/>
  </w:style>
  <w:style w:type="paragraph" w:customStyle="1" w:styleId="F004295D1EB2754B95A39156BD8A9A8B">
    <w:name w:val="F004295D1EB2754B95A39156BD8A9A8B"/>
    <w:rsid w:val="001C52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98310-FBA8-4580-9E91-B0CE2F0CE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Curnan</dc:creator>
  <cp:lastModifiedBy>lM4119</cp:lastModifiedBy>
  <cp:revision>3</cp:revision>
  <cp:lastPrinted>2012-11-14T02:06:00Z</cp:lastPrinted>
  <dcterms:created xsi:type="dcterms:W3CDTF">2012-11-14T02:05:00Z</dcterms:created>
  <dcterms:modified xsi:type="dcterms:W3CDTF">2012-11-14T02:07:00Z</dcterms:modified>
</cp:coreProperties>
</file>