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48E9F" w14:textId="77777777" w:rsidR="004B0D72" w:rsidRPr="004B0D72" w:rsidRDefault="004B0D72" w:rsidP="004B0D72">
      <w:pPr>
        <w:spacing w:after="360"/>
        <w:jc w:val="center"/>
        <w:rPr>
          <w:b/>
          <w:color w:val="000000"/>
          <w:kern w:val="36"/>
          <w:sz w:val="20"/>
          <w:lang w:val="en-US"/>
        </w:rPr>
      </w:pPr>
      <w:r>
        <w:rPr>
          <w:b/>
          <w:color w:val="000000"/>
          <w:kern w:val="36"/>
          <w:sz w:val="28"/>
          <w:lang w:val="en-US"/>
        </w:rPr>
        <w:t>Reading report</w:t>
      </w:r>
      <w:r w:rsidRPr="004B0D72">
        <w:rPr>
          <w:b/>
          <w:color w:val="000000"/>
          <w:kern w:val="36"/>
          <w:sz w:val="28"/>
          <w:lang w:val="en-US"/>
        </w:rPr>
        <w:t xml:space="preserve"> </w:t>
      </w:r>
      <w:r w:rsidRPr="004B0D72">
        <w:rPr>
          <w:b/>
          <w:i/>
          <w:color w:val="000000"/>
          <w:kern w:val="36"/>
          <w:sz w:val="28"/>
          <w:lang w:val="en-US"/>
        </w:rPr>
        <w:t>Interpretationes</w:t>
      </w:r>
      <w:r w:rsidRPr="004B0D72">
        <w:rPr>
          <w:b/>
          <w:color w:val="000000"/>
          <w:kern w:val="36"/>
          <w:sz w:val="28"/>
          <w:lang w:val="en-US"/>
        </w:rPr>
        <w:br/>
      </w:r>
    </w:p>
    <w:p w14:paraId="15703C56" w14:textId="508DA52A" w:rsidR="004B0D72" w:rsidRPr="004B0D72" w:rsidRDefault="004B0D72" w:rsidP="004B0D72">
      <w:pPr>
        <w:spacing w:after="360"/>
        <w:rPr>
          <w:b/>
          <w:color w:val="000000"/>
          <w:kern w:val="36"/>
          <w:lang w:val="en-US"/>
        </w:rPr>
      </w:pPr>
      <w:r w:rsidRPr="004B0D72">
        <w:rPr>
          <w:b/>
          <w:color w:val="000000"/>
          <w:kern w:val="36"/>
          <w:lang w:val="en-US"/>
        </w:rPr>
        <w:t>Title of the article:</w:t>
      </w:r>
      <w:r w:rsidR="00F27F22" w:rsidRPr="00F27F22">
        <w:t xml:space="preserve"> </w:t>
      </w:r>
      <w:r w:rsidR="00F27F22" w:rsidRPr="00F27F22">
        <w:rPr>
          <w:b/>
          <w:color w:val="000000"/>
          <w:kern w:val="36"/>
          <w:lang w:val="en-US"/>
        </w:rPr>
        <w:t>A Chronology of Levinas’s Metaphorics</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9648"/>
      </w:tblGrid>
      <w:tr w:rsidR="004B0D72" w:rsidRPr="004B0D72" w14:paraId="361A3365" w14:textId="77777777" w:rsidTr="00740647">
        <w:tc>
          <w:tcPr>
            <w:tcW w:w="9648" w:type="dxa"/>
            <w:shd w:val="clear" w:color="auto" w:fill="FFFFFF"/>
          </w:tcPr>
          <w:p w14:paraId="0DC7692A" w14:textId="77777777" w:rsidR="004B0D72" w:rsidRPr="004B0D72" w:rsidRDefault="004B0D72" w:rsidP="00740647">
            <w:pPr>
              <w:spacing w:before="120" w:after="120"/>
              <w:rPr>
                <w:lang w:val="en-US"/>
              </w:rPr>
            </w:pPr>
            <w:r w:rsidRPr="004B0D72">
              <w:rPr>
                <w:b/>
                <w:lang w:val="en-US"/>
              </w:rPr>
              <w:t>Global evaluation</w:t>
            </w:r>
            <w:r>
              <w:rPr>
                <w:b/>
                <w:lang w:val="en-US"/>
              </w:rPr>
              <w:t>:</w:t>
            </w:r>
          </w:p>
        </w:tc>
      </w:tr>
      <w:tr w:rsidR="004B0D72" w:rsidRPr="005C3B5D" w14:paraId="4714995E" w14:textId="77777777" w:rsidTr="00740647">
        <w:tc>
          <w:tcPr>
            <w:tcW w:w="9648" w:type="dxa"/>
          </w:tcPr>
          <w:p w14:paraId="263279F1" w14:textId="77777777" w:rsidR="004B0D72" w:rsidRPr="004B0D72" w:rsidRDefault="004B0D72" w:rsidP="00740647">
            <w:pPr>
              <w:spacing w:before="120" w:after="80"/>
              <w:rPr>
                <w:lang w:val="en-US"/>
              </w:rPr>
            </w:pPr>
            <w:r w:rsidRPr="004B0D72">
              <w:rPr>
                <w:color w:val="FF0000"/>
                <w:lang w:val="en-US"/>
              </w:rPr>
              <w:t>___</w:t>
            </w:r>
            <w:r w:rsidRPr="004B0D72">
              <w:rPr>
                <w:lang w:val="en-US"/>
              </w:rPr>
              <w:tab/>
            </w:r>
            <w:r>
              <w:rPr>
                <w:lang w:val="en-US"/>
              </w:rPr>
              <w:t>The article can be published as it is</w:t>
            </w:r>
          </w:p>
          <w:p w14:paraId="797CDAA1" w14:textId="1F93716B" w:rsidR="004B0D72" w:rsidRPr="004B0D72" w:rsidRDefault="004B0D72" w:rsidP="00740647">
            <w:pPr>
              <w:spacing w:after="80"/>
              <w:rPr>
                <w:lang w:val="en-US"/>
              </w:rPr>
            </w:pPr>
            <w:r w:rsidRPr="004B0D72">
              <w:rPr>
                <w:color w:val="FF0000"/>
                <w:lang w:val="en-US"/>
              </w:rPr>
              <w:t>__</w:t>
            </w:r>
            <w:r w:rsidR="00A03444">
              <w:rPr>
                <w:color w:val="FF0000"/>
                <w:lang w:val="en-US"/>
              </w:rPr>
              <w:t>x</w:t>
            </w:r>
            <w:r w:rsidRPr="004B0D72">
              <w:rPr>
                <w:color w:val="FF0000"/>
                <w:lang w:val="en-US"/>
              </w:rPr>
              <w:t>_</w:t>
            </w:r>
            <w:r w:rsidRPr="004B0D72">
              <w:rPr>
                <w:lang w:val="en-US"/>
              </w:rPr>
              <w:tab/>
            </w:r>
            <w:r>
              <w:rPr>
                <w:lang w:val="en-US"/>
              </w:rPr>
              <w:t>The article can be published</w:t>
            </w:r>
            <w:r w:rsidRPr="004B0D72">
              <w:rPr>
                <w:lang w:val="en-US"/>
              </w:rPr>
              <w:t xml:space="preserve">, </w:t>
            </w:r>
            <w:r>
              <w:rPr>
                <w:lang w:val="en-US"/>
              </w:rPr>
              <w:t>but it requires minor modifications before print</w:t>
            </w:r>
          </w:p>
          <w:p w14:paraId="45DC48A6" w14:textId="77777777" w:rsidR="004B0D72" w:rsidRPr="004B0D72" w:rsidRDefault="004B0D72" w:rsidP="00740647">
            <w:pPr>
              <w:spacing w:after="80"/>
              <w:rPr>
                <w:lang w:val="en-US"/>
              </w:rPr>
            </w:pPr>
            <w:r w:rsidRPr="004B0D72">
              <w:rPr>
                <w:color w:val="FF0000"/>
                <w:lang w:val="en-US"/>
              </w:rPr>
              <w:t>___</w:t>
            </w:r>
            <w:r w:rsidRPr="004B0D72">
              <w:rPr>
                <w:lang w:val="en-US"/>
              </w:rPr>
              <w:tab/>
            </w:r>
            <w:r>
              <w:rPr>
                <w:lang w:val="en-US"/>
              </w:rPr>
              <w:t>The article</w:t>
            </w:r>
            <w:r w:rsidRPr="004B0D72">
              <w:rPr>
                <w:lang w:val="en-US"/>
              </w:rPr>
              <w:t xml:space="preserve"> </w:t>
            </w:r>
            <w:r>
              <w:rPr>
                <w:lang w:val="en-US"/>
              </w:rPr>
              <w:t>requires major modifications for a new submission to the board</w:t>
            </w:r>
          </w:p>
          <w:p w14:paraId="2EDBF361" w14:textId="77777777" w:rsidR="004B0D72" w:rsidRPr="004B0D72" w:rsidRDefault="004B0D72" w:rsidP="004B0D72">
            <w:pPr>
              <w:spacing w:after="240"/>
              <w:rPr>
                <w:lang w:val="en-US"/>
              </w:rPr>
            </w:pPr>
            <w:r w:rsidRPr="004B0D72">
              <w:rPr>
                <w:color w:val="FF0000"/>
                <w:lang w:val="en-US"/>
              </w:rPr>
              <w:t>___</w:t>
            </w:r>
            <w:r w:rsidRPr="004B0D72">
              <w:rPr>
                <w:lang w:val="en-US"/>
              </w:rPr>
              <w:tab/>
            </w:r>
            <w:r>
              <w:rPr>
                <w:lang w:val="en-US"/>
              </w:rPr>
              <w:t>The article should be rejected</w:t>
            </w:r>
          </w:p>
        </w:tc>
      </w:tr>
    </w:tbl>
    <w:p w14:paraId="7C4C8FC6" w14:textId="77777777" w:rsidR="004B0D72" w:rsidRPr="004B0D72" w:rsidRDefault="004B0D72" w:rsidP="004B0D72">
      <w:pPr>
        <w:pStyle w:val="comment"/>
        <w:spacing w:before="0" w:after="0"/>
        <w:rPr>
          <w:lang w:val="en-US"/>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7668"/>
        <w:gridCol w:w="1080"/>
        <w:gridCol w:w="900"/>
      </w:tblGrid>
      <w:tr w:rsidR="004B0D72" w:rsidRPr="005C3B5D" w14:paraId="1D7650ED" w14:textId="77777777" w:rsidTr="00740647">
        <w:tc>
          <w:tcPr>
            <w:tcW w:w="9648" w:type="dxa"/>
            <w:gridSpan w:val="3"/>
            <w:shd w:val="clear" w:color="auto" w:fill="FFFFFF"/>
          </w:tcPr>
          <w:p w14:paraId="20349CF6" w14:textId="77777777" w:rsidR="004B0D72" w:rsidRPr="004B0D72" w:rsidRDefault="004B0D72" w:rsidP="004B0D72">
            <w:pPr>
              <w:spacing w:before="120" w:after="120"/>
              <w:rPr>
                <w:b/>
                <w:lang w:val="en-US"/>
              </w:rPr>
            </w:pPr>
            <w:r w:rsidRPr="004B0D72">
              <w:rPr>
                <w:b/>
                <w:lang w:val="en-US"/>
              </w:rPr>
              <w:t>General commen</w:t>
            </w:r>
            <w:r>
              <w:rPr>
                <w:b/>
                <w:lang w:val="en-US"/>
              </w:rPr>
              <w:t>ts about</w:t>
            </w:r>
            <w:r w:rsidRPr="004B0D72">
              <w:rPr>
                <w:b/>
                <w:lang w:val="en-US"/>
              </w:rPr>
              <w:t xml:space="preserve"> the article and suggestions to the author</w:t>
            </w:r>
            <w:r>
              <w:rPr>
                <w:b/>
                <w:lang w:val="en-US"/>
              </w:rPr>
              <w:t>:</w:t>
            </w:r>
            <w:r w:rsidRPr="004B0D72">
              <w:rPr>
                <w:b/>
                <w:lang w:val="en-US"/>
              </w:rPr>
              <w:t xml:space="preserve"> </w:t>
            </w:r>
          </w:p>
        </w:tc>
      </w:tr>
      <w:tr w:rsidR="004B0D72" w:rsidRPr="005C3B5D" w14:paraId="5F01BF65" w14:textId="77777777" w:rsidTr="00740647">
        <w:trPr>
          <w:trHeight w:val="4857"/>
        </w:trPr>
        <w:tc>
          <w:tcPr>
            <w:tcW w:w="9648" w:type="dxa"/>
            <w:gridSpan w:val="3"/>
          </w:tcPr>
          <w:p w14:paraId="5F0B597B" w14:textId="77777777" w:rsidR="004B0D72" w:rsidRPr="004B0D72" w:rsidRDefault="004B0D72" w:rsidP="00740647">
            <w:pPr>
              <w:rPr>
                <w:lang w:val="en-US"/>
              </w:rPr>
            </w:pPr>
          </w:p>
          <w:p w14:paraId="02F1222A" w14:textId="6FD0C711" w:rsidR="004B0D72" w:rsidRDefault="00583093" w:rsidP="00740647">
            <w:pPr>
              <w:rPr>
                <w:lang w:val="en-US"/>
              </w:rPr>
            </w:pPr>
            <w:r>
              <w:rPr>
                <w:lang w:val="en-US"/>
              </w:rPr>
              <w:t>This person has clearly read Levinas in depth and displays a thick knowledge of his metaphorical apparatus. In general, a good deep dive into Levinas’ linguistic choices. Demonstrates an understanding of the place of tension and antinomy in Levinas’ work, the way that he consistently returns to his key ideas, restating them, delving deeper into the tension.</w:t>
            </w:r>
          </w:p>
          <w:p w14:paraId="3771BFC7" w14:textId="21D6FEA6" w:rsidR="00583093" w:rsidRDefault="00583093" w:rsidP="00740647">
            <w:pPr>
              <w:rPr>
                <w:lang w:val="en-US"/>
              </w:rPr>
            </w:pPr>
          </w:p>
          <w:p w14:paraId="4FF3F979" w14:textId="45F3592A" w:rsidR="00583093" w:rsidRDefault="00583093" w:rsidP="00740647">
            <w:pPr>
              <w:rPr>
                <w:lang w:val="en-US"/>
              </w:rPr>
            </w:pPr>
            <w:r>
              <w:rPr>
                <w:lang w:val="en-US"/>
              </w:rPr>
              <w:t>The least convincing aspects of the argument are the disputes with other theorists. It feels as though those philosophers with whom the author is arguing are being made foils, but their characterization of those opposing positions feels a little forced. I think the author overstates the positions of their opponents. Perhaps more pertinent quotes would  help?</w:t>
            </w:r>
          </w:p>
          <w:p w14:paraId="23B06EA3" w14:textId="4291168A" w:rsidR="00583093" w:rsidRDefault="00583093" w:rsidP="00740647">
            <w:pPr>
              <w:rPr>
                <w:lang w:val="en-US"/>
              </w:rPr>
            </w:pPr>
          </w:p>
          <w:p w14:paraId="531A963B" w14:textId="4FE1F4C0" w:rsidR="00583093" w:rsidRDefault="00583093" w:rsidP="00740647">
            <w:pPr>
              <w:rPr>
                <w:lang w:val="en-US"/>
              </w:rPr>
            </w:pPr>
            <w:r>
              <w:rPr>
                <w:lang w:val="en-US"/>
              </w:rPr>
              <w:t>This is a weakness in the conclusion also. The author could state their conclusions about Levinas’ use of metaphor and other rhetorical strategies to present tension. There could still be glancing references to other positions, but, again, the dispute would have to be demonstrated more clearly.</w:t>
            </w:r>
          </w:p>
          <w:p w14:paraId="2A774889" w14:textId="3D2680FE" w:rsidR="00583093" w:rsidRDefault="00583093" w:rsidP="00740647">
            <w:pPr>
              <w:rPr>
                <w:lang w:val="en-US"/>
              </w:rPr>
            </w:pPr>
          </w:p>
          <w:p w14:paraId="62410DDA" w14:textId="77777777" w:rsidR="00583093" w:rsidRPr="00583093" w:rsidRDefault="00583093" w:rsidP="00583093">
            <w:pPr>
              <w:rPr>
                <w:lang w:val="en-US"/>
              </w:rPr>
            </w:pPr>
            <w:r>
              <w:rPr>
                <w:lang w:val="en-US"/>
              </w:rPr>
              <w:t xml:space="preserve">One big suggestion: look at the chronological development of Levinas’ thinking. Example: with regard to gender, he really does, in Time and the Other and in Totality and Infinity, present us (automatically it seems) with a male subject (although he complicates this in The Phenomenology of Eros; see: </w:t>
            </w:r>
            <w:r w:rsidRPr="00583093">
              <w:rPr>
                <w:lang w:val="en-US"/>
              </w:rPr>
              <w:t>L'AIMÉ QUI EST L'AIMÉE: Can Levinas' Beloved Be Queer?</w:t>
            </w:r>
          </w:p>
          <w:p w14:paraId="74BD3F9B" w14:textId="77777777" w:rsidR="00583093" w:rsidRPr="00583093" w:rsidRDefault="00583093" w:rsidP="00583093">
            <w:pPr>
              <w:rPr>
                <w:lang w:val="en-US"/>
              </w:rPr>
            </w:pPr>
            <w:r w:rsidRPr="00583093">
              <w:rPr>
                <w:lang w:val="en-US"/>
              </w:rPr>
              <w:t>Robin Podolsky</w:t>
            </w:r>
          </w:p>
          <w:p w14:paraId="1B3E0E3A" w14:textId="77777777" w:rsidR="00583093" w:rsidRPr="00583093" w:rsidRDefault="00583093" w:rsidP="00583093">
            <w:pPr>
              <w:rPr>
                <w:lang w:val="en-US"/>
              </w:rPr>
            </w:pPr>
            <w:r w:rsidRPr="00583093">
              <w:rPr>
                <w:lang w:val="en-US"/>
              </w:rPr>
              <w:t>European Judaism: A Journal for the New Europe</w:t>
            </w:r>
          </w:p>
          <w:p w14:paraId="092F6638" w14:textId="48D4BAB5" w:rsidR="00583093" w:rsidRDefault="00583093" w:rsidP="00B639CA">
            <w:pPr>
              <w:rPr>
                <w:lang w:val="en-US"/>
              </w:rPr>
            </w:pPr>
            <w:r w:rsidRPr="00583093">
              <w:rPr>
                <w:lang w:val="en-US"/>
              </w:rPr>
              <w:t>Vol. 49, No. 2 (Autumn 2016), pp. 50-70</w:t>
            </w:r>
            <w:r w:rsidR="00B639CA">
              <w:rPr>
                <w:lang w:val="en-US"/>
              </w:rPr>
              <w:t>). It’s only by the time we get to Otherwise than being that he elaborates his thinking about maternity and only in later interviews in the 1990s that he is willing to consider the male/female in every person a</w:t>
            </w:r>
            <w:r w:rsidR="00E47A24">
              <w:rPr>
                <w:lang w:val="en-US"/>
              </w:rPr>
              <w:t>s something positive (not the Neuter).</w:t>
            </w:r>
          </w:p>
          <w:p w14:paraId="3AD2F4B3" w14:textId="576654FD" w:rsidR="00583093" w:rsidRPr="004B0D72" w:rsidRDefault="00583093" w:rsidP="00740647">
            <w:pPr>
              <w:rPr>
                <w:lang w:val="en-US"/>
              </w:rPr>
            </w:pPr>
          </w:p>
          <w:p w14:paraId="77B859EE" w14:textId="6BC30332" w:rsidR="004B0D72" w:rsidRDefault="00583093" w:rsidP="00740647">
            <w:pPr>
              <w:rPr>
                <w:lang w:val="en-US"/>
              </w:rPr>
            </w:pPr>
            <w:r>
              <w:rPr>
                <w:lang w:val="en-US"/>
              </w:rPr>
              <w:t>This piece really s</w:t>
            </w:r>
            <w:r w:rsidR="00C91890">
              <w:rPr>
                <w:lang w:val="en-US"/>
              </w:rPr>
              <w:t>tarts to pick up around pg 11</w:t>
            </w:r>
            <w:r>
              <w:rPr>
                <w:lang w:val="en-US"/>
              </w:rPr>
              <w:t xml:space="preserve"> when the author digs into their own reading of Levinas.</w:t>
            </w:r>
            <w:r w:rsidR="00E47A24">
              <w:rPr>
                <w:lang w:val="en-US"/>
              </w:rPr>
              <w:t xml:space="preserve"> </w:t>
            </w:r>
          </w:p>
          <w:p w14:paraId="335E8DBA" w14:textId="60F2C757" w:rsidR="00E47A24" w:rsidRPr="004B0D72" w:rsidRDefault="00E47A24" w:rsidP="00740647">
            <w:pPr>
              <w:rPr>
                <w:lang w:val="en-US"/>
              </w:rPr>
            </w:pPr>
            <w:r>
              <w:rPr>
                <w:lang w:val="en-US"/>
              </w:rPr>
              <w:t>I would suggest a rewrite of the beginning and conclusion and some edits in the middle suggested below.</w:t>
            </w:r>
          </w:p>
          <w:p w14:paraId="765EF3E6" w14:textId="77777777" w:rsidR="004B0D72" w:rsidRPr="004B0D72" w:rsidRDefault="004B0D72" w:rsidP="00740647">
            <w:pPr>
              <w:rPr>
                <w:lang w:val="en-US"/>
              </w:rPr>
            </w:pPr>
          </w:p>
          <w:p w14:paraId="33BFB9D0" w14:textId="77777777" w:rsidR="004B0D72" w:rsidRPr="004B0D72" w:rsidRDefault="004B0D72" w:rsidP="00740647">
            <w:pPr>
              <w:rPr>
                <w:lang w:val="en-US"/>
              </w:rPr>
            </w:pPr>
          </w:p>
          <w:p w14:paraId="5D4832C2" w14:textId="77777777" w:rsidR="004B0D72" w:rsidRPr="004B0D72" w:rsidRDefault="004B0D72" w:rsidP="00740647">
            <w:pPr>
              <w:rPr>
                <w:lang w:val="en-US"/>
              </w:rPr>
            </w:pPr>
          </w:p>
          <w:p w14:paraId="35D02048" w14:textId="77777777" w:rsidR="004B0D72" w:rsidRPr="004B0D72" w:rsidRDefault="004B0D72" w:rsidP="00740647">
            <w:pPr>
              <w:rPr>
                <w:lang w:val="en-US"/>
              </w:rPr>
            </w:pPr>
          </w:p>
          <w:p w14:paraId="0C7341E7" w14:textId="77777777" w:rsidR="004B0D72" w:rsidRPr="004B0D72" w:rsidRDefault="004B0D72" w:rsidP="00740647">
            <w:pPr>
              <w:rPr>
                <w:lang w:val="en-US"/>
              </w:rPr>
            </w:pPr>
          </w:p>
          <w:p w14:paraId="3CB3E2EE" w14:textId="77777777" w:rsidR="004B0D72" w:rsidRPr="004B0D72" w:rsidRDefault="004B0D72" w:rsidP="00740647">
            <w:pPr>
              <w:rPr>
                <w:lang w:val="en-US"/>
              </w:rPr>
            </w:pPr>
          </w:p>
          <w:p w14:paraId="5C159E26" w14:textId="77777777" w:rsidR="004B0D72" w:rsidRPr="004B0D72" w:rsidRDefault="004B0D72" w:rsidP="00740647">
            <w:pPr>
              <w:rPr>
                <w:lang w:val="en-US"/>
              </w:rPr>
            </w:pPr>
          </w:p>
          <w:p w14:paraId="446101E7" w14:textId="77777777" w:rsidR="004B0D72" w:rsidRPr="004B0D72" w:rsidRDefault="004B0D72" w:rsidP="00740647">
            <w:pPr>
              <w:rPr>
                <w:lang w:val="en-US"/>
              </w:rPr>
            </w:pPr>
          </w:p>
          <w:p w14:paraId="5892DC8C" w14:textId="77777777" w:rsidR="004B0D72" w:rsidRPr="004B0D72" w:rsidRDefault="004B0D72" w:rsidP="00740647">
            <w:pPr>
              <w:rPr>
                <w:lang w:val="en-US"/>
              </w:rPr>
            </w:pPr>
          </w:p>
          <w:p w14:paraId="1523DAB4" w14:textId="77777777" w:rsidR="004B0D72" w:rsidRPr="004B0D72" w:rsidRDefault="004B0D72" w:rsidP="00740647">
            <w:pPr>
              <w:rPr>
                <w:lang w:val="en-US"/>
              </w:rPr>
            </w:pPr>
          </w:p>
          <w:p w14:paraId="1B89D7D3" w14:textId="77777777" w:rsidR="004B0D72" w:rsidRPr="004B0D72" w:rsidRDefault="004B0D72" w:rsidP="00740647">
            <w:pPr>
              <w:rPr>
                <w:lang w:val="en-US"/>
              </w:rPr>
            </w:pPr>
          </w:p>
          <w:p w14:paraId="1229887B" w14:textId="77777777" w:rsidR="004B0D72" w:rsidRPr="004B0D72" w:rsidRDefault="004B0D72" w:rsidP="00740647">
            <w:pPr>
              <w:rPr>
                <w:lang w:val="en-US"/>
              </w:rPr>
            </w:pPr>
          </w:p>
          <w:p w14:paraId="5E658D74" w14:textId="77777777" w:rsidR="004B0D72" w:rsidRPr="004B0D72" w:rsidRDefault="004B0D72" w:rsidP="00740647">
            <w:pPr>
              <w:rPr>
                <w:lang w:val="en-US"/>
              </w:rPr>
            </w:pPr>
          </w:p>
          <w:p w14:paraId="78F092DF" w14:textId="77777777" w:rsidR="004B0D72" w:rsidRPr="004B0D72" w:rsidRDefault="004B0D72" w:rsidP="00740647">
            <w:pPr>
              <w:rPr>
                <w:lang w:val="en-US"/>
              </w:rPr>
            </w:pPr>
          </w:p>
          <w:p w14:paraId="403F7F41" w14:textId="77777777" w:rsidR="004B0D72" w:rsidRPr="004B0D72" w:rsidRDefault="004B0D72" w:rsidP="00740647">
            <w:pPr>
              <w:rPr>
                <w:lang w:val="en-US"/>
              </w:rPr>
            </w:pPr>
          </w:p>
        </w:tc>
      </w:tr>
      <w:tr w:rsidR="004B0D72" w:rsidRPr="005C3B5D" w14:paraId="038AE2BD" w14:textId="77777777" w:rsidTr="00740647">
        <w:trPr>
          <w:gridAfter w:val="1"/>
          <w:wAfter w:w="900" w:type="dxa"/>
        </w:trPr>
        <w:tc>
          <w:tcPr>
            <w:tcW w:w="8748" w:type="dxa"/>
            <w:gridSpan w:val="2"/>
            <w:shd w:val="clear" w:color="auto" w:fill="FFFFFF"/>
          </w:tcPr>
          <w:p w14:paraId="61187D46" w14:textId="77777777" w:rsidR="004B0D72" w:rsidRPr="00A03809" w:rsidRDefault="004B0D72" w:rsidP="004B0D72">
            <w:pPr>
              <w:rPr>
                <w:b/>
                <w:lang w:val="en-US"/>
              </w:rPr>
            </w:pPr>
            <w:r w:rsidRPr="00A03809">
              <w:rPr>
                <w:b/>
                <w:lang w:val="en-US"/>
              </w:rPr>
              <w:lastRenderedPageBreak/>
              <w:t xml:space="preserve">Does the author clearly presents: </w:t>
            </w:r>
          </w:p>
        </w:tc>
      </w:tr>
      <w:tr w:rsidR="004B0D72" w:rsidRPr="004B0D72" w14:paraId="70180238" w14:textId="77777777" w:rsidTr="00740647">
        <w:trPr>
          <w:gridAfter w:val="1"/>
          <w:wAfter w:w="900" w:type="dxa"/>
        </w:trPr>
        <w:tc>
          <w:tcPr>
            <w:tcW w:w="7668" w:type="dxa"/>
            <w:shd w:val="clear" w:color="auto" w:fill="FFFFFF"/>
          </w:tcPr>
          <w:p w14:paraId="02292D41" w14:textId="77777777" w:rsidR="004B0D72" w:rsidRPr="004B0D72" w:rsidRDefault="004B0D72" w:rsidP="004B0D72">
            <w:pPr>
              <w:spacing w:before="40" w:after="40"/>
              <w:rPr>
                <w:lang w:val="en-US"/>
              </w:rPr>
            </w:pPr>
            <w:r>
              <w:rPr>
                <w:lang w:val="en-US"/>
              </w:rPr>
              <w:t>His/her objectives</w:t>
            </w:r>
            <w:r w:rsidRPr="004B0D72">
              <w:rPr>
                <w:lang w:val="en-US"/>
              </w:rPr>
              <w:t>?</w:t>
            </w:r>
          </w:p>
        </w:tc>
        <w:tc>
          <w:tcPr>
            <w:tcW w:w="1080" w:type="dxa"/>
            <w:vAlign w:val="center"/>
          </w:tcPr>
          <w:p w14:paraId="00B9B9C2" w14:textId="59FAD703" w:rsidR="004B0D72" w:rsidRPr="004B0D72" w:rsidRDefault="00843E1C" w:rsidP="00740647">
            <w:pPr>
              <w:rPr>
                <w:color w:val="FF0000"/>
                <w:lang w:val="en-US"/>
              </w:rPr>
            </w:pPr>
            <w:r>
              <w:rPr>
                <w:color w:val="FF0000"/>
                <w:lang w:val="en-US"/>
              </w:rPr>
              <w:t>2</w:t>
            </w:r>
          </w:p>
        </w:tc>
      </w:tr>
      <w:tr w:rsidR="004B0D72" w:rsidRPr="005C3B5D" w14:paraId="7F914587" w14:textId="77777777" w:rsidTr="00740647">
        <w:trPr>
          <w:gridAfter w:val="1"/>
          <w:wAfter w:w="900" w:type="dxa"/>
        </w:trPr>
        <w:tc>
          <w:tcPr>
            <w:tcW w:w="7668" w:type="dxa"/>
            <w:shd w:val="clear" w:color="auto" w:fill="FFFFFF"/>
          </w:tcPr>
          <w:p w14:paraId="641A1EC3" w14:textId="77777777" w:rsidR="004B0D72" w:rsidRPr="004B0D72" w:rsidRDefault="004B0D72" w:rsidP="004B0D72">
            <w:pPr>
              <w:spacing w:before="40" w:after="40"/>
              <w:rPr>
                <w:lang w:val="en-US"/>
              </w:rPr>
            </w:pPr>
            <w:r>
              <w:rPr>
                <w:lang w:val="en-US"/>
              </w:rPr>
              <w:t>The innovative character of his/her contribution</w:t>
            </w:r>
            <w:r w:rsidRPr="004B0D72">
              <w:rPr>
                <w:lang w:val="en-US"/>
              </w:rPr>
              <w:t>?</w:t>
            </w:r>
          </w:p>
        </w:tc>
        <w:tc>
          <w:tcPr>
            <w:tcW w:w="1080" w:type="dxa"/>
            <w:vAlign w:val="center"/>
          </w:tcPr>
          <w:p w14:paraId="591B18BF" w14:textId="41EA70EC" w:rsidR="004B0D72" w:rsidRPr="004B0D72" w:rsidRDefault="00843E1C" w:rsidP="00740647">
            <w:pPr>
              <w:rPr>
                <w:color w:val="FF0000"/>
                <w:lang w:val="en-US"/>
              </w:rPr>
            </w:pPr>
            <w:r>
              <w:rPr>
                <w:color w:val="FF0000"/>
                <w:lang w:val="en-US"/>
              </w:rPr>
              <w:t>3</w:t>
            </w:r>
          </w:p>
        </w:tc>
      </w:tr>
      <w:tr w:rsidR="004B0D72" w:rsidRPr="005C3B5D" w14:paraId="0B12488F" w14:textId="77777777" w:rsidTr="00740647">
        <w:trPr>
          <w:gridAfter w:val="1"/>
          <w:wAfter w:w="900" w:type="dxa"/>
        </w:trPr>
        <w:tc>
          <w:tcPr>
            <w:tcW w:w="7668" w:type="dxa"/>
            <w:shd w:val="clear" w:color="auto" w:fill="FFFFFF"/>
          </w:tcPr>
          <w:p w14:paraId="03254CB3" w14:textId="77777777" w:rsidR="004B0D72" w:rsidRPr="004B0D72" w:rsidRDefault="004B0D72" w:rsidP="004B0D72">
            <w:pPr>
              <w:spacing w:before="40" w:after="40"/>
              <w:rPr>
                <w:lang w:val="en-US"/>
              </w:rPr>
            </w:pPr>
            <w:r>
              <w:rPr>
                <w:lang w:val="en-US"/>
              </w:rPr>
              <w:t>The hypotheses he/she proposes</w:t>
            </w:r>
            <w:r w:rsidRPr="004B0D72">
              <w:rPr>
                <w:lang w:val="en-US"/>
              </w:rPr>
              <w:t>?</w:t>
            </w:r>
          </w:p>
        </w:tc>
        <w:tc>
          <w:tcPr>
            <w:tcW w:w="1080" w:type="dxa"/>
            <w:vAlign w:val="center"/>
          </w:tcPr>
          <w:p w14:paraId="48FC1DDB" w14:textId="071780A9" w:rsidR="004B0D72" w:rsidRPr="004B0D72" w:rsidRDefault="00843E1C" w:rsidP="00740647">
            <w:pPr>
              <w:rPr>
                <w:color w:val="FF0000"/>
                <w:lang w:val="en-US"/>
              </w:rPr>
            </w:pPr>
            <w:r>
              <w:rPr>
                <w:color w:val="FF0000"/>
                <w:lang w:val="en-US"/>
              </w:rPr>
              <w:t>2</w:t>
            </w:r>
          </w:p>
        </w:tc>
      </w:tr>
      <w:tr w:rsidR="004B0D72" w:rsidRPr="005C3B5D" w14:paraId="742B3491" w14:textId="77777777" w:rsidTr="00740647">
        <w:trPr>
          <w:gridAfter w:val="1"/>
          <w:wAfter w:w="900" w:type="dxa"/>
        </w:trPr>
        <w:tc>
          <w:tcPr>
            <w:tcW w:w="7668" w:type="dxa"/>
            <w:shd w:val="clear" w:color="auto" w:fill="FFFFFF"/>
          </w:tcPr>
          <w:p w14:paraId="577652F1" w14:textId="77777777" w:rsidR="004B0D72" w:rsidRPr="004B0D72" w:rsidRDefault="004B0D72" w:rsidP="004B0D72">
            <w:pPr>
              <w:spacing w:before="40" w:after="40"/>
              <w:rPr>
                <w:lang w:val="en-US"/>
              </w:rPr>
            </w:pPr>
            <w:r w:rsidRPr="004B0D72">
              <w:rPr>
                <w:lang w:val="en-US"/>
              </w:rPr>
              <w:t xml:space="preserve">A convincing justification of his/her conceptual, theoretical or </w:t>
            </w:r>
            <w:r w:rsidR="00DA0EA9" w:rsidRPr="004B0D72">
              <w:rPr>
                <w:lang w:val="en-US"/>
              </w:rPr>
              <w:t>practical choices</w:t>
            </w:r>
            <w:r w:rsidRPr="004B0D72">
              <w:rPr>
                <w:lang w:val="en-US"/>
              </w:rPr>
              <w:t>?</w:t>
            </w:r>
          </w:p>
        </w:tc>
        <w:tc>
          <w:tcPr>
            <w:tcW w:w="1080" w:type="dxa"/>
            <w:vAlign w:val="center"/>
          </w:tcPr>
          <w:p w14:paraId="7158BBD8" w14:textId="2BAF7C75" w:rsidR="004B0D72" w:rsidRPr="004B0D72" w:rsidRDefault="00843E1C" w:rsidP="00740647">
            <w:pPr>
              <w:rPr>
                <w:color w:val="FF0000"/>
                <w:lang w:val="en-US"/>
              </w:rPr>
            </w:pPr>
            <w:r>
              <w:rPr>
                <w:color w:val="FF0000"/>
                <w:lang w:val="en-US"/>
              </w:rPr>
              <w:t>3</w:t>
            </w:r>
          </w:p>
        </w:tc>
      </w:tr>
      <w:tr w:rsidR="004B0D72" w:rsidRPr="004B0D72" w14:paraId="339E0BE8" w14:textId="77777777" w:rsidTr="00740647">
        <w:trPr>
          <w:gridAfter w:val="1"/>
          <w:wAfter w:w="900" w:type="dxa"/>
        </w:trPr>
        <w:tc>
          <w:tcPr>
            <w:tcW w:w="7668" w:type="dxa"/>
            <w:shd w:val="clear" w:color="auto" w:fill="FFFFFF"/>
          </w:tcPr>
          <w:p w14:paraId="388C9C7B" w14:textId="77777777" w:rsidR="004B0D72" w:rsidRPr="004B0D72" w:rsidRDefault="004B0D72" w:rsidP="004B0D72">
            <w:pPr>
              <w:spacing w:before="40" w:after="40"/>
            </w:pPr>
            <w:r w:rsidRPr="004B0D72">
              <w:t>The research methodology employed?</w:t>
            </w:r>
          </w:p>
        </w:tc>
        <w:tc>
          <w:tcPr>
            <w:tcW w:w="1080" w:type="dxa"/>
            <w:vAlign w:val="center"/>
          </w:tcPr>
          <w:p w14:paraId="055BF3A1" w14:textId="06465CAA" w:rsidR="004B0D72" w:rsidRPr="004B0D72" w:rsidRDefault="00843E1C" w:rsidP="00740647">
            <w:pPr>
              <w:rPr>
                <w:color w:val="FF0000"/>
              </w:rPr>
            </w:pPr>
            <w:r>
              <w:rPr>
                <w:color w:val="FF0000"/>
              </w:rPr>
              <w:t>2</w:t>
            </w:r>
          </w:p>
        </w:tc>
      </w:tr>
      <w:tr w:rsidR="004B0D72" w:rsidRPr="005C3B5D" w14:paraId="13FEC1AC" w14:textId="77777777" w:rsidTr="00740647">
        <w:trPr>
          <w:gridAfter w:val="1"/>
          <w:wAfter w:w="900" w:type="dxa"/>
        </w:trPr>
        <w:tc>
          <w:tcPr>
            <w:tcW w:w="7668" w:type="dxa"/>
            <w:shd w:val="clear" w:color="auto" w:fill="FFFFFF"/>
          </w:tcPr>
          <w:p w14:paraId="513B8165" w14:textId="77777777" w:rsidR="004B0D72" w:rsidRPr="004B0D72" w:rsidRDefault="004B0D72" w:rsidP="004B0D72">
            <w:pPr>
              <w:spacing w:before="40" w:after="40"/>
              <w:rPr>
                <w:lang w:val="en-US"/>
              </w:rPr>
            </w:pPr>
            <w:r w:rsidRPr="004B0D72">
              <w:rPr>
                <w:lang w:val="en-US"/>
              </w:rPr>
              <w:t>Conclusions about his/her work sufficiently justified?</w:t>
            </w:r>
          </w:p>
        </w:tc>
        <w:tc>
          <w:tcPr>
            <w:tcW w:w="1080" w:type="dxa"/>
            <w:vAlign w:val="center"/>
          </w:tcPr>
          <w:p w14:paraId="72DFEFC8" w14:textId="545D9629" w:rsidR="004B0D72" w:rsidRPr="004B0D72" w:rsidRDefault="00843E1C" w:rsidP="00740647">
            <w:pPr>
              <w:rPr>
                <w:color w:val="FF0000"/>
                <w:lang w:val="en-US"/>
              </w:rPr>
            </w:pPr>
            <w:r>
              <w:rPr>
                <w:color w:val="FF0000"/>
                <w:lang w:val="en-US"/>
              </w:rPr>
              <w:t>2</w:t>
            </w:r>
          </w:p>
        </w:tc>
      </w:tr>
    </w:tbl>
    <w:p w14:paraId="2F589A42" w14:textId="77777777" w:rsidR="004B0D72" w:rsidRPr="00DA0EA9" w:rsidRDefault="00DA0EA9" w:rsidP="004B0D72">
      <w:pPr>
        <w:pStyle w:val="comment"/>
        <w:spacing w:after="600"/>
        <w:rPr>
          <w:lang w:val="en-US"/>
        </w:rPr>
      </w:pPr>
      <w:r w:rsidRPr="00DA0EA9">
        <w:rPr>
          <w:lang w:val="en-US"/>
        </w:rPr>
        <w:t>Complete with an entire value comprise between 0 and 3 (0 meaning « </w:t>
      </w:r>
      <w:r>
        <w:rPr>
          <w:lang w:val="en-US"/>
        </w:rPr>
        <w:t xml:space="preserve">poorly </w:t>
      </w:r>
      <w:r w:rsidRPr="00DA0EA9">
        <w:rPr>
          <w:lang w:val="en-US"/>
        </w:rPr>
        <w:t xml:space="preserve">» and 3 meaning « very good ») or with an X if it is « without object »  </w:t>
      </w:r>
    </w:p>
    <w:p w14:paraId="7522A759" w14:textId="77777777" w:rsidR="00DA0EA9" w:rsidRPr="00DA0EA9" w:rsidRDefault="00DA0EA9" w:rsidP="004B0D72">
      <w:pPr>
        <w:pStyle w:val="comment"/>
        <w:spacing w:after="600"/>
        <w:rPr>
          <w:lang w:val="en-US"/>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4295"/>
        <w:gridCol w:w="1096"/>
      </w:tblGrid>
      <w:tr w:rsidR="004B0D72" w:rsidRPr="004B0D72" w14:paraId="7EB82766" w14:textId="77777777" w:rsidTr="00740647">
        <w:tc>
          <w:tcPr>
            <w:tcW w:w="5391" w:type="dxa"/>
            <w:gridSpan w:val="2"/>
            <w:shd w:val="clear" w:color="auto" w:fill="FFFFFF"/>
          </w:tcPr>
          <w:p w14:paraId="4D7AE536" w14:textId="77777777" w:rsidR="004B0D72" w:rsidRPr="004B0D72" w:rsidRDefault="004B0D72" w:rsidP="004B0D72">
            <w:pPr>
              <w:rPr>
                <w:b/>
                <w:lang w:val="en-US"/>
              </w:rPr>
            </w:pPr>
            <w:r>
              <w:rPr>
                <w:b/>
                <w:lang w:val="en-US"/>
              </w:rPr>
              <w:t>Is the article</w:t>
            </w:r>
            <w:r w:rsidRPr="004B0D72">
              <w:rPr>
                <w:b/>
                <w:lang w:val="en-US"/>
              </w:rPr>
              <w:t xml:space="preserve">: </w:t>
            </w:r>
            <w:r w:rsidRPr="004B0D72">
              <w:rPr>
                <w:lang w:val="en-US"/>
              </w:rPr>
              <w:t> </w:t>
            </w:r>
          </w:p>
        </w:tc>
      </w:tr>
      <w:tr w:rsidR="004B0D72" w:rsidRPr="004B0D72" w14:paraId="66CCFD57" w14:textId="77777777" w:rsidTr="00740647">
        <w:tc>
          <w:tcPr>
            <w:tcW w:w="4295" w:type="dxa"/>
            <w:shd w:val="clear" w:color="auto" w:fill="FFFFFF"/>
          </w:tcPr>
          <w:p w14:paraId="79CC6BA3" w14:textId="77777777" w:rsidR="004B0D72" w:rsidRPr="004B0D72" w:rsidRDefault="004B0D72" w:rsidP="00740647">
            <w:pPr>
              <w:spacing w:before="40" w:after="40"/>
              <w:rPr>
                <w:lang w:val="en-US"/>
              </w:rPr>
            </w:pPr>
            <w:r>
              <w:rPr>
                <w:lang w:val="en-US"/>
              </w:rPr>
              <w:t>Well structured</w:t>
            </w:r>
            <w:r w:rsidRPr="004B0D72">
              <w:rPr>
                <w:lang w:val="en-US"/>
              </w:rPr>
              <w:t>?</w:t>
            </w:r>
          </w:p>
        </w:tc>
        <w:tc>
          <w:tcPr>
            <w:tcW w:w="1096" w:type="dxa"/>
            <w:vAlign w:val="center"/>
          </w:tcPr>
          <w:p w14:paraId="324A4886" w14:textId="66FB4E0F" w:rsidR="004B0D72" w:rsidRPr="004B0D72" w:rsidRDefault="00E47A24" w:rsidP="00740647">
            <w:pPr>
              <w:rPr>
                <w:color w:val="FF0000"/>
                <w:lang w:val="en-US"/>
              </w:rPr>
            </w:pPr>
            <w:r>
              <w:rPr>
                <w:color w:val="FF0000"/>
                <w:lang w:val="en-US"/>
              </w:rPr>
              <w:t>3</w:t>
            </w:r>
          </w:p>
        </w:tc>
      </w:tr>
      <w:tr w:rsidR="004B0D72" w:rsidRPr="004B0D72" w14:paraId="093C5012" w14:textId="77777777" w:rsidTr="00740647">
        <w:tc>
          <w:tcPr>
            <w:tcW w:w="4295" w:type="dxa"/>
            <w:shd w:val="clear" w:color="auto" w:fill="FFFFFF"/>
          </w:tcPr>
          <w:p w14:paraId="611FE971" w14:textId="77777777" w:rsidR="004B0D72" w:rsidRPr="004B0D72" w:rsidRDefault="004B0D72" w:rsidP="004B0D72">
            <w:pPr>
              <w:spacing w:before="40" w:after="40"/>
              <w:rPr>
                <w:lang w:val="en-US"/>
              </w:rPr>
            </w:pPr>
            <w:r>
              <w:rPr>
                <w:lang w:val="en-US"/>
              </w:rPr>
              <w:t>Readable without difficulties</w:t>
            </w:r>
            <w:r w:rsidRPr="004B0D72">
              <w:rPr>
                <w:lang w:val="en-US"/>
              </w:rPr>
              <w:t>?</w:t>
            </w:r>
          </w:p>
        </w:tc>
        <w:tc>
          <w:tcPr>
            <w:tcW w:w="1096" w:type="dxa"/>
            <w:vAlign w:val="center"/>
          </w:tcPr>
          <w:p w14:paraId="204B710A" w14:textId="6395CB64" w:rsidR="004B0D72" w:rsidRPr="004B0D72" w:rsidRDefault="00E47A24" w:rsidP="00740647">
            <w:pPr>
              <w:rPr>
                <w:color w:val="FF0000"/>
                <w:lang w:val="en-US"/>
              </w:rPr>
            </w:pPr>
            <w:r>
              <w:rPr>
                <w:color w:val="FF0000"/>
                <w:lang w:val="en-US"/>
              </w:rPr>
              <w:t>1/2</w:t>
            </w:r>
          </w:p>
        </w:tc>
      </w:tr>
      <w:tr w:rsidR="004B0D72" w:rsidRPr="005C3B5D" w14:paraId="7C031755" w14:textId="77777777" w:rsidTr="00740647">
        <w:tc>
          <w:tcPr>
            <w:tcW w:w="4295" w:type="dxa"/>
            <w:shd w:val="clear" w:color="auto" w:fill="FFFFFF"/>
          </w:tcPr>
          <w:p w14:paraId="69D8884C" w14:textId="77777777" w:rsidR="004B0D72" w:rsidRPr="004B0D72" w:rsidRDefault="004B0D72" w:rsidP="005C3B5D">
            <w:pPr>
              <w:spacing w:before="40" w:after="40"/>
              <w:rPr>
                <w:lang w:val="en-US"/>
              </w:rPr>
            </w:pPr>
            <w:r w:rsidRPr="004B0D72">
              <w:rPr>
                <w:lang w:val="en-US"/>
              </w:rPr>
              <w:t xml:space="preserve">Written in a </w:t>
            </w:r>
            <w:r w:rsidR="005C3B5D">
              <w:rPr>
                <w:lang w:val="en-US"/>
              </w:rPr>
              <w:t>good level of the language</w:t>
            </w:r>
            <w:r w:rsidRPr="004B0D72">
              <w:rPr>
                <w:lang w:val="en-US"/>
              </w:rPr>
              <w:t>?</w:t>
            </w:r>
          </w:p>
        </w:tc>
        <w:tc>
          <w:tcPr>
            <w:tcW w:w="1096" w:type="dxa"/>
            <w:vAlign w:val="center"/>
          </w:tcPr>
          <w:p w14:paraId="32F1A992" w14:textId="04A89E63" w:rsidR="004B0D72" w:rsidRPr="004B0D72" w:rsidRDefault="00E47A24" w:rsidP="00740647">
            <w:pPr>
              <w:rPr>
                <w:color w:val="FF0000"/>
                <w:lang w:val="en-US"/>
              </w:rPr>
            </w:pPr>
            <w:r>
              <w:rPr>
                <w:color w:val="FF0000"/>
                <w:lang w:val="en-US"/>
              </w:rPr>
              <w:t>2</w:t>
            </w:r>
          </w:p>
        </w:tc>
      </w:tr>
    </w:tbl>
    <w:p w14:paraId="1DA31B28" w14:textId="77777777" w:rsidR="00DA0EA9" w:rsidRPr="00DA0EA9" w:rsidRDefault="00DA0EA9" w:rsidP="00DA0EA9">
      <w:pPr>
        <w:pStyle w:val="comment"/>
        <w:spacing w:after="600"/>
        <w:rPr>
          <w:lang w:val="en-US"/>
        </w:rPr>
      </w:pPr>
      <w:r w:rsidRPr="00DA0EA9">
        <w:rPr>
          <w:lang w:val="en-US"/>
        </w:rPr>
        <w:t>Complete with an entire value comprise between 0 and 3 (0 meaning « </w:t>
      </w:r>
      <w:r>
        <w:rPr>
          <w:lang w:val="en-US"/>
        </w:rPr>
        <w:t xml:space="preserve">poorly </w:t>
      </w:r>
      <w:r w:rsidRPr="00DA0EA9">
        <w:rPr>
          <w:lang w:val="en-US"/>
        </w:rPr>
        <w:t xml:space="preserve">» and 3 meaning « very good ») or with an X if it is « without object »  </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9212"/>
      </w:tblGrid>
      <w:tr w:rsidR="004B0D72" w:rsidRPr="005C3B5D" w14:paraId="0D9BEBE2" w14:textId="77777777" w:rsidTr="00740647">
        <w:tc>
          <w:tcPr>
            <w:tcW w:w="9212" w:type="dxa"/>
            <w:shd w:val="clear" w:color="auto" w:fill="FFFFFF"/>
          </w:tcPr>
          <w:p w14:paraId="15558A00" w14:textId="77777777" w:rsidR="004B0D72" w:rsidRPr="004B0D72" w:rsidRDefault="004B0D72" w:rsidP="005C3B5D">
            <w:pPr>
              <w:rPr>
                <w:b/>
                <w:lang w:val="en-US"/>
              </w:rPr>
            </w:pPr>
            <w:r w:rsidRPr="004B0D72">
              <w:rPr>
                <w:b/>
                <w:lang w:val="en-US"/>
              </w:rPr>
              <w:t xml:space="preserve">Comments about the form and the </w:t>
            </w:r>
            <w:r w:rsidR="005C3B5D">
              <w:rPr>
                <w:b/>
                <w:lang w:val="en-US"/>
              </w:rPr>
              <w:t>mistakes</w:t>
            </w:r>
            <w:r w:rsidRPr="004B0D72">
              <w:rPr>
                <w:b/>
                <w:lang w:val="en-US"/>
              </w:rPr>
              <w:t xml:space="preserve"> noticed in the article :</w:t>
            </w:r>
          </w:p>
        </w:tc>
      </w:tr>
      <w:tr w:rsidR="004B0D72" w:rsidRPr="005C3B5D" w14:paraId="2E35ACF0" w14:textId="77777777" w:rsidTr="00740647">
        <w:trPr>
          <w:trHeight w:val="5932"/>
        </w:trPr>
        <w:tc>
          <w:tcPr>
            <w:tcW w:w="9212" w:type="dxa"/>
          </w:tcPr>
          <w:p w14:paraId="31B4F453" w14:textId="6ACFDF25" w:rsidR="004B0D72" w:rsidRPr="004B0D72" w:rsidRDefault="00E06FDB" w:rsidP="00740647">
            <w:pPr>
              <w:rPr>
                <w:lang w:val="en-US"/>
              </w:rPr>
            </w:pPr>
            <w:r>
              <w:rPr>
                <w:lang w:val="en-US"/>
              </w:rPr>
              <w:lastRenderedPageBreak/>
              <w:t>Pg 2</w:t>
            </w:r>
          </w:p>
          <w:p w14:paraId="060DE8FA" w14:textId="4DC77A54" w:rsidR="004B0D72" w:rsidRDefault="00E47A24" w:rsidP="00740647">
            <w:pPr>
              <w:rPr>
                <w:lang w:val="en-US"/>
              </w:rPr>
            </w:pPr>
            <w:r>
              <w:rPr>
                <w:lang w:val="en-US"/>
              </w:rPr>
              <w:t>“</w:t>
            </w:r>
            <w:r w:rsidRPr="00E47A24">
              <w:rPr>
                <w:lang w:val="en-US"/>
              </w:rPr>
              <w:t xml:space="preserve">This exclusive focus on transcendence diminishes the importance of the neutral ?realm of impersonal representation and signification, the dimension of exchange and commerce  in which and through which the other person is presented. </w:t>
            </w:r>
            <w:r>
              <w:rPr>
                <w:lang w:val="en-US"/>
              </w:rPr>
              <w:t>“ Not sure what’s meant here. Looks like some kind of reference to Buber’s I-it, but of course that is absent in Levinas.</w:t>
            </w:r>
          </w:p>
          <w:p w14:paraId="78ACCF9D" w14:textId="2B8843CE" w:rsidR="00E47A24" w:rsidRDefault="00E06FDB" w:rsidP="00740647">
            <w:pPr>
              <w:rPr>
                <w:lang w:val="en-US"/>
              </w:rPr>
            </w:pPr>
            <w:r>
              <w:rPr>
                <w:lang w:val="en-US"/>
              </w:rPr>
              <w:t>Pg 3</w:t>
            </w:r>
          </w:p>
          <w:p w14:paraId="259DEEDC" w14:textId="6CA2FE8C" w:rsidR="00E06FDB" w:rsidRDefault="00E06FDB" w:rsidP="00740647">
            <w:pPr>
              <w:rPr>
                <w:lang w:val="en-US"/>
              </w:rPr>
            </w:pPr>
            <w:r>
              <w:rPr>
                <w:lang w:val="en-US"/>
              </w:rPr>
              <w:t>Re: war: note that Levinas begins and ends Totality and infinity with a rejection of war as philosophy and then the “virile man of the state.”</w:t>
            </w:r>
          </w:p>
          <w:p w14:paraId="440C2710" w14:textId="2B539FD2" w:rsidR="00E06FDB" w:rsidRDefault="00E06FDB" w:rsidP="00740647">
            <w:pPr>
              <w:rPr>
                <w:lang w:val="en-US"/>
              </w:rPr>
            </w:pPr>
            <w:r>
              <w:rPr>
                <w:lang w:val="en-US"/>
              </w:rPr>
              <w:t>Pg. 5:</w:t>
            </w:r>
          </w:p>
          <w:p w14:paraId="4227156E" w14:textId="70BF1028" w:rsidR="00E06FDB" w:rsidRDefault="00E06FDB" w:rsidP="00740647">
            <w:pPr>
              <w:rPr>
                <w:lang w:val="en-US"/>
              </w:rPr>
            </w:pPr>
            <w:r>
              <w:rPr>
                <w:lang w:val="en-US"/>
              </w:rPr>
              <w:t>Be clear on the differences between trope and metaphor</w:t>
            </w:r>
          </w:p>
          <w:p w14:paraId="6CDBCEA8" w14:textId="0A443D20" w:rsidR="00E06FDB" w:rsidRDefault="00E06FDB" w:rsidP="00740647">
            <w:pPr>
              <w:rPr>
                <w:lang w:val="en-US"/>
              </w:rPr>
            </w:pPr>
            <w:r>
              <w:rPr>
                <w:lang w:val="en-US"/>
              </w:rPr>
              <w:t>Pg 6</w:t>
            </w:r>
          </w:p>
          <w:p w14:paraId="76E99CDC" w14:textId="68A39F75" w:rsidR="00E06FDB" w:rsidRDefault="00E06FDB" w:rsidP="00740647">
            <w:pPr>
              <w:rPr>
                <w:lang w:val="en-US"/>
              </w:rPr>
            </w:pPr>
            <w:r>
              <w:rPr>
                <w:lang w:val="en-US"/>
              </w:rPr>
              <w:t>If you employ the phrase “negation of the negation” explain how you (and Levinas) diverge from Hegel</w:t>
            </w:r>
          </w:p>
          <w:p w14:paraId="68292E7B" w14:textId="0F981802" w:rsidR="00E06FDB" w:rsidRDefault="00E06FDB" w:rsidP="00740647">
            <w:pPr>
              <w:rPr>
                <w:lang w:val="en-US"/>
              </w:rPr>
            </w:pPr>
            <w:r>
              <w:rPr>
                <w:lang w:val="en-US"/>
              </w:rPr>
              <w:t>Pg 7</w:t>
            </w:r>
          </w:p>
          <w:p w14:paraId="58DDBE32" w14:textId="12918F71" w:rsidR="00E06FDB" w:rsidRDefault="00E06FDB" w:rsidP="00740647">
            <w:pPr>
              <w:rPr>
                <w:lang w:val="en-US"/>
              </w:rPr>
            </w:pPr>
            <w:r>
              <w:rPr>
                <w:lang w:val="en-US"/>
              </w:rPr>
              <w:t>“</w:t>
            </w:r>
            <w:r w:rsidRPr="00E06FDB">
              <w:rPr>
                <w:lang w:val="en-US"/>
              </w:rPr>
              <w:t>To understand the phrase First Philosophy, one must already question the priority of priority, how the first principle arkhé is already disturbed by the anarchy of these numerous relationships</w:t>
            </w:r>
            <w:r>
              <w:rPr>
                <w:lang w:val="en-US"/>
              </w:rPr>
              <w:t>.” Anarchic responsibility in Levinas is that impelled by the pre-linguistic shock of encountering the other—anarchic because it precedes all systems and voluntary contracts.</w:t>
            </w:r>
          </w:p>
          <w:p w14:paraId="7538A363" w14:textId="4FF08714" w:rsidR="00E06FDB" w:rsidRDefault="00E06FDB" w:rsidP="00740647">
            <w:pPr>
              <w:rPr>
                <w:lang w:val="en-US"/>
              </w:rPr>
            </w:pPr>
            <w:r>
              <w:rPr>
                <w:lang w:val="en-US"/>
              </w:rPr>
              <w:t>Pg. 8</w:t>
            </w:r>
          </w:p>
          <w:p w14:paraId="597AF077" w14:textId="136FEC94" w:rsidR="00E06FDB" w:rsidRDefault="00E06FDB" w:rsidP="00740647">
            <w:pPr>
              <w:rPr>
                <w:lang w:val="en-US"/>
              </w:rPr>
            </w:pPr>
            <w:r>
              <w:rPr>
                <w:lang w:val="en-US"/>
              </w:rPr>
              <w:t>Good linking of diachrony in reading with that in speech.</w:t>
            </w:r>
          </w:p>
          <w:p w14:paraId="47D39D51" w14:textId="7258B595" w:rsidR="00E06FDB" w:rsidRDefault="00E06FDB" w:rsidP="00740647">
            <w:pPr>
              <w:rPr>
                <w:lang w:val="en-US"/>
              </w:rPr>
            </w:pPr>
            <w:r>
              <w:rPr>
                <w:lang w:val="en-US"/>
              </w:rPr>
              <w:t>Pg 10</w:t>
            </w:r>
          </w:p>
          <w:p w14:paraId="503AFB55" w14:textId="7FF4D589" w:rsidR="00E06FDB" w:rsidRDefault="00E06FDB" w:rsidP="00740647">
            <w:pPr>
              <w:rPr>
                <w:lang w:val="en-US"/>
              </w:rPr>
            </w:pPr>
            <w:r>
              <w:rPr>
                <w:lang w:val="en-US"/>
              </w:rPr>
              <w:t>“</w:t>
            </w:r>
            <w:r w:rsidRPr="00E06FDB">
              <w:rPr>
                <w:lang w:val="en-US"/>
              </w:rPr>
              <w:t>Levinas resurrected the metaphors of idealism  to critique ontology.</w:t>
            </w:r>
            <w:r>
              <w:rPr>
                <w:lang w:val="en-US"/>
              </w:rPr>
              <w:t>” But he was no idealist.</w:t>
            </w:r>
          </w:p>
          <w:p w14:paraId="6EB0EC7E" w14:textId="15B10A01" w:rsidR="00E06FDB" w:rsidRDefault="00E06FDB" w:rsidP="00740647">
            <w:pPr>
              <w:rPr>
                <w:lang w:val="en-US"/>
              </w:rPr>
            </w:pPr>
            <w:r>
              <w:rPr>
                <w:lang w:val="en-US"/>
              </w:rPr>
              <w:t xml:space="preserve">Pg 15. </w:t>
            </w:r>
          </w:p>
          <w:p w14:paraId="43D996BD" w14:textId="119E00BD" w:rsidR="00E06FDB" w:rsidRDefault="00E06FDB" w:rsidP="00740647">
            <w:pPr>
              <w:rPr>
                <w:lang w:val="en-US"/>
              </w:rPr>
            </w:pPr>
            <w:r>
              <w:rPr>
                <w:lang w:val="en-US"/>
              </w:rPr>
              <w:t>Please check the citation re: Macbeth—I have different page numbers in my edition. Also this whole MacBeth argument needs more development—he is only feminized in Levinas by inference.</w:t>
            </w:r>
          </w:p>
          <w:p w14:paraId="758F12DF" w14:textId="1706C212" w:rsidR="00E06FDB" w:rsidRDefault="00E06FDB" w:rsidP="00740647">
            <w:pPr>
              <w:rPr>
                <w:lang w:val="en-US"/>
              </w:rPr>
            </w:pPr>
            <w:r>
              <w:rPr>
                <w:lang w:val="en-US"/>
              </w:rPr>
              <w:t>Pg 15</w:t>
            </w:r>
          </w:p>
          <w:p w14:paraId="794FE495" w14:textId="7FC88A59" w:rsidR="00E06FDB" w:rsidRDefault="00E06FDB" w:rsidP="00740647">
            <w:pPr>
              <w:rPr>
                <w:lang w:val="en-US"/>
              </w:rPr>
            </w:pPr>
            <w:r>
              <w:rPr>
                <w:lang w:val="en-US"/>
              </w:rPr>
              <w:t>Remember that the Other’s power to command lies in her very vulnerability and potential destitution. This isn’t a contradiction, but is central to L’s phenomenology of the constitution of the self through answering the summons of the other.</w:t>
            </w:r>
          </w:p>
          <w:p w14:paraId="4B708233" w14:textId="09353E75" w:rsidR="00E06FDB" w:rsidRDefault="00E06FDB" w:rsidP="00740647">
            <w:pPr>
              <w:rPr>
                <w:lang w:val="en-US"/>
              </w:rPr>
            </w:pPr>
            <w:r>
              <w:rPr>
                <w:lang w:val="en-US"/>
              </w:rPr>
              <w:t>Also—the other is refractory to categorization, her ineffability resists the domestication of the other into the same.</w:t>
            </w:r>
          </w:p>
          <w:p w14:paraId="5AA9C187" w14:textId="1C114962" w:rsidR="00E06FDB" w:rsidRDefault="00E06FDB" w:rsidP="00740647">
            <w:pPr>
              <w:rPr>
                <w:lang w:val="en-US"/>
              </w:rPr>
            </w:pPr>
            <w:r>
              <w:rPr>
                <w:lang w:val="en-US"/>
              </w:rPr>
              <w:t>Pg. 16</w:t>
            </w:r>
          </w:p>
          <w:p w14:paraId="5E3905BF" w14:textId="220B1886" w:rsidR="00E06FDB" w:rsidRDefault="00E06FDB" w:rsidP="00740647">
            <w:pPr>
              <w:rPr>
                <w:lang w:val="en-US"/>
              </w:rPr>
            </w:pPr>
            <w:r>
              <w:rPr>
                <w:lang w:val="en-US"/>
              </w:rPr>
              <w:t>Why does curvature = distortion?</w:t>
            </w:r>
          </w:p>
          <w:p w14:paraId="1EB88E78" w14:textId="03023704" w:rsidR="00E06FDB" w:rsidRDefault="00E06FDB" w:rsidP="00740647">
            <w:pPr>
              <w:rPr>
                <w:lang w:val="en-US"/>
              </w:rPr>
            </w:pPr>
            <w:r>
              <w:rPr>
                <w:lang w:val="en-US"/>
              </w:rPr>
              <w:t>Pg. 17</w:t>
            </w:r>
          </w:p>
          <w:p w14:paraId="1DA962E9" w14:textId="77777777" w:rsidR="00E06FDB" w:rsidRPr="00E06FDB" w:rsidRDefault="00E06FDB" w:rsidP="00E06FDB">
            <w:pPr>
              <w:rPr>
                <w:lang w:val="en-US"/>
              </w:rPr>
            </w:pPr>
            <w:r>
              <w:rPr>
                <w:lang w:val="en-US"/>
              </w:rPr>
              <w:t>“</w:t>
            </w:r>
            <w:r w:rsidRPr="00E06FDB">
              <w:rPr>
                <w:lang w:val="en-US"/>
              </w:rPr>
              <w:t xml:space="preserve">Most significantly, Levinas repeatedly describes the eyes of the other as exhibited in a depth that is naked and defenseless  , which seemingly contradicts his metaphor of the visage exhibited in a height. </w:t>
            </w:r>
          </w:p>
          <w:p w14:paraId="07053B7F" w14:textId="393AA53E" w:rsidR="00E06FDB" w:rsidRDefault="00E06FDB" w:rsidP="00E06FDB">
            <w:pPr>
              <w:rPr>
                <w:lang w:val="en-US"/>
              </w:rPr>
            </w:pPr>
            <w:r w:rsidRPr="00E06FDB">
              <w:rPr>
                <w:lang w:val="en-US"/>
              </w:rPr>
              <w:t>Apparent contradictions  such as this can be noticed throughout Levinas’s texts.</w:t>
            </w:r>
            <w:r w:rsidR="00475AD0">
              <w:rPr>
                <w:lang w:val="en-US"/>
              </w:rPr>
              <w:t>”</w:t>
            </w:r>
          </w:p>
          <w:p w14:paraId="19E1FBBD" w14:textId="77777777" w:rsidR="00475AD0" w:rsidRDefault="00475AD0" w:rsidP="00E06FDB">
            <w:pPr>
              <w:rPr>
                <w:lang w:val="en-US"/>
              </w:rPr>
            </w:pPr>
          </w:p>
          <w:p w14:paraId="288A8C0C" w14:textId="655C0FF2" w:rsidR="00E47A24" w:rsidRDefault="00475AD0" w:rsidP="00740647">
            <w:pPr>
              <w:rPr>
                <w:lang w:val="en-US"/>
              </w:rPr>
            </w:pPr>
            <w:r w:rsidRPr="00475AD0">
              <w:rPr>
                <w:lang w:val="en-US"/>
              </w:rPr>
              <w:t>The above is not a contradiction. It is a phenomenology of the dis-ordered state of the subject when face-to-face with the other.</w:t>
            </w:r>
            <w:r>
              <w:rPr>
                <w:lang w:val="en-US"/>
              </w:rPr>
              <w:t xml:space="preserve"> </w:t>
            </w:r>
            <w:r w:rsidRPr="00475AD0">
              <w:rPr>
                <w:lang w:val="en-US"/>
              </w:rPr>
              <w:t>He explains this paradox also. The other commands with her very vulnerability, which I understand because I too am a creature of injurable flesh. This summons recalls the “You will not murder,” a command to which we have always/already acceded.</w:t>
            </w:r>
          </w:p>
          <w:p w14:paraId="17DC9733" w14:textId="04A142AB" w:rsidR="00475AD0" w:rsidRDefault="00475AD0" w:rsidP="00740647">
            <w:pPr>
              <w:rPr>
                <w:lang w:val="en-US"/>
              </w:rPr>
            </w:pPr>
          </w:p>
          <w:p w14:paraId="39874402" w14:textId="1548C8CF" w:rsidR="00475AD0" w:rsidRDefault="00475AD0" w:rsidP="00740647">
            <w:pPr>
              <w:rPr>
                <w:lang w:val="en-US"/>
              </w:rPr>
            </w:pPr>
          </w:p>
          <w:p w14:paraId="244C7D00" w14:textId="5DE22B5C" w:rsidR="00475AD0" w:rsidRDefault="00475AD0" w:rsidP="00740647">
            <w:pPr>
              <w:rPr>
                <w:lang w:val="en-US"/>
              </w:rPr>
            </w:pPr>
            <w:r>
              <w:rPr>
                <w:lang w:val="en-US"/>
              </w:rPr>
              <w:t>Intro and conclusion:</w:t>
            </w:r>
          </w:p>
          <w:p w14:paraId="48A6596A" w14:textId="195F43FF" w:rsidR="00475AD0" w:rsidRPr="004B0D72" w:rsidRDefault="00475AD0" w:rsidP="00740647">
            <w:pPr>
              <w:rPr>
                <w:lang w:val="en-US"/>
              </w:rPr>
            </w:pPr>
            <w:r>
              <w:rPr>
                <w:lang w:val="en-US"/>
              </w:rPr>
              <w:t>See above</w:t>
            </w:r>
          </w:p>
          <w:p w14:paraId="5EAF639C" w14:textId="77777777" w:rsidR="004B0D72" w:rsidRPr="004B0D72" w:rsidRDefault="004B0D72" w:rsidP="00740647">
            <w:pPr>
              <w:rPr>
                <w:lang w:val="en-US"/>
              </w:rPr>
            </w:pPr>
          </w:p>
          <w:p w14:paraId="09C253FB" w14:textId="77777777" w:rsidR="004B0D72" w:rsidRPr="004B0D72" w:rsidRDefault="004B0D72" w:rsidP="00740647">
            <w:pPr>
              <w:rPr>
                <w:lang w:val="en-US"/>
              </w:rPr>
            </w:pPr>
          </w:p>
          <w:p w14:paraId="7F1C6F57" w14:textId="77777777" w:rsidR="004B0D72" w:rsidRPr="004B0D72" w:rsidRDefault="004B0D72" w:rsidP="00740647">
            <w:pPr>
              <w:rPr>
                <w:lang w:val="en-US"/>
              </w:rPr>
            </w:pPr>
          </w:p>
          <w:p w14:paraId="00E84E6D" w14:textId="77777777" w:rsidR="004B0D72" w:rsidRPr="004B0D72" w:rsidRDefault="004B0D72" w:rsidP="00740647">
            <w:pPr>
              <w:rPr>
                <w:lang w:val="en-US"/>
              </w:rPr>
            </w:pPr>
          </w:p>
          <w:p w14:paraId="6B155BC6" w14:textId="77777777" w:rsidR="004B0D72" w:rsidRPr="004B0D72" w:rsidRDefault="004B0D72" w:rsidP="00740647">
            <w:pPr>
              <w:rPr>
                <w:lang w:val="en-US"/>
              </w:rPr>
            </w:pPr>
          </w:p>
          <w:p w14:paraId="2D6EB344" w14:textId="77777777" w:rsidR="004B0D72" w:rsidRPr="004B0D72" w:rsidRDefault="004B0D72" w:rsidP="00740647">
            <w:pPr>
              <w:rPr>
                <w:lang w:val="en-US"/>
              </w:rPr>
            </w:pPr>
          </w:p>
          <w:p w14:paraId="0AE01225" w14:textId="77777777" w:rsidR="004B0D72" w:rsidRPr="004B0D72" w:rsidRDefault="004B0D72" w:rsidP="00740647">
            <w:pPr>
              <w:rPr>
                <w:lang w:val="en-US"/>
              </w:rPr>
            </w:pPr>
          </w:p>
          <w:p w14:paraId="5124D222" w14:textId="77777777" w:rsidR="004B0D72" w:rsidRPr="004B0D72" w:rsidRDefault="004B0D72" w:rsidP="00740647">
            <w:pPr>
              <w:rPr>
                <w:lang w:val="en-US"/>
              </w:rPr>
            </w:pPr>
          </w:p>
          <w:p w14:paraId="0C9E4124" w14:textId="77777777" w:rsidR="004B0D72" w:rsidRPr="004B0D72" w:rsidRDefault="004B0D72" w:rsidP="00740647">
            <w:pPr>
              <w:rPr>
                <w:lang w:val="en-US"/>
              </w:rPr>
            </w:pPr>
          </w:p>
        </w:tc>
      </w:tr>
    </w:tbl>
    <w:p w14:paraId="5C384921" w14:textId="77777777" w:rsidR="004B0D72" w:rsidRPr="004B0D72" w:rsidRDefault="004B0D72" w:rsidP="004B0D72">
      <w:pPr>
        <w:pStyle w:val="comment"/>
        <w:rPr>
          <w:lang w:val="en-US"/>
        </w:rPr>
      </w:pPr>
    </w:p>
    <w:p w14:paraId="765A5DF0" w14:textId="77777777" w:rsidR="006F3ECE" w:rsidRPr="004B0D72" w:rsidRDefault="006F3ECE">
      <w:pPr>
        <w:rPr>
          <w:lang w:val="en-US"/>
        </w:rPr>
      </w:pPr>
    </w:p>
    <w:sectPr w:rsidR="006F3ECE" w:rsidRPr="004B0D7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0D72"/>
    <w:rsid w:val="000C390B"/>
    <w:rsid w:val="00475AD0"/>
    <w:rsid w:val="004B0D72"/>
    <w:rsid w:val="004E2527"/>
    <w:rsid w:val="00583093"/>
    <w:rsid w:val="005C3B5D"/>
    <w:rsid w:val="006877CB"/>
    <w:rsid w:val="006F3ECE"/>
    <w:rsid w:val="00843E1C"/>
    <w:rsid w:val="00A03444"/>
    <w:rsid w:val="00A03809"/>
    <w:rsid w:val="00B639CA"/>
    <w:rsid w:val="00C91890"/>
    <w:rsid w:val="00DA0EA9"/>
    <w:rsid w:val="00E06FDB"/>
    <w:rsid w:val="00E47A24"/>
    <w:rsid w:val="00ED3247"/>
    <w:rsid w:val="00F27F22"/>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EA45"/>
  <w15:docId w15:val="{98FC0287-E992-484A-8B83-5FC8DDB4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D72"/>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link w:val="Heading1Char"/>
    <w:qFormat/>
    <w:rsid w:val="004B0D72"/>
    <w:pPr>
      <w:spacing w:before="100" w:beforeAutospacing="1" w:after="100" w:afterAutospacing="1"/>
      <w:outlineLvl w:val="0"/>
    </w:pPr>
    <w:rPr>
      <w:b/>
      <w:bCs/>
      <w:color w:val="000000"/>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0D72"/>
    <w:rPr>
      <w:rFonts w:ascii="Times New Roman" w:eastAsia="Times New Roman" w:hAnsi="Times New Roman" w:cs="Times New Roman"/>
      <w:b/>
      <w:bCs/>
      <w:color w:val="000000"/>
      <w:kern w:val="36"/>
      <w:sz w:val="32"/>
      <w:szCs w:val="32"/>
      <w:lang w:eastAsia="fr-FR"/>
    </w:rPr>
  </w:style>
  <w:style w:type="paragraph" w:customStyle="1" w:styleId="comment">
    <w:name w:val="comment"/>
    <w:basedOn w:val="Normal"/>
    <w:rsid w:val="004B0D72"/>
    <w:pPr>
      <w:spacing w:before="120" w:after="120"/>
      <w:jc w:val="both"/>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4</Pages>
  <Words>854</Words>
  <Characters>4870</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 Trindade</dc:creator>
  <cp:lastModifiedBy>Robin</cp:lastModifiedBy>
  <cp:revision>9</cp:revision>
  <dcterms:created xsi:type="dcterms:W3CDTF">2021-02-14T09:04:00Z</dcterms:created>
  <dcterms:modified xsi:type="dcterms:W3CDTF">2021-02-16T00:36:00Z</dcterms:modified>
</cp:coreProperties>
</file>