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160" w:line="360" w:lineRule="auto"/>
      </w:pPr>
      <w:r>
        <w:rPr>
          <w:rFonts w:ascii="Cambria" w:cs="Cambria" w:eastAsia="Cambria" w:hAnsi="Cambria"/>
          <w:color w:val="1A3A5C"/>
          <w:sz w:val="52"/>
          <w:szCs w:val="52"/>
        </w:rPr>
        <w:t xml:space="preserve">CCT.120 Midterm Study Guide</w:t>
      </w:r>
    </w:p>
    <w:p>
      <w:pPr>
        <w:pBdr>
          <w:top w:val="single" w:color="2B5797" w:sz="6"/>
        </w:pBdr>
        <w:spacing w:after="200" w:before="0"/>
      </w:pPr>
    </w:p>
    <w:p>
      <w:pPr>
        <w:spacing w:after="60" w:before="80" w:line="360" w:lineRule="auto"/>
      </w:pPr>
      <w:r>
        <w:rPr>
          <w:rFonts w:ascii="Calibri" w:cs="Calibri" w:eastAsia="Calibri" w:hAnsi="Calibri"/>
          <w:b w:val="false"/>
          <w:bCs w:val="false"/>
          <w:i w:val="false"/>
          <w:iCs w:val="false"/>
          <w:strike w:val="false"/>
          <w:color w:val="555555"/>
          <w:sz w:val="26"/>
          <w:szCs w:val="26"/>
        </w:rPr>
        <w:t xml:space="preserve">Computer Forensics — Comprehensive Review</w:t>
      </w:r>
    </w:p>
    <w:p>
      <w:pPr>
        <w:spacing w:after="120" w:before="60" w:line="360" w:lineRule="auto"/>
      </w:pPr>
      <w:r>
        <w:rPr>
          <w:rFonts w:ascii="Calibri" w:cs="Calibri" w:eastAsia="Calibri" w:hAnsi="Calibri"/>
          <w:b w:val="false"/>
          <w:bCs w:val="false"/>
          <w:i w:val="false"/>
          <w:iCs w:val="false"/>
          <w:strike w:val="false"/>
          <w:color w:val="777777"/>
          <w:sz w:val="20"/>
          <w:szCs w:val="20"/>
        </w:rPr>
        <w:t xml:space="preserve">Prepared for: Dylan  |  Date: October 16, 2026  |  Slides 1–43</w:t>
      </w:r>
    </w:p>
    <w:p>
      <w:pPr>
        <w:pStyle w:val="Heading2"/>
        <w:spacing w:after="100" w:before="440" w:line="360" w:lineRule="auto"/>
      </w:pPr>
      <w:r>
        <w:rPr>
          <w:rFonts w:ascii="Cambria" w:cs="Cambria" w:eastAsia="Cambria" w:hAnsi="Cambria"/>
          <w:color w:val="2B5797"/>
          <w:sz w:val="30"/>
          <w:szCs w:val="30"/>
        </w:rPr>
        <w:t xml:space="preserve">Slide 1 — Types of Cybercrimes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Cybercrime is defined as any illegal act involving a computing device, network, its systems, or its applications.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Cybercrime can be categorized into two types based on the line of attack:</w:t>
      </w:r>
    </w:p>
    <w:p>
      <w:pPr>
        <w:pStyle w:val="Heading3"/>
        <w:spacing w:after="80" w:before="240" w:line="360" w:lineRule="auto"/>
      </w:pPr>
      <w:r>
        <w:rPr>
          <w:rFonts w:ascii="Calibri" w:cs="Calibri" w:eastAsia="Calibri" w:hAnsi="Calibri"/>
          <w:color w:val="1A3A5C"/>
          <w:sz w:val="24"/>
          <w:szCs w:val="24"/>
        </w:rPr>
        <w:t xml:space="preserve">Internal / Insider Attack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Performed on a corporate network or on a single computer by an entrusted person (insider) who has authorized access to the network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Such insiders can be former or current employees, business partners, or contractors</w:t>
      </w:r>
    </w:p>
    <w:p>
      <w:pPr>
        <w:pStyle w:val="Heading3"/>
        <w:spacing w:after="80" w:before="240" w:line="360" w:lineRule="auto"/>
      </w:pPr>
      <w:r>
        <w:rPr>
          <w:rFonts w:ascii="Calibri" w:cs="Calibri" w:eastAsia="Calibri" w:hAnsi="Calibri"/>
          <w:color w:val="1A3A5C"/>
          <w:sz w:val="24"/>
          <w:szCs w:val="24"/>
        </w:rPr>
        <w:t xml:space="preserve">External Attack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Occurs when an attacker from outside the organization tries to gain unauthorized access to their computing systems or informational assets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attackers exploit security loopholes or use social engineering techniques to infiltrate the network</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 — Examples of Cybercrimes</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Espionage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Theft of Intellectual Property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Manipulation of Data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Trojan Horse Attack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SQL Injection Attack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Brute-force Attack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Phishing / Spoofing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Privilege Escalation Attack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Denial-of-Service Attack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Cyber Defamation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Cyberterrorism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Cyberwarfare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 — Civil vs. Criminal Investigation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Civil cases are brought for violation of contracts and lawsuits, where a guilty outcome generally results in monetary damages to the plaintiff. Criminal cases are generally brought by law enforcement agencies in response to a suspected violation of law, where a guilty outcome may result in monetary damages, imprisonment, or both.</w:t>
      </w:r>
    </w:p>
    <w:p>
      <w:pPr>
        <w:pStyle w:val="Heading3"/>
        <w:spacing w:after="80" w:before="240" w:line="360" w:lineRule="auto"/>
      </w:pPr>
      <w:r>
        <w:rPr>
          <w:rFonts w:ascii="Calibri" w:cs="Calibri" w:eastAsia="Calibri" w:hAnsi="Calibri"/>
          <w:color w:val="1A3A5C"/>
          <w:sz w:val="24"/>
          <w:szCs w:val="24"/>
        </w:rPr>
        <w:t xml:space="preserve">Criminal Cases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Investigators must follow a set of standard forensic processes accepted by law in the respective jurisdiction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Investigators, under a court's warrant, have the authority to forcibly seize computing devices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formal investigation report is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Law enforcement agencies are responsible for collecting and analyzing evidence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Punishments are harsh and include a fine, jail sentence, or both</w:t>
      </w:r>
    </w:p>
    <w:p>
      <w:pPr>
        <w:pStyle w:val="Heading3"/>
        <w:spacing w:after="80" w:before="240" w:line="360" w:lineRule="auto"/>
      </w:pPr>
      <w:r>
        <w:rPr>
          <w:rFonts w:ascii="Calibri" w:cs="Calibri" w:eastAsia="Calibri" w:hAnsi="Calibri"/>
          <w:color w:val="1A3A5C"/>
          <w:sz w:val="24"/>
          <w:szCs w:val="24"/>
        </w:rPr>
        <w:t xml:space="preserve">Civil Cases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Investigators try to show the opposite party some proof to support the claims and induce settlement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Searching of the devices is generally based on mutual understanding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initial reporting of the evidence is generally informal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claimant is responsible for the collection and analysis of the evidence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Punishments include monetary compensation</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4 — Administrative Investigation</w:t>
      </w:r>
    </w:p>
    <w:p>
      <w:pPr>
        <w:pBdr>
          <w:top w:val="single" w:color="2B5797" w:sz="6"/>
        </w:pBdr>
        <w:spacing w:after="200" w:before="0"/>
      </w:pPr>
    </w:p>
    <w:p>
      <w:pPr>
        <w:pStyle w:val="ListParagraph"/>
        <w:numPr>
          <w:ilvl w:val="0"/>
          <w:numId w:val="1"/>
        </w:numPr>
        <w:spacing w:after="60" w:line="408" w:lineRule="auto"/>
        <w:ind w:left="720" w:hanging="360"/>
      </w:pPr>
      <w:r>
        <w:t xml:space="preserve">Administrative investigation refers to an internal investigation by an organization or government agency to discover if their employees, clients, and partners are complying with the rules or policies</w:t>
      </w:r>
    </w:p>
    <w:p>
      <w:pPr>
        <w:pStyle w:val="ListParagraph"/>
        <w:numPr>
          <w:ilvl w:val="0"/>
          <w:numId w:val="1"/>
        </w:numPr>
        <w:spacing w:after="60" w:line="408" w:lineRule="auto"/>
        <w:ind w:left="720" w:hanging="360"/>
      </w:pPr>
      <w:r>
        <w:t xml:space="preserve">Administrative investigations are non-criminal in nature and are related to misconduct or activities of an employee that include, but are not limited to:</w:t>
      </w:r>
    </w:p>
    <w:p>
      <w:pPr>
        <w:pStyle w:val="ListParagraph"/>
        <w:numPr>
          <w:ilvl w:val="1"/>
          <w:numId w:val="1"/>
        </w:numPr>
        <w:spacing w:after="60" w:line="408" w:lineRule="auto"/>
        <w:ind w:left="1440" w:hanging="360"/>
      </w:pPr>
      <w:r>
        <w:t xml:space="preserve">Violation of organization's policies, rules, or protocols</w:t>
      </w:r>
    </w:p>
    <w:p>
      <w:pPr>
        <w:pStyle w:val="ListParagraph"/>
        <w:numPr>
          <w:ilvl w:val="1"/>
          <w:numId w:val="1"/>
        </w:numPr>
        <w:spacing w:after="60" w:line="408" w:lineRule="auto"/>
        <w:ind w:left="1440" w:hanging="360"/>
      </w:pPr>
      <w:r>
        <w:t xml:space="preserve">Violation of regulatory or legal requirements</w:t>
      </w:r>
    </w:p>
    <w:p>
      <w:pPr>
        <w:pStyle w:val="ListParagraph"/>
        <w:numPr>
          <w:ilvl w:val="1"/>
          <w:numId w:val="1"/>
        </w:numPr>
        <w:spacing w:after="60" w:line="408" w:lineRule="auto"/>
        <w:ind w:left="1440" w:hanging="360"/>
      </w:pPr>
      <w:r>
        <w:t xml:space="preserve">Resource misuse or damage or theft</w:t>
      </w:r>
    </w:p>
    <w:p>
      <w:pPr>
        <w:pStyle w:val="ListParagraph"/>
        <w:numPr>
          <w:ilvl w:val="1"/>
          <w:numId w:val="1"/>
        </w:numPr>
        <w:spacing w:after="60" w:line="408" w:lineRule="auto"/>
        <w:ind w:left="1440" w:hanging="360"/>
      </w:pPr>
      <w:r>
        <w:t xml:space="preserve">Threatening or violent behavior</w:t>
      </w:r>
    </w:p>
    <w:p>
      <w:pPr>
        <w:pStyle w:val="ListParagraph"/>
        <w:numPr>
          <w:ilvl w:val="1"/>
          <w:numId w:val="1"/>
        </w:numPr>
        <w:spacing w:after="60" w:line="408" w:lineRule="auto"/>
        <w:ind w:left="1440" w:hanging="360"/>
      </w:pPr>
      <w:r>
        <w:t xml:space="preserve">Improper promotion or pay raises</w:t>
      </w:r>
    </w:p>
    <w:p>
      <w:pPr>
        <w:pStyle w:val="ListParagraph"/>
        <w:numPr>
          <w:ilvl w:val="0"/>
          <w:numId w:val="1"/>
        </w:numPr>
        <w:spacing w:after="60" w:line="408" w:lineRule="auto"/>
        <w:ind w:left="720" w:hanging="360"/>
      </w:pPr>
      <w:r>
        <w:t xml:space="preserve">Any violation may result in disciplinary action such as demotion, suspension, revocation, penalties, and dismissal</w:t>
      </w:r>
    </w:p>
    <w:p>
      <w:pPr>
        <w:pStyle w:val="ListParagraph"/>
        <w:numPr>
          <w:ilvl w:val="0"/>
          <w:numId w:val="1"/>
        </w:numPr>
        <w:spacing w:after="60" w:line="408" w:lineRule="auto"/>
        <w:ind w:left="720" w:hanging="360"/>
      </w:pPr>
      <w:r>
        <w:t xml:space="preserve">Investigations are carried out by internal teams such as the compliance department, human resources, and internal affairs units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5 — Introduction to Digital Evidence</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Digital evidence refers to any electronic data or information that can be collected and used in legal proceedings to support or prove a case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Digital evidence includes information that is either stored or transmitted in digital form and has probative value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Digital information may be found while examining digital storage media, monitoring network traffic, or making duplicate copies of digital data found during a forensics investigation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Digital evidence is circumstantial and fragile in nature, which makes it difficult for a forensic investigator to trace criminal activities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According to Locard's Exchange Principle: </w:t>
      </w:r>
      <w:r>
        <w:rPr>
          <w:rFonts w:ascii="Calibri" w:cs="Calibri" w:eastAsia="Calibri" w:hAnsi="Calibri"/>
          <w:b w:val="false"/>
          <w:bCs w:val="false"/>
          <w:i/>
          <w:iCs/>
          <w:strike w:val="false"/>
          <w:color w:val="000000"/>
          <w:sz w:val="22"/>
          <w:szCs w:val="22"/>
        </w:rPr>
        <w:t xml:space="preserve">"Anyone or anything entering a crime scene takes something of the scene with them, and leaves something of themselves behind when they leave."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6 — Types of Digital Evidence</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Volatile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 that is lost as soon as the device is powered off. Examples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Logged-on user(s)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Network information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Process information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Process-to-port mapping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Process memory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Clipboard contents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Service/driver information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Command history</w:t>
      </w:r>
    </w:p>
    <w:p>
      <w:pPr>
        <w:pStyle w:val="Heading3"/>
        <w:spacing w:after="80" w:before="240" w:line="360" w:lineRule="auto"/>
      </w:pPr>
      <w:r>
        <w:rPr>
          <w:rFonts w:ascii="Calibri" w:cs="Calibri" w:eastAsia="Calibri" w:hAnsi="Calibri"/>
          <w:color w:val="1A3A5C"/>
          <w:sz w:val="24"/>
          <w:szCs w:val="24"/>
        </w:rPr>
        <w:t xml:space="preserve">Non-Volatile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Permanent data stored on secondary storage devices such as hard disks, solid-state drives, and flash drives. Examples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Hidden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Slack space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Swap file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Index.dat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Unallocated clusters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Unused partitions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Hidden partitions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Registry settings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Event logs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7 — Roles of Digital Evidence</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Role</w:t>
            </w:r>
          </w:p>
        </w:tc>
        <w:tc>
          <w:tcPr>
            <w:tcW w:type="pct" w:w="7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Description</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Proof of an Act</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Proves that a specific action took place, such as unauthorized access, malware injection, or data exfiltration</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Corroborative and Contradictory Evidence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Supports other pieces of evidence or testimony; can also challenge statements or other evidence presented in a case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Linking Evidence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Links suspects to crime scenes, victims, or other suspects (e.g., shared digital artifacts linking two devices in the same cyberattack)</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Exculpatory Evidence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Exonerates someone from blame (e.g., digital records showing the accused was not active on their device at the time of the crime)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Contextual Evidence</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Provides context to actions or events, helping obtain a clearer picture of what transpired</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Timeline Construction</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Constructs a sequence of events using system/application logs, metadata, and timestamps</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Identity Verification</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Identifies unknown victims or suspects based on personal information found on devices or online</w:t>
            </w:r>
          </w:p>
        </w:tc>
      </w:tr>
      <w:tr>
        <w:trPr>
          <w:tblHeader w:val="false"/>
        </w:trPr>
        <w:tc>
          <w:tcPr>
            <w:tcW w:type="pct" w:w="27%"/>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Policy and Compliance Verification</w:t>
            </w:r>
          </w:p>
        </w:tc>
        <w:tc>
          <w:tcPr>
            <w:tcW w:type="pct" w:w="7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Determines if employees are adhering to company policies or legal regulations</w:t>
            </w:r>
          </w:p>
        </w:tc>
      </w:tr>
    </w:tbl>
    <w:p>
      <w:pPr>
        <w:spacing w:after="20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8 — Sources of Potential Evidence</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User-Created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Address books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Database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Media files (images, graphics, audio, video)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 files (text, spreadsheet, presentation)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Internet bookmarks / favorites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Emails and cloud storage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Hidden partitions</w:t>
      </w:r>
    </w:p>
    <w:p>
      <w:pPr>
        <w:pStyle w:val="Heading3"/>
        <w:spacing w:after="80" w:before="240" w:line="360" w:lineRule="auto"/>
      </w:pPr>
      <w:r>
        <w:rPr>
          <w:rFonts w:ascii="Calibri" w:cs="Calibri" w:eastAsia="Calibri" w:hAnsi="Calibri"/>
          <w:color w:val="1A3A5C"/>
          <w:sz w:val="24"/>
          <w:szCs w:val="24"/>
        </w:rPr>
        <w:t xml:space="preserve">User-Protected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Compressed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Misnamed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Encrypted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Password-protected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Hidden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Steganography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Blockchain ledgers</w:t>
      </w:r>
    </w:p>
    <w:p>
      <w:pPr>
        <w:pStyle w:val="Heading3"/>
        <w:spacing w:after="80" w:before="240" w:line="360" w:lineRule="auto"/>
      </w:pPr>
      <w:r>
        <w:rPr>
          <w:rFonts w:ascii="Calibri" w:cs="Calibri" w:eastAsia="Calibri" w:hAnsi="Calibri"/>
          <w:color w:val="1A3A5C"/>
          <w:sz w:val="24"/>
          <w:szCs w:val="24"/>
        </w:rPr>
        <w:t xml:space="preserve">Computer-Created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Backup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Configuration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Printer spool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Cookies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Swap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History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Temporary files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9 — Rules of Evidence</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w:t>
            </w:r>
          </w:p>
        </w:tc>
        <w:tc>
          <w:tcPr>
            <w:tcW w:type="pct" w:w="1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Rule</w:t>
            </w:r>
          </w:p>
        </w:tc>
        <w:tc>
          <w:tcPr>
            <w:tcW w:type="pct" w:w="7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Description</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Understandable</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Evidence must be clear and understandable to judges</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Admissible</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Evidence must be related to the fact being proved</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Authentic</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Evidence must be real and appropriately related to the incident</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Reliable</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There must be no doubt about the authenticity or veracity of the evidence</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Complete</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The evidence must prove the attacker's actions or his/her innocence</w:t>
            </w:r>
          </w:p>
        </w:tc>
      </w:tr>
      <w:tr>
        <w:trPr>
          <w:tblHeader w:val="false"/>
        </w:trPr>
        <w:tc>
          <w:tcPr>
            <w:tcW w:type="pct" w:w="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9%"/>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Materiality</w:t>
            </w:r>
          </w:p>
        </w:tc>
        <w:tc>
          <w:tcPr>
            <w:tcW w:type="pct" w:w="7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The evidence should pertain directly to a particular matter at issue in the case</w:t>
            </w:r>
          </w:p>
        </w:tc>
      </w:tr>
    </w:tbl>
    <w:p>
      <w:pPr>
        <w:spacing w:after="20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10 — Overview of Incident Response Process Flow</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Incident Recording and Assignment</w:t>
      </w:r>
    </w:p>
    <w:p>
      <w:pPr>
        <w:pStyle w:val="ListParagraph"/>
        <w:numPr>
          <w:ilvl w:val="0"/>
          <w:numId w:val="1"/>
        </w:numPr>
        <w:spacing w:after="60" w:line="408" w:lineRule="auto"/>
        <w:ind w:left="720" w:hanging="360"/>
      </w:pPr>
      <w:r>
        <w:t xml:space="preserve">IT Support receives report</w:t>
      </w:r>
    </w:p>
    <w:p>
      <w:pPr>
        <w:pStyle w:val="ListParagraph"/>
        <w:numPr>
          <w:ilvl w:val="0"/>
          <w:numId w:val="1"/>
        </w:numPr>
        <w:spacing w:after="60" w:line="408" w:lineRule="auto"/>
        <w:ind w:left="720" w:hanging="360"/>
      </w:pPr>
      <w:r>
        <w:t xml:space="preserve">Is it a Security Incident?</w:t>
      </w:r>
    </w:p>
    <w:p>
      <w:pPr>
        <w:pStyle w:val="ListParagraph"/>
        <w:numPr>
          <w:ilvl w:val="1"/>
          <w:numId w:val="1"/>
        </w:numPr>
        <w:spacing w:after="60" w:line="408" w:lineRule="auto"/>
        <w:ind w:left="1440" w:hanging="360"/>
      </w:pPr>
      <w:r>
        <w:rPr>
          <w:b/>
          <w:bCs/>
          <w:color w:val="000000"/>
        </w:rPr>
        <w:t xml:space="preserve">NO</w:t>
      </w:r>
      <w:r>
        <w:t xml:space="preserve"> → Not Classified as Security Incident</w:t>
      </w:r>
    </w:p>
    <w:p>
      <w:pPr>
        <w:pStyle w:val="ListParagraph"/>
        <w:numPr>
          <w:ilvl w:val="1"/>
          <w:numId w:val="1"/>
        </w:numPr>
        <w:spacing w:after="60" w:line="408" w:lineRule="auto"/>
        <w:ind w:left="1440" w:hanging="360"/>
      </w:pPr>
      <w:r>
        <w:rPr>
          <w:b/>
          <w:bCs/>
          <w:color w:val="000000"/>
        </w:rPr>
        <w:t xml:space="preserve">YES</w:t>
      </w:r>
      <w:r>
        <w:t xml:space="preserve"> → IH&amp;R Team Assigned</w:t>
      </w:r>
    </w:p>
    <w:p>
      <w:pPr>
        <w:pStyle w:val="Heading3"/>
        <w:spacing w:after="80" w:before="240" w:line="360" w:lineRule="auto"/>
      </w:pPr>
      <w:r>
        <w:rPr>
          <w:rFonts w:ascii="Calibri" w:cs="Calibri" w:eastAsia="Calibri" w:hAnsi="Calibri"/>
          <w:color w:val="1A3A5C"/>
          <w:sz w:val="24"/>
          <w:szCs w:val="24"/>
        </w:rPr>
        <w:t xml:space="preserve">Incident Triage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Incident Analysis and Validation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Incident Classification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Incident Prioritization</w:t>
      </w:r>
    </w:p>
    <w:p>
      <w:pPr>
        <w:pStyle w:val="Heading3"/>
        <w:spacing w:after="80" w:before="240" w:line="360" w:lineRule="auto"/>
      </w:pPr>
      <w:r>
        <w:rPr>
          <w:rFonts w:ascii="Calibri" w:cs="Calibri" w:eastAsia="Calibri" w:hAnsi="Calibri"/>
          <w:color w:val="1A3A5C"/>
          <w:sz w:val="24"/>
          <w:szCs w:val="24"/>
        </w:rPr>
        <w:t xml:space="preserve">Preparation for IH&amp;R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Notification (Management and Other Departments)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Containment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Evidence Gathering and Forensic Analysis (Forensics Dept.)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Eradication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Recovery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Incident Documentation</w:t>
      </w:r>
    </w:p>
    <w:p>
      <w:pPr>
        <w:pStyle w:val="Heading3"/>
        <w:spacing w:after="80" w:before="240" w:line="360" w:lineRule="auto"/>
      </w:pPr>
      <w:r>
        <w:rPr>
          <w:rFonts w:ascii="Calibri" w:cs="Calibri" w:eastAsia="Calibri" w:hAnsi="Calibri"/>
          <w:color w:val="1A3A5C"/>
          <w:sz w:val="24"/>
          <w:szCs w:val="24"/>
        </w:rPr>
        <w:t xml:space="preserve">Post-Incident Activities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Incident Impact Assessment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Review and Revise Policies</w:t>
      </w:r>
    </w:p>
    <w:p>
      <w:pPr>
        <w:pStyle w:val="Heading3"/>
        <w:spacing w:after="80" w:before="240" w:line="360" w:lineRule="auto"/>
      </w:pPr>
      <w:r>
        <w:rPr>
          <w:rFonts w:ascii="Calibri" w:cs="Calibri" w:eastAsia="Calibri" w:hAnsi="Calibri"/>
          <w:color w:val="1A3A5C"/>
          <w:sz w:val="24"/>
          <w:szCs w:val="24"/>
        </w:rPr>
        <w:t xml:space="preserve">Incident Disclosure</w:t>
      </w:r>
    </w:p>
    <w:p>
      <w:pPr>
        <w:pStyle w:val="ListParagraph"/>
        <w:numPr>
          <w:ilvl w:val="0"/>
          <w:numId w:val="1"/>
        </w:numPr>
        <w:spacing w:after="60" w:line="408" w:lineRule="auto"/>
        <w:ind w:left="720" w:hanging="360"/>
      </w:pPr>
      <w:r>
        <w:t xml:space="preserve">Disclosure Procedure</w:t>
      </w:r>
    </w:p>
    <w:p>
      <w:pPr>
        <w:pStyle w:val="ListParagraph"/>
        <w:numPr>
          <w:ilvl w:val="0"/>
          <w:numId w:val="1"/>
        </w:numPr>
        <w:spacing w:after="60" w:line="408" w:lineRule="auto"/>
        <w:ind w:left="720" w:hanging="360"/>
      </w:pPr>
      <w:r>
        <w:t xml:space="preserve">Disclosure Required?</w:t>
      </w:r>
    </w:p>
    <w:p>
      <w:pPr>
        <w:pStyle w:val="ListParagraph"/>
        <w:numPr>
          <w:ilvl w:val="1"/>
          <w:numId w:val="1"/>
        </w:numPr>
        <w:spacing w:after="60" w:line="408" w:lineRule="auto"/>
        <w:ind w:left="1440" w:hanging="360"/>
      </w:pPr>
      <w:r>
        <w:rPr>
          <w:b/>
          <w:bCs/>
          <w:color w:val="000000"/>
        </w:rPr>
        <w:t xml:space="preserve">YES</w:t>
      </w:r>
      <w:r>
        <w:t xml:space="preserve"> → Close Incident</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11 — Code of Ethics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Code of ethics for computer forensics investigators ensures that they operate with the highest standards of integrity, impartiality, and professionalism.</w:t>
      </w:r>
    </w:p>
    <w:p>
      <w:pPr>
        <w:pStyle w:val="Heading3"/>
        <w:spacing w:after="80" w:before="240" w:line="360" w:lineRule="auto"/>
      </w:pPr>
      <w:r>
        <w:rPr>
          <w:rFonts w:ascii="Calibri" w:cs="Calibri" w:eastAsia="Calibri" w:hAnsi="Calibri"/>
          <w:color w:val="1A3A5C"/>
          <w:sz w:val="24"/>
          <w:szCs w:val="24"/>
        </w:rPr>
        <w:t xml:space="preserve">A computer forensic investigator should: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Act in accordance with federal statutes, state statutes, and local laws and policies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Testify honestly before any board, court, or trial proceedings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Always provide truthful and accurate information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Avoid biases, conflicts of interest, or any external influences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Respect and protect the privacy rights of clients and involved parties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a clear chain of custody for all evidence to ensure its authenticity and integrity</w:t>
      </w:r>
    </w:p>
    <w:p>
      <w:pPr>
        <w:pStyle w:val="Heading3"/>
        <w:spacing w:after="80" w:before="240" w:line="360" w:lineRule="auto"/>
      </w:pPr>
      <w:r>
        <w:rPr>
          <w:rFonts w:ascii="Calibri" w:cs="Calibri" w:eastAsia="Calibri" w:hAnsi="Calibri"/>
          <w:color w:val="1A3A5C"/>
          <w:sz w:val="24"/>
          <w:szCs w:val="24"/>
        </w:rPr>
        <w:t xml:space="preserve">A computer forensic investigator should NOT: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Refuse any evidence because that may cause failure in the case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Disclose any information without proper authorization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Take on assignments beyond his/her skills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Perform actions that significantly lead to a conflict of interest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personal or prejudiced opinions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Retain any evidence relevant to the case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Make early or premature assumptions without performing a thorough analysis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12 — Computer Forensics and Legal Compliance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Evidence collected and analyzed must be admissible in a court of law. Compliance with certain regulations and standards is crucial in computer forensic investigation and analysis.</w:t>
      </w:r>
    </w:p>
    <w:p>
      <w:pPr>
        <w:pStyle w:val="Heading3"/>
        <w:spacing w:after="80" w:before="240" w:line="360" w:lineRule="auto"/>
      </w:pPr>
      <w:r>
        <w:rPr>
          <w:rFonts w:ascii="Calibri" w:cs="Calibri" w:eastAsia="Calibri" w:hAnsi="Calibri"/>
          <w:color w:val="1A3A5C"/>
          <w:sz w:val="24"/>
          <w:szCs w:val="24"/>
        </w:rPr>
        <w:t xml:space="preserve">Relevant Acts and Regulations: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Gramm-Leach-Bliley Act (GLBA)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Federal Information Security Modernization Act of 2014 (FISMA)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Health Insurance Portability and Accountability Act of 1996 (HIPAA)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Electronic Communications Privacy Act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General Data Protection Regulation (GDPR)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Protection Act 2018</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Payment Card Industry Data Security Standard (PCI DSS)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Sarbanes-Oxley Act (SOX) of 2002</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13 — Seeking Consent</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user is present at the crime scene, their consent is required before searching for evidence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Appropriate forms for the jurisdiction must be used and carried in the forensic grab bag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Activities related to search and seizure should be part of a well-documented procedure detailed in the obtained consent</w:t>
      </w:r>
    </w:p>
    <w:p>
      <w:pPr>
        <w:pStyle w:val="Heading3"/>
        <w:spacing w:after="80" w:before="240" w:line="360" w:lineRule="auto"/>
      </w:pPr>
      <w:r>
        <w:rPr>
          <w:rFonts w:ascii="Calibri" w:cs="Calibri" w:eastAsia="Calibri" w:hAnsi="Calibri"/>
          <w:color w:val="1A3A5C"/>
          <w:sz w:val="24"/>
          <w:szCs w:val="24"/>
        </w:rPr>
        <w:t xml:space="preserve">Sample Consent Form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Consent to Search Electronic Media</w:t>
      </w:r>
      <w:r>
        <w:rPr>
          <w:rFonts w:ascii="Calibri" w:cs="Calibri" w:eastAsia="Calibri" w:hAnsi="Calibri"/>
          <w:b w:val="false"/>
          <w:bCs w:val="false"/>
          <w:i w:val="false"/>
          <w:iCs w:val="false"/>
          <w:strike w:val="false"/>
          <w:color w:val="000000"/>
          <w:sz w:val="22"/>
          <w:szCs w:val="22"/>
        </w:rPr>
        <w:t xml:space="preserve"> — Grants permission to search electronic devices and collect forensic evidence; includes spaces for location, consentor signature, witness signature, and date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Voluntary Consent to Search</w:t>
      </w:r>
      <w:r>
        <w:rPr>
          <w:rFonts w:ascii="Calibri" w:cs="Calibri" w:eastAsia="Calibri" w:hAnsi="Calibri"/>
          <w:b w:val="false"/>
          <w:bCs w:val="false"/>
          <w:i w:val="false"/>
          <w:iCs w:val="false"/>
          <w:strike w:val="false"/>
          <w:color w:val="000000"/>
          <w:sz w:val="22"/>
          <w:szCs w:val="22"/>
        </w:rPr>
        <w:t xml:space="preserve"> — Affirms voluntary consent to search without threat or pressure; includes spaces for witness, signature of person consenting, date of birth (DOB), social security number (SSN), and date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14 — Obtaining Warrant for Search and Seizure</w:t>
      </w:r>
    </w:p>
    <w:p>
      <w:pPr>
        <w:pBdr>
          <w:top w:val="single" w:color="2B5797" w:sz="6"/>
        </w:pBdr>
        <w:spacing w:after="200" w:before="0"/>
      </w:pPr>
    </w:p>
    <w:p>
      <w:pPr>
        <w:pStyle w:val="ListParagraph"/>
        <w:numPr>
          <w:ilvl w:val="0"/>
          <w:numId w:val="1"/>
        </w:numPr>
        <w:spacing w:after="60" w:line="408" w:lineRule="auto"/>
        <w:ind w:left="720" w:hanging="360"/>
      </w:pPr>
      <w:r>
        <w:t xml:space="preserve">A search warrant is a written order issued by a judge that directs a law enforcement officer to search for a particular piece of evidence at a particular location</w:t>
      </w:r>
    </w:p>
    <w:p>
      <w:pPr>
        <w:pStyle w:val="ListParagraph"/>
        <w:numPr>
          <w:ilvl w:val="0"/>
          <w:numId w:val="1"/>
        </w:numPr>
        <w:spacing w:after="60" w:line="408" w:lineRule="auto"/>
        <w:ind w:left="720" w:hanging="360"/>
      </w:pPr>
      <w:r>
        <w:t xml:space="preserve">The investigating officer must conduct the investigation process in a lawful manner; this implies that a search warrant from the court is required for search and seizure</w:t>
      </w:r>
    </w:p>
    <w:p>
      <w:pPr>
        <w:pStyle w:val="ListParagraph"/>
        <w:numPr>
          <w:ilvl w:val="0"/>
          <w:numId w:val="1"/>
        </w:numPr>
        <w:spacing w:after="60" w:line="408" w:lineRule="auto"/>
        <w:ind w:left="720" w:hanging="360"/>
      </w:pPr>
      <w:r>
        <w:t xml:space="preserve">Search warrants for electronic devices focus on the following:</w:t>
      </w:r>
    </w:p>
    <w:p>
      <w:pPr>
        <w:pStyle w:val="ListParagraph"/>
        <w:numPr>
          <w:ilvl w:val="1"/>
          <w:numId w:val="1"/>
        </w:numPr>
        <w:spacing w:after="60" w:line="408" w:lineRule="auto"/>
        <w:ind w:left="1440" w:hanging="360"/>
      </w:pPr>
      <w:r>
        <w:t xml:space="preserve">An </w:t>
      </w:r>
      <w:r>
        <w:rPr>
          <w:b/>
          <w:bCs/>
          <w:color w:val="000000"/>
        </w:rPr>
        <w:t xml:space="preserve">electronic storage device search warrant</w:t>
      </w:r>
      <w:r>
        <w:t xml:space="preserve"> allows the investigating team to search and seize the victim computer and related components</w:t>
      </w:r>
    </w:p>
    <w:p>
      <w:pPr>
        <w:pStyle w:val="ListParagraph"/>
        <w:numPr>
          <w:ilvl w:val="1"/>
          <w:numId w:val="1"/>
        </w:numPr>
        <w:spacing w:after="60" w:line="408" w:lineRule="auto"/>
        <w:ind w:left="1440" w:hanging="360"/>
      </w:pPr>
      <w:r>
        <w:t xml:space="preserve">A </w:t>
      </w:r>
      <w:r>
        <w:rPr>
          <w:b/>
          <w:bCs/>
          <w:color w:val="000000"/>
        </w:rPr>
        <w:t xml:space="preserve">service provider search warrant</w:t>
      </w:r>
      <w:r>
        <w:t xml:space="preserve"> allows investigators to consult the service provider and obtain the available victim computer information</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15 — Search Without Warrant</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Some general scenarios where searches without a warrant might be considered legally permissible: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there is a risk of evidence being destroyed, law enforcement may be able to proceed without a warrant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 some jurisdictions, police may search devices immediately associated with an arrested person as part of the arrest process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owner of the device or account gives explicit consent for the search, a warrant may not be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Employees often have diminished expectations of privacy on work devices, which may allow for searches without a warrant, but this is subject to local laws and regulations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evidence of a crime is clearly visible, law enforcement may be permitted to seize it without a warrant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Some countries allow for warrantless searches at border crossings, including the inspection of electronic devices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Publicly available data such as social media posts generally do not require a warrant for examination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Information willingly shared with a third party may have a reduced expectation of privacy, although this is subject to legal interpretation and is changing with new privacy laws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16 — Dealing with Powered-on Computers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Investigators must act with caution while dealing with powered-on computers to prevent any damage to the evidence residing on them. In powered-on computers, the contents of RAM may contain vital information, which is volatile in nature.</w:t>
      </w:r>
    </w:p>
    <w:p>
      <w:pPr>
        <w:pStyle w:val="Heading3"/>
        <w:spacing w:after="80" w:before="240" w:line="360" w:lineRule="auto"/>
      </w:pPr>
      <w:r>
        <w:rPr>
          <w:rFonts w:ascii="Calibri" w:cs="Calibri" w:eastAsia="Calibri" w:hAnsi="Calibri"/>
          <w:color w:val="1A3A5C"/>
          <w:sz w:val="24"/>
          <w:szCs w:val="24"/>
        </w:rPr>
        <w:t xml:space="preserve">Steps for obtaining evidence from powered-on computers: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computer is </w:t>
      </w:r>
      <w:r>
        <w:rPr>
          <w:rFonts w:ascii="Calibri" w:cs="Calibri" w:eastAsia="Calibri" w:hAnsi="Calibri"/>
          <w:b/>
          <w:bCs/>
          <w:i w:val="false"/>
          <w:iCs w:val="false"/>
          <w:strike w:val="false"/>
          <w:color w:val="000000"/>
          <w:sz w:val="22"/>
          <w:szCs w:val="22"/>
        </w:rPr>
        <w:t xml:space="preserve">ON and the screen is viewable</w:t>
      </w:r>
      <w:r>
        <w:rPr>
          <w:rFonts w:ascii="Calibri" w:cs="Calibri" w:eastAsia="Calibri" w:hAnsi="Calibri"/>
          <w:b w:val="false"/>
          <w:bCs w:val="false"/>
          <w:i w:val="false"/>
          <w:iCs w:val="false"/>
          <w:strike w:val="false"/>
          <w:color w:val="000000"/>
          <w:sz w:val="22"/>
          <w:szCs w:val="22"/>
        </w:rPr>
        <w:t xml:space="preserve">, photograph the screen and document the running programs, open files, or data of evidentiary value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computer is </w:t>
      </w:r>
      <w:r>
        <w:rPr>
          <w:rFonts w:ascii="Calibri" w:cs="Calibri" w:eastAsia="Calibri" w:hAnsi="Calibri"/>
          <w:b/>
          <w:bCs/>
          <w:i w:val="false"/>
          <w:iCs w:val="false"/>
          <w:strike w:val="false"/>
          <w:color w:val="000000"/>
          <w:sz w:val="22"/>
          <w:szCs w:val="22"/>
        </w:rPr>
        <w:t xml:space="preserve">ON and the monitor shows a screensaver</w:t>
      </w:r>
      <w:r>
        <w:rPr>
          <w:rFonts w:ascii="Calibri" w:cs="Calibri" w:eastAsia="Calibri" w:hAnsi="Calibri"/>
          <w:b w:val="false"/>
          <w:bCs w:val="false"/>
          <w:i w:val="false"/>
          <w:iCs w:val="false"/>
          <w:strike w:val="false"/>
          <w:color w:val="000000"/>
          <w:sz w:val="22"/>
          <w:szCs w:val="22"/>
        </w:rPr>
        <w:t xml:space="preserve">, move the mouse slowly without pressing any mouse button; then photograph the screen and document the programs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w:t>
      </w:r>
      <w:r>
        <w:rPr>
          <w:rFonts w:ascii="Calibri" w:cs="Calibri" w:eastAsia="Calibri" w:hAnsi="Calibri"/>
          <w:b/>
          <w:bCs/>
          <w:i w:val="false"/>
          <w:iCs w:val="false"/>
          <w:strike w:val="false"/>
          <w:color w:val="000000"/>
          <w:sz w:val="22"/>
          <w:szCs w:val="22"/>
        </w:rPr>
        <w:t xml:space="preserve">portable computer wakes up</w:t>
      </w:r>
      <w:r>
        <w:rPr>
          <w:rFonts w:ascii="Calibri" w:cs="Calibri" w:eastAsia="Calibri" w:hAnsi="Calibri"/>
          <w:b w:val="false"/>
          <w:bCs w:val="false"/>
          <w:i w:val="false"/>
          <w:iCs w:val="false"/>
          <w:strike w:val="false"/>
          <w:color w:val="000000"/>
          <w:sz w:val="22"/>
          <w:szCs w:val="22"/>
        </w:rPr>
        <w:t xml:space="preserve">, record the time and date at which this occurred, take photographs of the screen, and document all programs running</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17 — Dealing with Powered-on Computers (Cont'd)</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Pull the power cord from the back of the computer immediately if: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There is an on-screen indication of data being overwritten or deleted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Destructive processes are observed to be running to obliterate data from storage devices</w:t>
      </w:r>
    </w:p>
    <w:p>
      <w:pPr>
        <w:pStyle w:val="Heading3"/>
        <w:spacing w:after="80" w:before="240" w:line="360" w:lineRule="auto"/>
      </w:pPr>
      <w:r>
        <w:rPr>
          <w:rFonts w:ascii="Calibri" w:cs="Calibri" w:eastAsia="Calibri" w:hAnsi="Calibri"/>
          <w:color w:val="1A3A5C"/>
          <w:sz w:val="24"/>
          <w:szCs w:val="24"/>
        </w:rPr>
        <w:t xml:space="preserve">Do NOT disconnect the power if: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of evidential value is visible on the computer display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There are active programs or files in use such as chatrooms, open text files, financial documents, and instant messages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After collecting volatile data, pull the plug from the back of the computer to disconnect the power supply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 the case of portable computers, remove the battery and unplug the power cord from the wall socket</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18 — Dealing with Powered-off Computers</w:t>
      </w:r>
    </w:p>
    <w:p>
      <w:pPr>
        <w:pBdr>
          <w:top w:val="single" w:color="2B5797" w:sz="6"/>
        </w:pBdr>
        <w:spacing w:after="200" w:before="0"/>
      </w:pPr>
    </w:p>
    <w:p>
      <w:pPr>
        <w:pStyle w:val="ListParagraph"/>
        <w:numPr>
          <w:ilvl w:val="0"/>
          <w:numId w:val="1"/>
        </w:numPr>
        <w:spacing w:after="60" w:line="408" w:lineRule="auto"/>
        <w:ind w:left="720" w:hanging="360"/>
      </w:pPr>
      <w:r>
        <w:t xml:space="preserve">If the computer is switched off, leave it </w:t>
      </w:r>
      <w:r>
        <w:rPr>
          <w:b/>
          <w:bCs/>
          <w:color w:val="000000"/>
        </w:rPr>
        <w:t xml:space="preserve">OFF</w:t>
      </w:r>
    </w:p>
    <w:p>
      <w:pPr>
        <w:pStyle w:val="ListParagraph"/>
        <w:numPr>
          <w:ilvl w:val="0"/>
          <w:numId w:val="1"/>
        </w:numPr>
        <w:spacing w:after="60" w:line="408" w:lineRule="auto"/>
        <w:ind w:left="720" w:hanging="360"/>
      </w:pPr>
      <w:r>
        <w:t xml:space="preserve">Before moving anything, photograph the computer, its connections, peripherals, and surroundings</w:t>
      </w:r>
    </w:p>
    <w:p>
      <w:pPr>
        <w:pStyle w:val="ListParagraph"/>
        <w:numPr>
          <w:ilvl w:val="0"/>
          <w:numId w:val="1"/>
        </w:numPr>
        <w:spacing w:after="60" w:line="408" w:lineRule="auto"/>
        <w:ind w:left="720" w:hanging="360"/>
      </w:pPr>
      <w:r>
        <w:t xml:space="preserve">Disassemble and package it as follows:</w:t>
      </w:r>
    </w:p>
    <w:p>
      <w:pPr>
        <w:pStyle w:val="ListParagraph"/>
        <w:numPr>
          <w:ilvl w:val="1"/>
          <w:numId w:val="1"/>
        </w:numPr>
        <w:spacing w:after="60" w:line="408" w:lineRule="auto"/>
        <w:ind w:left="1440" w:hanging="360"/>
      </w:pPr>
      <w:r>
        <w:t xml:space="preserve">Remove the power supply cord from the back of the computer and wall outlet (or battery backup device) and secure it</w:t>
      </w:r>
    </w:p>
    <w:p>
      <w:pPr>
        <w:pStyle w:val="ListParagraph"/>
        <w:numPr>
          <w:ilvl w:val="1"/>
          <w:numId w:val="1"/>
        </w:numPr>
        <w:spacing w:after="60" w:line="408" w:lineRule="auto"/>
        <w:ind w:left="1440" w:hanging="360"/>
      </w:pPr>
      <w:r>
        <w:t xml:space="preserve">Disconnect all wires and cables from the computer and secure them</w:t>
      </w:r>
    </w:p>
    <w:p>
      <w:pPr>
        <w:pStyle w:val="ListParagraph"/>
        <w:numPr>
          <w:ilvl w:val="1"/>
          <w:numId w:val="1"/>
        </w:numPr>
        <w:spacing w:after="60" w:line="408" w:lineRule="auto"/>
        <w:ind w:left="1440" w:hanging="360"/>
      </w:pPr>
      <w:r>
        <w:t xml:space="preserve">Check for any removable media and secure them if present</w:t>
      </w:r>
    </w:p>
    <w:p>
      <w:pPr>
        <w:pStyle w:val="ListParagraph"/>
        <w:numPr>
          <w:ilvl w:val="1"/>
          <w:numId w:val="1"/>
        </w:numPr>
        <w:spacing w:after="60" w:line="408" w:lineRule="auto"/>
        <w:ind w:left="1440" w:hanging="360"/>
      </w:pPr>
      <w:r>
        <w:t xml:space="preserve">Tag the evidence clearly and note all important details in the search and seizure evidence log</w:t>
      </w:r>
    </w:p>
    <w:p>
      <w:pPr>
        <w:pStyle w:val="ListParagraph"/>
        <w:numPr>
          <w:ilvl w:val="1"/>
          <w:numId w:val="1"/>
        </w:numPr>
        <w:spacing w:after="60" w:line="408" w:lineRule="auto"/>
        <w:ind w:left="1440" w:hanging="360"/>
      </w:pPr>
      <w:r>
        <w:t xml:space="preserve">Document the chain of custody</w:t>
      </w:r>
    </w:p>
    <w:p>
      <w:pPr>
        <w:pStyle w:val="ListParagraph"/>
        <w:numPr>
          <w:ilvl w:val="0"/>
          <w:numId w:val="1"/>
        </w:numPr>
        <w:spacing w:after="60" w:line="408" w:lineRule="auto"/>
        <w:ind w:left="720" w:hanging="360"/>
      </w:pPr>
      <w:r>
        <w:t xml:space="preserve">If a monitor is switched </w:t>
      </w:r>
      <w:r>
        <w:rPr>
          <w:b/>
          <w:bCs/>
          <w:color w:val="000000"/>
        </w:rPr>
        <w:t xml:space="preserve">OFF</w:t>
      </w:r>
      <w:r>
        <w:t xml:space="preserve"> and the display is blank:</w:t>
      </w:r>
    </w:p>
    <w:p>
      <w:pPr>
        <w:pStyle w:val="ListParagraph"/>
        <w:numPr>
          <w:ilvl w:val="1"/>
          <w:numId w:val="1"/>
        </w:numPr>
        <w:spacing w:after="60" w:line="408" w:lineRule="auto"/>
        <w:ind w:left="1440" w:hanging="360"/>
      </w:pPr>
      <w:r>
        <w:t xml:space="preserve">Turn the monitor ON, move the mouse slightly, observe changes from blank screen, and note them</w:t>
      </w:r>
    </w:p>
    <w:p>
      <w:pPr>
        <w:pStyle w:val="ListParagraph"/>
        <w:numPr>
          <w:ilvl w:val="1"/>
          <w:numId w:val="1"/>
        </w:numPr>
        <w:spacing w:after="60" w:line="408" w:lineRule="auto"/>
        <w:ind w:left="1440" w:hanging="360"/>
      </w:pPr>
      <w:r>
        <w:t xml:space="preserve">Photograph the screen</w:t>
      </w:r>
    </w:p>
    <w:p>
      <w:pPr>
        <w:pStyle w:val="ListParagraph"/>
        <w:numPr>
          <w:ilvl w:val="0"/>
          <w:numId w:val="1"/>
        </w:numPr>
        <w:spacing w:after="60" w:line="408" w:lineRule="auto"/>
        <w:ind w:left="720" w:hanging="360"/>
      </w:pPr>
      <w:r>
        <w:t xml:space="preserve">If a monitor is switched </w:t>
      </w:r>
      <w:r>
        <w:rPr>
          <w:b/>
          <w:bCs/>
          <w:color w:val="000000"/>
        </w:rPr>
        <w:t xml:space="preserve">ON</w:t>
      </w:r>
      <w:r>
        <w:t xml:space="preserve"> and the display is blank:</w:t>
      </w:r>
    </w:p>
    <w:p>
      <w:pPr>
        <w:pStyle w:val="ListParagraph"/>
        <w:numPr>
          <w:ilvl w:val="1"/>
          <w:numId w:val="1"/>
        </w:numPr>
        <w:spacing w:after="60" w:line="408" w:lineRule="auto"/>
        <w:ind w:left="1440" w:hanging="360"/>
      </w:pPr>
      <w:r>
        <w:t xml:space="preserve">Move the mouse slightly</w:t>
      </w:r>
    </w:p>
    <w:p>
      <w:pPr>
        <w:pStyle w:val="ListParagraph"/>
        <w:numPr>
          <w:ilvl w:val="1"/>
          <w:numId w:val="1"/>
        </w:numPr>
        <w:spacing w:after="60" w:line="408" w:lineRule="auto"/>
        <w:ind w:left="1440" w:hanging="360"/>
      </w:pPr>
      <w:r>
        <w:t xml:space="preserve">If the screen does not change, do not press any keys</w:t>
      </w:r>
    </w:p>
    <w:p>
      <w:pPr>
        <w:pStyle w:val="ListParagraph"/>
        <w:numPr>
          <w:ilvl w:val="1"/>
          <w:numId w:val="1"/>
        </w:numPr>
        <w:spacing w:after="60" w:line="408" w:lineRule="auto"/>
        <w:ind w:left="1440" w:hanging="360"/>
      </w:pPr>
      <w:r>
        <w:t xml:space="preserve">Photograph the screen</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19 — Dealing with Networked Computers</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Unplug the network cable from the router and modem to prevent further attacks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Photograph all devices connected to the victim computer (router, modem, printer, scanner) from different angles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computer is turned OFF, leave it in that state and disassemble it following the appropriate procedure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computer is turned ON, photograph the screen and follow the steps for powered-on computers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Unplug the main power cord from the wall socket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Unplug all other cords and devices connected to the computer and label them for identification</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20 — Dealing with Smartphones or Other Handheld Devices</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1. Photograph the device and its screen display</w:t>
      </w:r>
    </w:p>
    <w:p>
      <w:pPr>
        <w:pStyle w:val="Heading3"/>
        <w:spacing w:after="80" w:before="240" w:line="360" w:lineRule="auto"/>
      </w:pPr>
      <w:r>
        <w:rPr>
          <w:rFonts w:ascii="Calibri" w:cs="Calibri" w:eastAsia="Calibri" w:hAnsi="Calibri"/>
          <w:color w:val="1A3A5C"/>
          <w:sz w:val="24"/>
          <w:szCs w:val="24"/>
        </w:rPr>
        <w:t xml:space="preserve">2. If the device is OFF — Do NOT turn it 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Collect and label the power cables and package the device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Collect information on whether any security feature is enabled (pass patterns, passwords, biometrics)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Look for any computing system that may contain device backups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Tag the evidence and note all important details in the search and seizure evidence log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 the chain of custody</w:t>
      </w:r>
    </w:p>
    <w:p>
      <w:pPr>
        <w:pStyle w:val="Heading3"/>
        <w:spacing w:after="80" w:before="240" w:line="360" w:lineRule="auto"/>
      </w:pPr>
      <w:r>
        <w:rPr>
          <w:rFonts w:ascii="Calibri" w:cs="Calibri" w:eastAsia="Calibri" w:hAnsi="Calibri"/>
          <w:color w:val="1A3A5C"/>
          <w:sz w:val="24"/>
          <w:szCs w:val="24"/>
        </w:rPr>
        <w:t xml:space="preserve">3. If the device is ON — Leave it as 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the device charged because evidence might be lost if the device is turned OFF</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21 — Chain of Custody</w:t>
      </w:r>
    </w:p>
    <w:p>
      <w:pPr>
        <w:pBdr>
          <w:top w:val="single" w:color="2B5797" w:sz="6"/>
        </w:pBdr>
        <w:spacing w:after="200" w:before="0"/>
      </w:pPr>
    </w:p>
    <w:p>
      <w:pPr>
        <w:pStyle w:val="ListParagraph"/>
        <w:numPr>
          <w:ilvl w:val="0"/>
          <w:numId w:val="1"/>
        </w:numPr>
        <w:spacing w:after="60" w:line="408" w:lineRule="auto"/>
        <w:ind w:left="720" w:hanging="360"/>
      </w:pPr>
      <w:r>
        <w:t xml:space="preserve">Chain of custody is a legal document that demonstrates the progression of evidence as it travels from the original evidence location to the forensic laboratory</w:t>
      </w:r>
    </w:p>
    <w:p>
      <w:pPr>
        <w:pStyle w:val="ListParagraph"/>
        <w:numPr>
          <w:ilvl w:val="0"/>
          <w:numId w:val="1"/>
        </w:numPr>
        <w:spacing w:after="60" w:line="408" w:lineRule="auto"/>
        <w:ind w:left="720" w:hanging="360"/>
      </w:pPr>
      <w:r>
        <w:t xml:space="preserve">The chain of custody administers the collection, handling, storage, testing, and disposition of evidence and safeguards against tampering with or substitution of evidence</w:t>
      </w:r>
    </w:p>
    <w:p>
      <w:pPr>
        <w:pStyle w:val="ListParagraph"/>
        <w:numPr>
          <w:ilvl w:val="0"/>
          <w:numId w:val="1"/>
        </w:numPr>
        <w:spacing w:after="60" w:line="408" w:lineRule="auto"/>
        <w:ind w:left="720" w:hanging="360"/>
      </w:pPr>
      <w:r>
        <w:t xml:space="preserve">Chain of custody documentation should list all people involved in collecting and preserving evidence and their actions, with a stamp for each activity</w:t>
      </w:r>
    </w:p>
    <w:p>
      <w:pPr>
        <w:pStyle w:val="ListParagraph"/>
        <w:numPr>
          <w:ilvl w:val="0"/>
          <w:numId w:val="1"/>
        </w:numPr>
        <w:spacing w:after="60" w:line="408" w:lineRule="auto"/>
        <w:ind w:left="720" w:hanging="360"/>
      </w:pPr>
      <w:r>
        <w:t xml:space="preserve">The chain of custody document contains complete information about the obtained evidence such as:</w:t>
      </w:r>
    </w:p>
    <w:p>
      <w:pPr>
        <w:pStyle w:val="ListParagraph"/>
        <w:numPr>
          <w:ilvl w:val="1"/>
          <w:numId w:val="1"/>
        </w:numPr>
        <w:spacing w:after="60" w:line="408" w:lineRule="auto"/>
        <w:ind w:left="1440" w:hanging="360"/>
      </w:pPr>
      <w:r>
        <w:t xml:space="preserve">Case number</w:t>
      </w:r>
    </w:p>
    <w:p>
      <w:pPr>
        <w:pStyle w:val="ListParagraph"/>
        <w:numPr>
          <w:ilvl w:val="1"/>
          <w:numId w:val="1"/>
        </w:numPr>
        <w:spacing w:after="60" w:line="408" w:lineRule="auto"/>
        <w:ind w:left="1440" w:hanging="360"/>
      </w:pPr>
      <w:r>
        <w:t xml:space="preserve">Name and title of the person who provided information</w:t>
      </w:r>
    </w:p>
    <w:p>
      <w:pPr>
        <w:pStyle w:val="ListParagraph"/>
        <w:numPr>
          <w:ilvl w:val="1"/>
          <w:numId w:val="1"/>
        </w:numPr>
        <w:spacing w:after="60" w:line="408" w:lineRule="auto"/>
        <w:ind w:left="1440" w:hanging="360"/>
      </w:pPr>
      <w:r>
        <w:t xml:space="preserve">Address and telephone number</w:t>
      </w:r>
    </w:p>
    <w:p>
      <w:pPr>
        <w:pStyle w:val="ListParagraph"/>
        <w:numPr>
          <w:ilvl w:val="1"/>
          <w:numId w:val="1"/>
        </w:numPr>
        <w:spacing w:after="60" w:line="408" w:lineRule="auto"/>
        <w:ind w:left="1440" w:hanging="360"/>
      </w:pPr>
      <w:r>
        <w:t xml:space="preserve">Location of evidence</w:t>
      </w:r>
    </w:p>
    <w:p>
      <w:pPr>
        <w:pStyle w:val="ListParagraph"/>
        <w:numPr>
          <w:ilvl w:val="1"/>
          <w:numId w:val="1"/>
        </w:numPr>
        <w:spacing w:after="60" w:line="408" w:lineRule="auto"/>
        <w:ind w:left="1440" w:hanging="360"/>
      </w:pPr>
      <w:r>
        <w:t xml:space="preserve">Date/time of evidence</w:t>
      </w:r>
    </w:p>
    <w:p>
      <w:pPr>
        <w:pStyle w:val="ListParagraph"/>
        <w:numPr>
          <w:ilvl w:val="1"/>
          <w:numId w:val="1"/>
        </w:numPr>
        <w:spacing w:after="60" w:line="408" w:lineRule="auto"/>
        <w:ind w:left="1440" w:hanging="360"/>
      </w:pPr>
      <w:r>
        <w:t xml:space="preserve">Item number / quantity / description of items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22 — Evidence Bag Contents List</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panel on the front of evidence bags must, at the very least, contain the following details: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Date and time of seizure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Incident responder / investigator who seized the evidence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Exhibit number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Site from which the evidence was seized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Details of contents of the evidence bag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Submitting agency and its address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23 — Packaging Evidence</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Ensure that the gathered electronic evidence is correctly documented, labeled, and listed before packaging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Pay special attention to hidden or trace evidence, and take necessary actions to safeguard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Pack magnetic media in antistatic packaging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use materials such as plastic bags for packaging because they may produce static electricity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Avoid folding and scratching storage devices such as pen drives and external hard drives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Make sure that all containers holding evidence are labeled appropriately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antishock packing material such as bubble wrap and Styrofoam in containers holding evidence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24 — Duplicating Data (Imaging)</w:t>
      </w:r>
    </w:p>
    <w:p>
      <w:pPr>
        <w:pBdr>
          <w:top w:val="single" w:color="2B5797"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duplicates of the collected data to preserve the original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should be duplicated bit-by-bit to represent the same original data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Calculate the hash value of the original data as well as that of the forensic image generated, and check if they match to verify integrity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After making a copy of the original data and verifying it, you can use the copy for further processing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industry standard or licensed hardware or software tools to duplicate data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a contaminant-free environment for duplicating data to prevent data corruption or damage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25 — Evidence Reconstruction</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analyzing evidence, investigators can reconstruct a crime and identify missing links.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Three fundamental types of analysis used in crime investigation: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Type</w:t>
            </w:r>
          </w:p>
        </w:tc>
        <w:tc>
          <w:tcPr>
            <w:tcW w:type="pct" w:w="8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Description</w:t>
            </w:r>
          </w:p>
        </w:tc>
      </w:tr>
      <w:tr>
        <w:trPr>
          <w:tblHeader w:val="false"/>
        </w:trPr>
        <w:tc>
          <w:tcPr>
            <w:tcW w:type="pct" w:w="1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Temporal Analysis</w:t>
            </w:r>
          </w:p>
        </w:tc>
        <w:tc>
          <w:tcPr>
            <w:tcW w:type="pct" w:w="8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Produces a sequential event trail, shedding light on what happened and who was involved</w:t>
            </w:r>
          </w:p>
        </w:tc>
      </w:tr>
      <w:tr>
        <w:trPr>
          <w:tblHeader w:val="false"/>
        </w:trPr>
        <w:tc>
          <w:tcPr>
            <w:tcW w:type="pct" w:w="1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Relational Analysis</w:t>
            </w:r>
          </w:p>
        </w:tc>
        <w:tc>
          <w:tcPr>
            <w:tcW w:type="pct" w:w="8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Correlates the actions of the suspect and victim</w:t>
            </w:r>
          </w:p>
        </w:tc>
      </w:tr>
      <w:tr>
        <w:trPr>
          <w:tblHeader w:val="false"/>
        </w:trPr>
        <w:tc>
          <w:tcPr>
            <w:tcW w:type="pct" w:w="18%"/>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Functional Analysis</w:t>
            </w:r>
          </w:p>
        </w:tc>
        <w:tc>
          <w:tcPr>
            <w:tcW w:type="pct" w:w="8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Provides a description of the possible conditions of a crime and testifies to the events responsible for a crime in relation to their functionalities</w:t>
            </w:r>
          </w:p>
        </w:tc>
      </w:tr>
    </w:tbl>
    <w:p>
      <w:pPr>
        <w:spacing w:after="20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26 — Understanding Hard Disk Drive</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HDD is a non-volatile digital data storage device that records data magnetically on a metallic platter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read/write performance of an HDD is directly proportional to the RPM (revolutions per minute) of the drive platter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Since an HDD contains moving parts, it is susceptible to physical damage, and the moving parts wear out over time</w:t>
      </w:r>
    </w:p>
    <w:p>
      <w:pPr>
        <w:pStyle w:val="Heading3"/>
        <w:spacing w:after="80" w:before="240" w:line="360" w:lineRule="auto"/>
      </w:pPr>
      <w:r>
        <w:rPr>
          <w:rFonts w:ascii="Calibri" w:cs="Calibri" w:eastAsia="Calibri" w:hAnsi="Calibri"/>
          <w:color w:val="1A3A5C"/>
          <w:sz w:val="24"/>
          <w:szCs w:val="24"/>
        </w:rPr>
        <w:t xml:space="preserve">Key HDD Components: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Slider (and head)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Actuator and actuator axis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Actuator arm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Platters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Spindle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Power connector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Jumper pins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SCSI connector</w:t>
      </w:r>
    </w:p>
    <w:p>
      <w:pPr>
        <w:pStyle w:val="Heading3"/>
        <w:spacing w:after="80" w:before="240" w:line="360" w:lineRule="auto"/>
      </w:pPr>
      <w:r>
        <w:rPr>
          <w:rFonts w:ascii="Calibri" w:cs="Calibri" w:eastAsia="Calibri" w:hAnsi="Calibri"/>
          <w:color w:val="1A3A5C"/>
          <w:sz w:val="24"/>
          <w:szCs w:val="24"/>
        </w:rPr>
        <w:t xml:space="preserve">Internal Data Organization: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Tracks</w:t>
      </w:r>
      <w:r>
        <w:rPr>
          <w:rFonts w:ascii="Calibri" w:cs="Calibri" w:eastAsia="Calibri" w:hAnsi="Calibri"/>
          <w:b w:val="false"/>
          <w:bCs w:val="false"/>
          <w:i w:val="false"/>
          <w:iCs w:val="false"/>
          <w:strike w:val="false"/>
          <w:color w:val="000000"/>
          <w:sz w:val="22"/>
          <w:szCs w:val="22"/>
        </w:rPr>
        <w:t xml:space="preserve"> — concentric circular paths on the platter surface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Clusters</w:t>
      </w:r>
      <w:r>
        <w:rPr>
          <w:rFonts w:ascii="Calibri" w:cs="Calibri" w:eastAsia="Calibri" w:hAnsi="Calibri"/>
          <w:b w:val="false"/>
          <w:bCs w:val="false"/>
          <w:i w:val="false"/>
          <w:iCs w:val="false"/>
          <w:strike w:val="false"/>
          <w:color w:val="000000"/>
          <w:sz w:val="22"/>
          <w:szCs w:val="22"/>
        </w:rPr>
        <w:t xml:space="preserve"> — groups of sectors allocated to a file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Sectors</w:t>
      </w:r>
      <w:r>
        <w:rPr>
          <w:rFonts w:ascii="Calibri" w:cs="Calibri" w:eastAsia="Calibri" w:hAnsi="Calibri"/>
          <w:b w:val="false"/>
          <w:bCs w:val="false"/>
          <w:i w:val="false"/>
          <w:iCs w:val="false"/>
          <w:strike w:val="false"/>
          <w:color w:val="000000"/>
          <w:sz w:val="22"/>
          <w:szCs w:val="22"/>
        </w:rPr>
        <w:t xml:space="preserve"> — the smallest storage unit on a platter</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27 — Understanding Hard Disk Drive (Cont'd)</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Tracks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Tracks are the concentric circles on platters where all information is stored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drive head can access these circular rings in one position at a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Tracks are numbered for identification purposes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Read/write is performed by rolling headers from the inner to the outermost part of the disk</w:t>
      </w:r>
    </w:p>
    <w:p>
      <w:pPr>
        <w:pStyle w:val="Heading3"/>
        <w:spacing w:after="80" w:before="240" w:line="360" w:lineRule="auto"/>
      </w:pPr>
      <w:r>
        <w:rPr>
          <w:rFonts w:ascii="Calibri" w:cs="Calibri" w:eastAsia="Calibri" w:hAnsi="Calibri"/>
          <w:color w:val="1A3A5C"/>
          <w:sz w:val="24"/>
          <w:szCs w:val="24"/>
        </w:rPr>
        <w:t xml:space="preserve">Sectors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sector is the smallest physical storage unit on the disk platter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sector holds data of fixed size: 512 bytes for standard HDDs; the latest HDDs use 4,096-byte (4 KB) sectors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disk sector is labelled using factory track-positioning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optimal method of storing a file on a disk is in a contiguous series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28 — Logical Structure of Disks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logical structure of a hard disk is the file system and software utilized to control access to the storage on the disk. It directly influences the consistency, performance, compatibility, and expandability of the storage subsystems of the HDD or SSD.</w:t>
      </w:r>
    </w:p>
    <w:p>
      <w:pPr>
        <w:pStyle w:val="Heading3"/>
        <w:spacing w:after="80" w:before="240" w:line="360" w:lineRule="auto"/>
      </w:pPr>
      <w:r>
        <w:rPr>
          <w:rFonts w:ascii="Calibri" w:cs="Calibri" w:eastAsia="Calibri" w:hAnsi="Calibri"/>
          <w:color w:val="1A3A5C"/>
          <w:sz w:val="24"/>
          <w:szCs w:val="24"/>
        </w:rPr>
        <w:t xml:space="preserve">Key Components of the Logical Structure of a Disk: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Cluster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File System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Directory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File Metadata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File Allocation Table (FAT)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Logical Volumes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Partition Table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Master Boot Record (MBR) or GUID Partition Table (GPT)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Logical Block Addressing (LBA)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RAID Configuration</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29 — Windows File Systems: File Allocation Table (FAT)</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FAT was the first file system used with Windows OS, and is used with DOS, Windows, and OpenDOS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FAT is named for its method of organization — the file allocation table — which resides at the beginning of the volume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FAT has three versions: FAT12, FAT16, and FAT32, differing in the size of entries in the FAT structure</w:t>
      </w:r>
    </w:p>
    <w:p>
      <w:pPr>
        <w:pStyle w:val="Heading3"/>
        <w:spacing w:after="80" w:before="240" w:line="360" w:lineRule="auto"/>
      </w:pPr>
      <w:r>
        <w:rPr>
          <w:rFonts w:ascii="Calibri" w:cs="Calibri" w:eastAsia="Calibri" w:hAnsi="Calibri"/>
          <w:color w:val="1A3A5C"/>
          <w:sz w:val="24"/>
          <w:szCs w:val="24"/>
        </w:rPr>
        <w:t xml:space="preserve">FAT Version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System</w:t>
            </w:r>
          </w:p>
        </w:tc>
        <w:tc>
          <w:tcPr>
            <w:tcW w:type="pct" w:w="13%"/>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Maximum Volume Size</w:t>
            </w:r>
          </w:p>
        </w:tc>
        <w:tc>
          <w:tcPr>
            <w:tcW w:type="pct" w:w="2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Cluster Size</w:t>
            </w:r>
          </w:p>
        </w:tc>
        <w:tc>
          <w:tcPr>
            <w:tcW w:type="pct" w:w="5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Cluster Limit</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FAT12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16 MB</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 KB or less</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Fewer than 4,087 clusters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FAT16</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 GB</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 KB to 32 KB</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Between 4,087 and 65,526 clusters</w:t>
            </w:r>
          </w:p>
        </w:tc>
      </w:tr>
      <w:tr>
        <w:trPr>
          <w:tblHeader w:val="false"/>
        </w:trPr>
        <w:tc>
          <w:tcPr>
            <w:tcW w:type="pct" w:w="13%"/>
            <w:tcMar>
              <w:top w:type="dxa" w:w="75"/>
              <w:left w:type="dxa" w:w="120"/>
              <w:bottom w:type="dxa" w:w="75"/>
              <w:right w:type="dxa" w:w="120"/>
            </w:tcMar>
          </w:tcPr>
          <w:p>
            <w:r>
              <w:rPr>
                <w:rFonts w:ascii="Calibri" w:cs="Calibri" w:eastAsia="Calibri" w:hAnsi="Calibri"/>
                <w:b/>
                <w:bCs/>
                <w:i w:val="false"/>
                <w:iCs w:val="false"/>
                <w:strike w:val="false"/>
                <w:color w:val="000000"/>
                <w:sz w:val="22"/>
                <w:szCs w:val="22"/>
              </w:rPr>
              <w:t xml:space="preserve">FAT32</w:t>
            </w:r>
          </w:p>
        </w:tc>
        <w:tc>
          <w:tcPr>
            <w:tcW w:type="pct" w:w="13%"/>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 TB</w:t>
            </w:r>
          </w:p>
        </w:tc>
        <w:tc>
          <w:tcPr>
            <w:tcW w:type="pct" w:w="2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 KB to 32 KB</w:t>
            </w:r>
          </w:p>
        </w:tc>
        <w:tc>
          <w:tcPr>
            <w:tcW w:type="pct" w:w="5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Between 65,526 and 268,435,456 clusters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How it works:</w:t>
      </w:r>
      <w:r>
        <w:rPr>
          <w:rFonts w:ascii="Calibri" w:cs="Calibri" w:eastAsia="Calibri" w:hAnsi="Calibri"/>
          <w:b w:val="false"/>
          <w:bCs w:val="false"/>
          <w:i w:val="false"/>
          <w:iCs w:val="false"/>
          <w:strike w:val="false"/>
          <w:color w:val="000000"/>
          <w:sz w:val="22"/>
          <w:szCs w:val="22"/>
        </w:rPr>
        <w:t xml:space="preserve"> A directory entry (e.g., File1.dat, 4,000 bytes) points to Cluster 34 → Cluster 35 → EOF in the FAT structure.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30 — Globally Unique Identifier (GUID)</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GUID is a 128-bit unique number generated by Windows OS for identifying a specific device, document, database entry, and/or user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GUIDs are displayed as 32 hexadecimal digits with groups separated by hyphens</w:t>
      </w:r>
    </w:p>
    <w:p>
      <w:pPr>
        <w:pStyle w:val="Heading3"/>
        <w:spacing w:after="80" w:before="240" w:line="360" w:lineRule="auto"/>
      </w:pPr>
      <w:r>
        <w:rPr>
          <w:rFonts w:ascii="Calibri" w:cs="Calibri" w:eastAsia="Calibri" w:hAnsi="Calibri"/>
          <w:color w:val="1A3A5C"/>
          <w:sz w:val="24"/>
          <w:szCs w:val="24"/>
        </w:rPr>
        <w:t xml:space="preserve">Common Uses: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Component Object Model (COM) and Dynamic-Link Libraries (DLLs) in the Windows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as primary key values in database tables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Record and track the session in some instances by assigning a GUID to a user's browser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user accounts in Windows by assigning a GUID to a username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31 — Logical Block Addressing (LBA) and Disk Capacity Calculation</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Logical Block Addressing (LBA)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is a method used for addressing and accessing data on modern hard disk drives (HDDs), solid-state drives (SSDs), and other storage devices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provides a straightforward and efficient way to access data by assigning a unique logical block number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improves efficiency and is compatible with various storage capacities</w:t>
      </w:r>
    </w:p>
    <w:p>
      <w:pPr>
        <w:pStyle w:val="Heading3"/>
        <w:spacing w:after="80" w:before="240" w:line="360" w:lineRule="auto"/>
      </w:pPr>
      <w:r>
        <w:rPr>
          <w:rFonts w:ascii="Calibri" w:cs="Calibri" w:eastAsia="Calibri" w:hAnsi="Calibri"/>
          <w:color w:val="1A3A5C"/>
          <w:sz w:val="24"/>
          <w:szCs w:val="24"/>
        </w:rPr>
        <w:t xml:space="preserve">Disk Capacity Calculation</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r>
        <w:rPr>
          <w:rFonts w:ascii="Calibri" w:cs="Calibri" w:eastAsia="Calibri" w:hAnsi="Calibri"/>
          <w:b w:val="false"/>
          <w:bCs w:val="false"/>
          <w:i w:val="false"/>
          <w:iCs w:val="false"/>
          <w:strike w:val="false"/>
          <w:color w:val="000000"/>
          <w:sz w:val="22"/>
          <w:szCs w:val="22"/>
        </w:rPr>
        <w:t xml:space="preserve"> Disk Capacity (in bytes) = Total Number of LBAs × Block Size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EF4FB" w:color="auto" w:val="clear"/>
            <w:tcMar>
              <w:top w:type="dxa" w:w="160"/>
              <w:left w:type="dxa" w:w="240"/>
              <w:bottom w:type="dxa" w:w="160"/>
              <w:right w:type="dxa" w:w="240"/>
            </w:tcMar>
          </w:tcPr>
          <w:p>
            <w:pPr>
              <w:spacing w:after="120" w:line="360" w:lineRule="auto"/>
            </w:pPr>
            <w:r>
              <w:rPr>
                <w:rFonts w:ascii="Calibri" w:cs="Calibri" w:eastAsia="Calibri" w:hAnsi="Calibri"/>
                <w:b/>
                <w:bCs/>
                <w:i/>
                <w:iCs/>
                <w:strike w:val="false"/>
                <w:color w:val="000000"/>
                <w:sz w:val="22"/>
                <w:szCs w:val="22"/>
              </w:rPr>
              <w:t xml:space="preserve">Example:</w:t>
            </w:r>
            <w:r>
              <w:rPr>
                <w:rFonts w:ascii="Calibri" w:cs="Calibri" w:eastAsia="Calibri" w:hAnsi="Calibri"/>
                <w:b w:val="false"/>
                <w:bCs w:val="false"/>
                <w:i/>
                <w:iCs/>
                <w:strike w:val="false"/>
                <w:color w:val="000000"/>
                <w:sz w:val="22"/>
                <w:szCs w:val="22"/>
              </w:rPr>
              <w:t xml:space="preserve"> The disk capacity of a disk with a total of 1,000,000 LBAs and a block size of 4 KB:</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Disk Capacity = 1,000,000 LBAs × 4,096 bytes/LBA = 4,096,000,000 bytes or approximately </w:t>
            </w:r>
            <w:r>
              <w:rPr>
                <w:rFonts w:ascii="Calibri" w:cs="Calibri" w:eastAsia="Calibri" w:hAnsi="Calibri"/>
                <w:b/>
                <w:bCs/>
                <w:i/>
                <w:iCs/>
                <w:strike w:val="false"/>
                <w:color w:val="000000"/>
                <w:sz w:val="22"/>
                <w:szCs w:val="22"/>
              </w:rPr>
              <w:t xml:space="preserve">3.81 gigabytes (GB)</w:t>
            </w:r>
          </w:p>
        </w:tc>
      </w:tr>
    </w:tbl>
    <w:p>
      <w:pPr>
        <w:spacing w:after="24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32 — FAT Partition Boot Sector</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FAT partition boot sector is the first sector (512 bytes) of a FAT file system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holds data used by the file system to access the partition or volume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MBR (Master Boot Record) of x86-based computers uses this boot sector to load system kernel files</w:t>
      </w:r>
    </w:p>
    <w:p>
      <w:pPr>
        <w:pStyle w:val="Heading3"/>
        <w:spacing w:after="80" w:before="240" w:line="360" w:lineRule="auto"/>
      </w:pPr>
      <w:r>
        <w:rPr>
          <w:rFonts w:ascii="Calibri" w:cs="Calibri" w:eastAsia="Calibri" w:hAnsi="Calibri"/>
          <w:color w:val="1A3A5C"/>
          <w:sz w:val="24"/>
          <w:szCs w:val="24"/>
        </w:rPr>
        <w:t xml:space="preserve">Boot Sector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Byte Offset (Hex)</w:t>
            </w:r>
          </w:p>
        </w:tc>
        <w:tc>
          <w:tcPr>
            <w:tcW w:type="pct" w:w="1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Field Length</w:t>
            </w:r>
          </w:p>
        </w:tc>
        <w:tc>
          <w:tcPr>
            <w:tcW w:type="pct" w:w="2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Sample Value</w:t>
            </w:r>
          </w:p>
        </w:tc>
        <w:tc>
          <w:tcPr>
            <w:tcW w:type="pct" w:w="4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Meaning</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 bytes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EB 3C 90</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Jump instruction</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03</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 bytes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MS-DOS 5.0</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OEM name in text</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0B</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25 bytes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BIOS Parameter Block (BPB)</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24</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26 bytes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Extended BPB (BIOS Parameter Block)</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448 bytes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Bootstrap code</w:t>
            </w:r>
          </w:p>
        </w:tc>
      </w:tr>
      <w:tr>
        <w:trPr>
          <w:tblHeader w:val="false"/>
        </w:trPr>
        <w:tc>
          <w:tcPr>
            <w:tcW w:type="pct" w:w="12%"/>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1FE</w:t>
            </w:r>
          </w:p>
        </w:tc>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 bytes</w:t>
            </w:r>
          </w:p>
        </w:tc>
        <w:tc>
          <w:tcPr>
            <w:tcW w:type="pct" w:w="2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0x55AA</w:t>
            </w:r>
          </w:p>
        </w:tc>
        <w:tc>
          <w:tcPr>
            <w:tcW w:type="pct" w:w="4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End of the sector marker</w:t>
            </w:r>
          </w:p>
        </w:tc>
      </w:tr>
    </w:tbl>
    <w:p>
      <w:pPr>
        <w:spacing w:after="20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33 — Windows File Systems: New Technology File System (NTFS)</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NTFS is a high-performance file system supported by Windows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provides several advanced features such as file-level security, compression, and auditing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user makes any modifications or changes to the files, NTFS makes a note of all changes in specific log files to restore the hard disk to a reliable condition with minimal data loss during system crash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has several improvements over FAT such as improved support for metadata and the use of advanced data structures to improve performance, reliability, and disk-space utilization, as well as additional extensions such as security access-control lists and file system journaling</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34 — Character Encoding Standard: ASCII and Unicode</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ASCII (American Standard Code for Information Interchange)</w:t>
      </w:r>
    </w:p>
    <w:p>
      <w:pPr>
        <w:pStyle w:val="ListParagraph"/>
        <w:numPr>
          <w:ilvl w:val="0"/>
          <w:numId w:val="1"/>
        </w:numPr>
        <w:spacing w:after="60" w:line="408" w:lineRule="auto"/>
        <w:ind w:left="720" w:hanging="360"/>
      </w:pPr>
      <w:r>
        <w:t xml:space="preserve">A character encoding standard developed from telegraphic codes</w:t>
      </w:r>
    </w:p>
    <w:p>
      <w:pPr>
        <w:pStyle w:val="ListParagraph"/>
        <w:numPr>
          <w:ilvl w:val="0"/>
          <w:numId w:val="1"/>
        </w:numPr>
        <w:spacing w:after="60" w:line="408" w:lineRule="auto"/>
        <w:ind w:left="720" w:hanging="360"/>
      </w:pPr>
      <w:r>
        <w:t xml:space="preserve">The standard has 128 specified characters coded into 7-bit integers</w:t>
      </w:r>
    </w:p>
    <w:p>
      <w:pPr>
        <w:pStyle w:val="ListParagraph"/>
        <w:numPr>
          <w:ilvl w:val="0"/>
          <w:numId w:val="1"/>
        </w:numPr>
        <w:spacing w:after="60" w:line="408" w:lineRule="auto"/>
        <w:ind w:left="720" w:hanging="360"/>
      </w:pPr>
      <w:r>
        <w:t xml:space="preserve">Characters encoded include:</w:t>
      </w:r>
    </w:p>
    <w:p>
      <w:pPr>
        <w:pStyle w:val="ListParagraph"/>
        <w:numPr>
          <w:ilvl w:val="1"/>
          <w:numId w:val="1"/>
        </w:numPr>
        <w:spacing w:after="60" w:line="408" w:lineRule="auto"/>
        <w:ind w:left="1440" w:hanging="360"/>
      </w:pPr>
      <w:r>
        <w:t xml:space="preserve">Numbers 0 to 9</w:t>
      </w:r>
    </w:p>
    <w:p>
      <w:pPr>
        <w:pStyle w:val="ListParagraph"/>
        <w:numPr>
          <w:ilvl w:val="1"/>
          <w:numId w:val="1"/>
        </w:numPr>
        <w:spacing w:after="60" w:line="408" w:lineRule="auto"/>
        <w:ind w:left="1440" w:hanging="360"/>
      </w:pPr>
      <w:r>
        <w:t xml:space="preserve">Lowercase letters a to z</w:t>
      </w:r>
    </w:p>
    <w:p>
      <w:pPr>
        <w:pStyle w:val="ListParagraph"/>
        <w:numPr>
          <w:ilvl w:val="1"/>
          <w:numId w:val="1"/>
        </w:numPr>
        <w:spacing w:after="60" w:line="408" w:lineRule="auto"/>
        <w:ind w:left="1440" w:hanging="360"/>
      </w:pPr>
      <w:r>
        <w:t xml:space="preserve">Uppercase letters A to Z</w:t>
      </w:r>
    </w:p>
    <w:p>
      <w:pPr>
        <w:pStyle w:val="ListParagraph"/>
        <w:numPr>
          <w:ilvl w:val="1"/>
          <w:numId w:val="1"/>
        </w:numPr>
        <w:spacing w:after="60" w:line="408" w:lineRule="auto"/>
        <w:ind w:left="1440" w:hanging="360"/>
      </w:pPr>
      <w:r>
        <w:t xml:space="preserve">Basic punctuation marks</w:t>
      </w:r>
    </w:p>
    <w:p>
      <w:pPr>
        <w:pStyle w:val="ListParagraph"/>
        <w:numPr>
          <w:ilvl w:val="1"/>
          <w:numId w:val="1"/>
        </w:numPr>
        <w:spacing w:after="60" w:line="408" w:lineRule="auto"/>
        <w:ind w:left="1440" w:hanging="360"/>
      </w:pPr>
      <w:r>
        <w:t xml:space="preserve">Control codes that originated with teletype machines</w:t>
      </w:r>
    </w:p>
    <w:p>
      <w:pPr>
        <w:pStyle w:val="ListParagraph"/>
        <w:numPr>
          <w:ilvl w:val="1"/>
          <w:numId w:val="1"/>
        </w:numPr>
        <w:spacing w:after="60" w:line="408" w:lineRule="auto"/>
        <w:ind w:left="1440" w:hanging="360"/>
      </w:pPr>
      <w:r>
        <w:t xml:space="preserve">Space</w:t>
      </w:r>
    </w:p>
    <w:p>
      <w:pPr>
        <w:pStyle w:val="Heading3"/>
        <w:spacing w:after="80" w:before="240" w:line="360" w:lineRule="auto"/>
      </w:pPr>
      <w:r>
        <w:rPr>
          <w:rFonts w:ascii="Calibri" w:cs="Calibri" w:eastAsia="Calibri" w:hAnsi="Calibri"/>
          <w:color w:val="1A3A5C"/>
          <w:sz w:val="24"/>
          <w:szCs w:val="24"/>
        </w:rPr>
        <w:t xml:space="preserve">Unicode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international encoding standard that supports consistent encoding, representation, and management of text expressed in many writing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Provides a unique number for every character, irrespective of platform, program, and language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Supported encoding forms include: UTF-8, UTF-16, and UTF-32</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35 — Understanding Hexadecimal Notation</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Hexadecimal (hex) is a numeral system with base 16</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 hexadecimal notation, 0–9 represent the values zero to nine, and the letters A, B, C, D, E, and F represent the values 10 to 15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Example: 2BA in hexadecimal is the same as 0010 1011 1010 in binary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Hexadecimal notation allows easy use of powers of 2, compared to writing the whole value in binary</w:t>
      </w:r>
    </w:p>
    <w:p>
      <w:pPr>
        <w:pStyle w:val="Heading3"/>
        <w:spacing w:after="80" w:before="240" w:line="360" w:lineRule="auto"/>
      </w:pPr>
      <w:r>
        <w:rPr>
          <w:rFonts w:ascii="Calibri" w:cs="Calibri" w:eastAsia="Calibri" w:hAnsi="Calibri"/>
          <w:color w:val="1A3A5C"/>
          <w:sz w:val="24"/>
          <w:szCs w:val="24"/>
        </w:rPr>
        <w:t xml:space="preserve">Hexadecimal Conversion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HEX</w:t>
            </w:r>
          </w:p>
        </w:tc>
        <w:tc>
          <w:tcPr>
            <w:tcW w:type="pct" w:w="51%"/>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Binary</w:t>
            </w:r>
          </w:p>
        </w:tc>
        <w:tc>
          <w:tcPr>
            <w:tcW w:type="pct" w:w="30%"/>
            <w:shd w:fill="DCE6F1" w:color="auto" w:val="clear"/>
            <w:tcMar>
              <w:top w:type="dxa" w:w="75"/>
              <w:left w:type="dxa" w:w="120"/>
              <w:bottom w:type="dxa" w:w="75"/>
              <w:right w:type="dxa" w:w="120"/>
            </w:tcMar>
          </w:tcPr>
          <w:p>
            <w:r>
              <w:rPr>
                <w:rFonts w:ascii="Calibri" w:cs="Calibri" w:eastAsia="Calibri" w:hAnsi="Calibri"/>
                <w:b/>
                <w:bCs/>
                <w:i w:val="false"/>
                <w:iCs w:val="false"/>
                <w:strike w:val="false"/>
                <w:color w:val="1A3A5C"/>
                <w:sz w:val="22"/>
                <w:szCs w:val="22"/>
              </w:rPr>
              <w:t xml:space="preserve">Base 10</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0001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0010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0011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0101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5</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0110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6</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0111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7</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8</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1001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9</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A</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1010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B</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1011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11</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C</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1100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12</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D</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1101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13</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E</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1110</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14</w:t>
            </w:r>
          </w:p>
        </w:tc>
      </w:tr>
      <w:tr>
        <w:trPr>
          <w:tblHeader w:val="false"/>
        </w:trPr>
        <w:tc>
          <w:tcPr>
            <w:tcW w:type="pct" w:w="19%"/>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F</w:t>
            </w:r>
          </w:p>
        </w:tc>
        <w:tc>
          <w:tcPr>
            <w:tcW w:type="pct" w:w="51%"/>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1111</w:t>
            </w:r>
          </w:p>
        </w:tc>
        <w:tc>
          <w:tcPr>
            <w:tcW w:type="pct" w:w="30%"/>
            <w:tcMar>
              <w:top w:type="dxa" w:w="75"/>
              <w:left w:type="dxa" w:w="120"/>
              <w:bottom w:type="dxa" w:w="75"/>
              <w:right w:type="dxa" w:w="120"/>
            </w:tcMar>
          </w:tcPr>
          <w:p>
            <w:r>
              <w:rPr>
                <w:rFonts w:ascii="Calibri" w:cs="Calibri" w:eastAsia="Calibri" w:hAnsi="Calibri"/>
                <w:b w:val="false"/>
                <w:bCs w:val="false"/>
                <w:i w:val="false"/>
                <w:iCs w:val="false"/>
                <w:strike w:val="false"/>
                <w:color w:val="000000"/>
                <w:sz w:val="22"/>
                <w:szCs w:val="22"/>
              </w:rPr>
              <w:t xml:space="preserve">15</w:t>
            </w:r>
          </w:p>
        </w:tc>
      </w:tr>
    </w:tbl>
    <w:p>
      <w:pPr>
        <w:spacing w:after="20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36 — Types of Data Acquisition</w:t>
      </w:r>
    </w:p>
    <w:p>
      <w:pPr>
        <w:pBdr>
          <w:top w:val="single" w:color="2B5797" w:sz="6"/>
        </w:pBdr>
        <w:spacing w:after="200" w:before="0"/>
      </w:pPr>
    </w:p>
    <w:p>
      <w:pPr>
        <w:pStyle w:val="Heading3"/>
        <w:spacing w:after="80" w:before="240" w:line="360" w:lineRule="auto"/>
      </w:pPr>
      <w:r>
        <w:rPr>
          <w:rFonts w:ascii="Calibri" w:cs="Calibri" w:eastAsia="Calibri" w:hAnsi="Calibri"/>
          <w:color w:val="1A3A5C"/>
          <w:sz w:val="24"/>
          <w:szCs w:val="24"/>
        </w:rPr>
        <w:t xml:space="preserve">Logical Acquisition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Logical acquisition is ideal for situations with time constraints and when the investigator is aware of what files must be acquired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method only gathers the files required for the investigation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allows targeted data acquisition from a specific storage media, mobile device, or computer system</w:t>
      </w:r>
    </w:p>
    <w:p>
      <w:pPr>
        <w:pStyle w:val="Heading3"/>
        <w:spacing w:after="80" w:before="240" w:line="360" w:lineRule="auto"/>
      </w:pPr>
      <w:r>
        <w:rPr>
          <w:rFonts w:ascii="Calibri" w:cs="Calibri" w:eastAsia="Calibri" w:hAnsi="Calibri"/>
          <w:color w:val="1A3A5C"/>
          <w:sz w:val="24"/>
          <w:szCs w:val="24"/>
        </w:rPr>
        <w:t xml:space="preserve">Sparse Acquisition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Sparse acquisition is helpful when the investigator needs to acquire specific data quickly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method allows investigators to acquire data from specific areas or sectors of a storage media containing the required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It is useful when the entire drive need not be inspected</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37 — Step 1: Determine the Best Data Acquisition Method</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investigator must identify the best data acquisition method suitable for the investigation depending on the incident.</w:t>
      </w:r>
    </w:p>
    <w:p>
      <w:pPr>
        <w:pStyle w:val="Heading3"/>
        <w:spacing w:after="80" w:before="240" w:line="360" w:lineRule="auto"/>
      </w:pPr>
      <w:r>
        <w:rPr>
          <w:rFonts w:ascii="Calibri" w:cs="Calibri" w:eastAsia="Calibri" w:hAnsi="Calibri"/>
          <w:color w:val="1A3A5C"/>
          <w:sz w:val="24"/>
          <w:szCs w:val="24"/>
        </w:rPr>
        <w:t xml:space="preserve">Key factors to consider: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Size of suspect drive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Time required to acquire image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 the suspect drive be retained</w:t>
      </w:r>
    </w:p>
    <w:p>
      <w:pPr>
        <w:pStyle w:val="Heading3"/>
        <w:spacing w:after="80" w:before="240" w:line="360" w:lineRule="auto"/>
      </w:pPr>
      <w:r>
        <w:rPr>
          <w:rFonts w:ascii="Calibri" w:cs="Calibri" w:eastAsia="Calibri" w:hAnsi="Calibri"/>
          <w:color w:val="1A3A5C"/>
          <w:sz w:val="24"/>
          <w:szCs w:val="24"/>
        </w:rPr>
        <w:t xml:space="preserve">Acquisition Layers (from highest to lowest):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Application Layer</w:t>
      </w:r>
      <w:r>
        <w:rPr>
          <w:rFonts w:ascii="Calibri" w:cs="Calibri" w:eastAsia="Calibri" w:hAnsi="Calibri"/>
          <w:b w:val="false"/>
          <w:bCs w:val="false"/>
          <w:i w:val="false"/>
          <w:iCs w:val="false"/>
          <w:strike w:val="false"/>
          <w:color w:val="000000"/>
          <w:sz w:val="22"/>
          <w:szCs w:val="22"/>
        </w:rPr>
        <w:t xml:space="preserve"> → Logical/Sparse acquisition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File System Layer</w:t>
      </w:r>
      <w:r>
        <w:rPr>
          <w:rFonts w:ascii="Calibri" w:cs="Calibri" w:eastAsia="Calibri" w:hAnsi="Calibri"/>
          <w:b w:val="false"/>
          <w:bCs w:val="false"/>
          <w:i w:val="false"/>
          <w:iCs w:val="false"/>
          <w:strike w:val="false"/>
          <w:color w:val="000000"/>
          <w:sz w:val="22"/>
          <w:szCs w:val="22"/>
        </w:rPr>
        <w:t xml:space="preserve"> → Logical/Sparse acquisition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Partition/Volume Layer</w:t>
      </w:r>
      <w:r>
        <w:rPr>
          <w:rFonts w:ascii="Calibri" w:cs="Calibri" w:eastAsia="Calibri" w:hAnsi="Calibri"/>
          <w:b w:val="false"/>
          <w:bCs w:val="false"/>
          <w:i w:val="false"/>
          <w:iCs w:val="false"/>
          <w:strike w:val="false"/>
          <w:color w:val="000000"/>
          <w:sz w:val="22"/>
          <w:szCs w:val="22"/>
        </w:rPr>
        <w:t xml:space="preserve"> → Logical/Sparse or Full Image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Disk Layer</w:t>
      </w:r>
      <w:r>
        <w:rPr>
          <w:rFonts w:ascii="Calibri" w:cs="Calibri" w:eastAsia="Calibri" w:hAnsi="Calibri"/>
          <w:b w:val="false"/>
          <w:bCs w:val="false"/>
          <w:i w:val="false"/>
          <w:iCs w:val="false"/>
          <w:strike w:val="false"/>
          <w:color w:val="000000"/>
          <w:sz w:val="22"/>
          <w:szCs w:val="22"/>
        </w:rPr>
        <w:t xml:space="preserve"> → Full Image</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38 — Step 6: Acquire Non-volatile Data</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Non-volatile data can be acquired from a hard disk during live and dead acquisition processes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acquisition is performed on hard disks using remote acquisition tools (e.g., Netcat) and bootable USBs (e.g., CAINE)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During dead acquisition, remove the hard disk, connect it to a forensic workstation, enable write-blocker, and run a forensic imaging tool (e.g., FTK Imager) on the workstation</w:t>
      </w:r>
    </w:p>
    <w:p>
      <w:pPr>
        <w:pStyle w:val="Heading3"/>
        <w:spacing w:after="80" w:before="240" w:line="360" w:lineRule="auto"/>
      </w:pPr>
      <w:r>
        <w:rPr>
          <w:rFonts w:ascii="Calibri" w:cs="Calibri" w:eastAsia="Calibri" w:hAnsi="Calibri"/>
          <w:color w:val="1A3A5C"/>
          <w:sz w:val="24"/>
          <w:szCs w:val="24"/>
        </w:rPr>
        <w:t xml:space="preserve">Step 6.1: Acquire Non-volatile Data (Using Windows Forensic Workstation)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FTK Imager is a data preview and imaging tool that can generate ideal copies (forensic images) of computer data without altering the original evidence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Hash verification results (MD5 and SHA1) confirm image integrity with "Match" status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39 — Step 6.2: Acquire Non-volatile Data (Using a Linux Forensic Workstation)</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dcfldd works similar to the dd command, but provides additional features designed for forensic acquisition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commands from a privileged root shell session</w:t>
      </w:r>
    </w:p>
    <w:p>
      <w:pPr>
        <w:spacing w:after="120" w:before="60" w:line="360" w:lineRule="auto"/>
      </w:pPr>
      <w:r>
        <w:rPr>
          <w:rFonts w:ascii="Calibri" w:cs="Calibri" w:eastAsia="Calibri" w:hAnsi="Calibri"/>
          <w:b/>
          <w:bCs/>
          <w:i w:val="false"/>
          <w:iCs w:val="false"/>
          <w:strike w:val="false"/>
          <w:color w:val="000000"/>
          <w:sz w:val="22"/>
          <w:szCs w:val="22"/>
        </w:rPr>
        <w:t xml:space="preserve">To acquire media into a single image: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4F4" w:color="auto" w:val="clear"/>
            <w:tcMar>
              <w:top w:type="dxa" w:w="120"/>
              <w:left w:type="dxa" w:w="200"/>
              <w:bottom w:type="dxa" w:w="120"/>
              <w:right w:type="dxa" w:w="200"/>
            </w:tcMar>
          </w:tcPr>
          <w:p>
            <w:pPr>
              <w:spacing w:after="120" w:line="408" w:lineRule="auto"/>
            </w:pPr>
            <w:r>
              <w:t xml:space="preserve">dcfldd if=/dev/sda of=/media/image.dd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To split the output image into multiple segments of 10 MB each: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F4F4" w:color="auto" w:val="clear"/>
            <w:tcMar>
              <w:top w:type="dxa" w:w="120"/>
              <w:left w:type="dxa" w:w="200"/>
              <w:bottom w:type="dxa" w:w="120"/>
              <w:right w:type="dxa" w:w="200"/>
            </w:tcMar>
          </w:tcPr>
          <w:p>
            <w:pPr>
              <w:spacing w:after="120" w:line="408" w:lineRule="auto"/>
            </w:pPr>
            <w:r>
              <w:t xml:space="preserve">dcfldd if=/dev/sda split=10M of=/media/image.dd</w:t>
            </w:r>
          </w:p>
        </w:tc>
      </w:tr>
    </w:tbl>
    <w:p>
      <w:pPr>
        <w:spacing w:after="240" w:before="0"/>
      </w:pP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40 — Acquiring RAID Disks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Forensic examiners may encounter challenges when acquiring data from RAID disks, primarily owing to the intricate design, complex configurations, and considerable storage capacities associated with RAID systems.</w:t>
      </w:r>
    </w:p>
    <w:p>
      <w:pPr>
        <w:pStyle w:val="Heading3"/>
        <w:spacing w:after="80" w:before="240" w:line="360" w:lineRule="auto"/>
      </w:pPr>
      <w:r>
        <w:rPr>
          <w:rFonts w:ascii="Calibri" w:cs="Calibri" w:eastAsia="Calibri" w:hAnsi="Calibri"/>
          <w:color w:val="1A3A5C"/>
          <w:sz w:val="24"/>
          <w:szCs w:val="24"/>
        </w:rPr>
        <w:t xml:space="preserve">Consider the following factors before acquiring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amount of data storage required to acquire all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RAID format used (RAID 0, RAID 1, RAID 5, RAID 10, etc.)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whether RAID is managed by hardware or software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Forensic tools suitable for imaging RAID disks and reading these images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Decide whether to perform disk imaging (bit-by-bit) or logical acquisition (file-level) based on the RAID configuration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Ensure that the forensic hardware and software tools are compatible with the RAID controller in 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Reconstruct the RAID array on a separate forensic workstation or by using specialized RAID recovery tools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Calculate and compare checksums of the acquired data with the original RAID array to verify data integrity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Several computer forensics tools such as OpenText EnCase Forensic, X-Ways Forensics, and ProDiscover are built with capabilities to recover RAID disks.</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41 — Step 7: Plan for Contingency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Investigators must be prepared for contingencies such as when the hardware or software does not work or failure occurs during acquisition.</w:t>
      </w:r>
    </w:p>
    <w:p>
      <w:pPr>
        <w:pStyle w:val="Heading3"/>
        <w:spacing w:after="80" w:before="240" w:line="360" w:lineRule="auto"/>
      </w:pPr>
      <w:r>
        <w:rPr>
          <w:rFonts w:ascii="Calibri" w:cs="Calibri" w:eastAsia="Calibri" w:hAnsi="Calibri"/>
          <w:color w:val="1A3A5C"/>
          <w:sz w:val="24"/>
          <w:szCs w:val="24"/>
        </w:rPr>
        <w:t xml:space="preserve">Hard Disk Data Acquisition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at least two images of the digital evidence collected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one copy of the digital evidence recovered becomes corrupt, investigators can then use the other copy</w:t>
      </w:r>
    </w:p>
    <w:p>
      <w:pPr>
        <w:pStyle w:val="Heading3"/>
        <w:spacing w:after="80" w:before="240" w:line="360" w:lineRule="auto"/>
      </w:pPr>
      <w:r>
        <w:rPr>
          <w:rFonts w:ascii="Calibri" w:cs="Calibri" w:eastAsia="Calibri" w:hAnsi="Calibri"/>
          <w:color w:val="1A3A5C"/>
          <w:sz w:val="24"/>
          <w:szCs w:val="24"/>
        </w:rPr>
        <w:t xml:space="preserve">Imaging Tools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two or more imaging tools such as FTK Imager and ProDiscover Pro to create two images of the evidence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investigator has access to only one tool, create two or more images of the drive using the same tool</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42 — Step 8: Validate Data Acquisition</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Validating data acquisition involves calculating the hash value of the target media and comparing it with its forensic counterpart to ensure that the data have been completely acquired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Hash value calculation generates a unique numeric value for files, often considered as a "digital footprint," which represents the uniqueness of a file or disk drive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Some hashing algorithms that can be used to validate the data acquired include: CRC-32, MD5, SHA-1, SHA-3, SHA-256, SHA-512, and BLAKE2</w:t>
      </w:r>
    </w:p>
    <w:p>
      <w:pPr>
        <w:pBdr>
          <w:bottom w:val="single" w:color="000000" w:sz="6"/>
        </w:pBdr>
        <w:spacing w:after="240" w:before="240"/>
      </w:pPr>
    </w:p>
    <w:p>
      <w:pPr>
        <w:pStyle w:val="Heading2"/>
        <w:spacing w:after="100" w:before="440" w:line="360" w:lineRule="auto"/>
      </w:pPr>
      <w:r>
        <w:rPr>
          <w:rFonts w:ascii="Cambria" w:cs="Cambria" w:eastAsia="Cambria" w:hAnsi="Cambria"/>
          <w:color w:val="2B5797"/>
          <w:sz w:val="30"/>
          <w:szCs w:val="30"/>
        </w:rPr>
        <w:t xml:space="preserve">Slide 43 — Data Density on a Hard Disk</w:t>
      </w:r>
    </w:p>
    <w:p>
      <w:pPr>
        <w:pBdr>
          <w:top w:val="single" w:color="2B5797" w:sz="6"/>
        </w:pBdr>
        <w:spacing w:after="20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density on a hard disk refers to the amount of data that can be stored within a given physical space on the disk's magnetic platters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is recorded onto a hard disk using a method called zoned bit recording (also known as multiple zone recording)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 this technique, tracks are combined together into zones depending on their distance from the center of the disk</w:t>
      </w:r>
    </w:p>
    <w:p>
      <w:pPr>
        <w:pStyle w:val="Heading3"/>
        <w:spacing w:after="80" w:before="240" w:line="360" w:lineRule="auto"/>
      </w:pPr>
      <w:r>
        <w:rPr>
          <w:rFonts w:ascii="Calibri" w:cs="Calibri" w:eastAsia="Calibri" w:hAnsi="Calibri"/>
          <w:color w:val="1A3A5C"/>
          <w:sz w:val="24"/>
          <w:szCs w:val="24"/>
        </w:rPr>
        <w:t xml:space="preserve">Types of Data Densities on a Hard Disk</w:t>
      </w:r>
    </w:p>
    <w:p>
      <w:pPr>
        <w:pStyle w:val="Heading4"/>
        <w:spacing w:after="60" w:before="200" w:line="360" w:lineRule="auto"/>
      </w:pPr>
      <w:r>
        <w:rPr>
          <w:rFonts w:ascii="Calibri" w:cs="Calibri" w:eastAsia="Calibri" w:hAnsi="Calibri"/>
          <w:color w:val="333333"/>
          <w:sz w:val="22"/>
          <w:szCs w:val="22"/>
        </w:rPr>
        <w:t xml:space="preserve">Track Density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Refers to how closely the concentric circles (tracks) on the magnetic platters are spaced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Measures the number of tracks that can be packed into a specific area on the platter's surface</w:t>
      </w:r>
    </w:p>
    <w:p>
      <w:pPr>
        <w:pStyle w:val="Heading4"/>
        <w:spacing w:after="60" w:before="200" w:line="360" w:lineRule="auto"/>
      </w:pPr>
      <w:r>
        <w:rPr>
          <w:rFonts w:ascii="Calibri" w:cs="Calibri" w:eastAsia="Calibri" w:hAnsi="Calibri"/>
          <w:color w:val="333333"/>
          <w:sz w:val="22"/>
          <w:szCs w:val="22"/>
        </w:rPr>
        <w:t xml:space="preserve">Bit Density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Referred to as bits per inch (BPI), it measures how closely individual bits of data are packed on a track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Quantifies the number of bits that can be stored in a linear inch of a track</w:t>
      </w:r>
    </w:p>
    <w:p>
      <w:pPr>
        <w:pStyle w:val="Heading4"/>
        <w:spacing w:after="60" w:before="200" w:line="360" w:lineRule="auto"/>
      </w:pPr>
      <w:r>
        <w:rPr>
          <w:rFonts w:ascii="Calibri" w:cs="Calibri" w:eastAsia="Calibri" w:hAnsi="Calibri"/>
          <w:color w:val="333333"/>
          <w:sz w:val="22"/>
          <w:szCs w:val="22"/>
        </w:rPr>
        <w:t xml:space="preserve">Areal Density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Referred to as "data areal density," it is a critical measure of data storage on a hard disk drive (HDD)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Quantifies the amount of data that can be stored in a unit of area on the magnetic platters within the hard disk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H3EVat4JAEBSkpcxXGnbt</dc:title>
  <dc:creator>Un-named</dc:creator>
  <dc:description>Generated document</dc:description>
  <cp:lastModifiedBy>Un-named</cp:lastModifiedBy>
  <cp:revision>1</cp:revision>
  <dcterms:created xsi:type="dcterms:W3CDTF">2026-10-16T04:56:29.203Z</dcterms:created>
  <dcterms:modified xsi:type="dcterms:W3CDTF">2026-10-16T04:56:29.203Z</dcterms:modified>
</cp:coreProperties>
</file>

<file path=docProps/custom.xml><?xml version="1.0" encoding="utf-8"?>
<Properties xmlns="http://schemas.openxmlformats.org/officeDocument/2006/custom-properties" xmlns:vt="http://schemas.openxmlformats.org/officeDocument/2006/docPropsVTypes"/>
</file>