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FF70" w14:textId="77777777" w:rsidR="00E3365B" w:rsidRDefault="00E3365B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365B" w14:paraId="022800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360" w:type="dxa"/>
              <w:left w:w="420" w:type="dxa"/>
              <w:bottom w:w="300" w:type="dxa"/>
              <w:right w:w="420" w:type="dxa"/>
            </w:tcMar>
          </w:tcPr>
          <w:p w14:paraId="5F822D06" w14:textId="77777777" w:rsidR="00E3365B" w:rsidRDefault="0030429C">
            <w:pPr>
              <w:spacing w:after="120" w:line="288" w:lineRule="auto"/>
            </w:pPr>
            <w:r>
              <w:rPr>
                <w:rFonts w:ascii="Calibri" w:eastAsia="Calibri" w:hAnsi="Calibri" w:cs="Calibri"/>
                <w:b/>
                <w:bCs/>
                <w:color w:val="38BDF8"/>
                <w:sz w:val="44"/>
                <w:szCs w:val="44"/>
              </w:rPr>
              <w:t>CCT.121</w:t>
            </w:r>
          </w:p>
          <w:p w14:paraId="20062802" w14:textId="77777777" w:rsidR="00E3365B" w:rsidRDefault="0030429C">
            <w:pPr>
              <w:spacing w:after="120" w:line="384" w:lineRule="auto"/>
            </w:pPr>
            <w:r>
              <w:rPr>
                <w:rFonts w:ascii="Calibri" w:eastAsia="Calibri" w:hAnsi="Calibri" w:cs="Calibri"/>
                <w:color w:val="7DD3FC"/>
                <w:spacing w:val="10"/>
                <w:sz w:val="22"/>
                <w:szCs w:val="22"/>
              </w:rPr>
              <w:t>Computer Crime Investigations</w:t>
            </w:r>
          </w:p>
          <w:p w14:paraId="27398CA0" w14:textId="77777777" w:rsidR="00E3365B" w:rsidRDefault="0030429C">
            <w:pPr>
              <w:spacing w:after="120" w:line="384" w:lineRule="auto"/>
            </w:pPr>
            <w:r>
              <w:rPr>
                <w:rFonts w:ascii="Calibri" w:eastAsia="Calibri" w:hAnsi="Calibri" w:cs="Calibri"/>
                <w:b/>
                <w:bCs/>
                <w:color w:val="E2E8F0"/>
                <w:sz w:val="22"/>
                <w:szCs w:val="22"/>
              </w:rPr>
              <w:t>Student:</w:t>
            </w:r>
            <w:r>
              <w:rPr>
                <w:rFonts w:ascii="Calibri" w:eastAsia="Calibri" w:hAnsi="Calibri" w:cs="Calibri"/>
                <w:color w:val="94A3B8"/>
                <w:sz w:val="20"/>
                <w:szCs w:val="20"/>
              </w:rPr>
              <w:t xml:space="preserve">   Dylan</w:t>
            </w:r>
          </w:p>
          <w:p w14:paraId="65D49CEE" w14:textId="77777777" w:rsidR="00E3365B" w:rsidRDefault="0030429C">
            <w:pPr>
              <w:spacing w:after="120" w:line="384" w:lineRule="auto"/>
            </w:pPr>
            <w:r>
              <w:rPr>
                <w:rFonts w:ascii="Calibri" w:eastAsia="Calibri" w:hAnsi="Calibri" w:cs="Calibri"/>
                <w:b/>
                <w:bCs/>
                <w:color w:val="E2E8F0"/>
                <w:sz w:val="22"/>
                <w:szCs w:val="22"/>
              </w:rPr>
              <w:t>Semester:</w:t>
            </w:r>
            <w:r>
              <w:rPr>
                <w:rFonts w:ascii="Calibri" w:eastAsia="Calibri" w:hAnsi="Calibri" w:cs="Calibri"/>
                <w:color w:val="94A3B8"/>
                <w:sz w:val="20"/>
                <w:szCs w:val="20"/>
              </w:rPr>
              <w:t xml:space="preserve"> Fall 2026</w:t>
            </w:r>
          </w:p>
          <w:p w14:paraId="28954941" w14:textId="77777777" w:rsidR="00E3365B" w:rsidRDefault="0030429C">
            <w:pPr>
              <w:spacing w:after="120" w:line="384" w:lineRule="auto"/>
            </w:pPr>
            <w:r>
              <w:rPr>
                <w:rFonts w:ascii="Calibri" w:eastAsia="Calibri" w:hAnsi="Calibri" w:cs="Calibri"/>
                <w:b/>
                <w:bCs/>
                <w:color w:val="E2E8F0"/>
                <w:sz w:val="22"/>
                <w:szCs w:val="22"/>
              </w:rPr>
              <w:t>Last Updated:</w:t>
            </w:r>
            <w:r>
              <w:rPr>
                <w:rFonts w:ascii="Calibri" w:eastAsia="Calibri" w:hAnsi="Calibri" w:cs="Calibri"/>
                <w:color w:val="94A3B8"/>
                <w:sz w:val="20"/>
                <w:szCs w:val="20"/>
              </w:rPr>
              <w:t xml:space="preserve"> Thursday, September 17, 2026</w:t>
            </w:r>
          </w:p>
        </w:tc>
      </w:tr>
    </w:tbl>
    <w:p w14:paraId="53AB0FEC" w14:textId="77777777" w:rsidR="00E3365B" w:rsidRDefault="00E3365B">
      <w:pPr>
        <w:spacing w:after="240"/>
      </w:pPr>
    </w:p>
    <w:p w14:paraId="648EA8A0" w14:textId="77777777" w:rsidR="00E3365B" w:rsidRDefault="00E3365B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E3365B" w14:paraId="7D3ED8DC" w14:textId="77777777">
        <w:tc>
          <w:tcPr>
            <w:tcW w:w="0" w:type="auto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  <w:shd w:val="clear" w:color="auto" w:fill="F0F9FF"/>
            <w:tcMar>
              <w:top w:w="210" w:type="dxa"/>
              <w:left w:w="270" w:type="dxa"/>
              <w:bottom w:w="210" w:type="dxa"/>
              <w:right w:w="270" w:type="dxa"/>
            </w:tcMar>
          </w:tcPr>
          <w:p w14:paraId="4FE7F570" w14:textId="77777777" w:rsidR="00E3365B" w:rsidRDefault="0030429C">
            <w:pPr>
              <w:spacing w:after="120" w:line="384" w:lineRule="auto"/>
            </w:pPr>
            <w:r>
              <w:rPr>
                <w:rFonts w:ascii="Calibri" w:eastAsia="Calibri" w:hAnsi="Calibri" w:cs="Calibri"/>
                <w:b/>
                <w:bCs/>
                <w:color w:val="0F172A"/>
                <w:spacing w:val="10"/>
              </w:rPr>
              <w:t>■ Table of Contents</w:t>
            </w:r>
          </w:p>
          <w:p w14:paraId="10BFB86F" w14:textId="77777777" w:rsidR="00E3365B" w:rsidRDefault="0030429C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38BDF8"/>
                <w:sz w:val="22"/>
                <w:szCs w:val="22"/>
              </w:rPr>
              <w:t>►</w:t>
            </w:r>
            <w:r>
              <w:rPr>
                <w:rFonts w:ascii="Calibri" w:eastAsia="Calibri" w:hAnsi="Calibri" w:cs="Calibri"/>
                <w:color w:val="0369A1"/>
                <w:sz w:val="22"/>
                <w:szCs w:val="22"/>
              </w:rPr>
              <w:t xml:space="preserve"> Module 2: The Computer Forensics Investigation Process</w:t>
            </w:r>
          </w:p>
          <w:p w14:paraId="26133FA3" w14:textId="77777777" w:rsidR="00E3365B" w:rsidRDefault="0030429C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38BDF8"/>
                <w:sz w:val="22"/>
                <w:szCs w:val="22"/>
              </w:rPr>
              <w:t>○</w:t>
            </w:r>
            <w:r>
              <w:rPr>
                <w:rFonts w:ascii="Calibri" w:eastAsia="Calibri" w:hAnsi="Calibri" w:cs="Calibri"/>
                <w:color w:val="0369A1"/>
                <w:sz w:val="22"/>
                <w:szCs w:val="22"/>
              </w:rPr>
              <w:t xml:space="preserve"> Module 3: </w:t>
            </w:r>
            <w:r>
              <w:rPr>
                <w:rFonts w:ascii="Calibri" w:eastAsia="Calibri" w:hAnsi="Calibri" w:cs="Calibri"/>
                <w:i/>
                <w:iCs/>
                <w:color w:val="1E293B"/>
                <w:sz w:val="22"/>
                <w:szCs w:val="22"/>
              </w:rPr>
              <w:t>— To be added —</w:t>
            </w:r>
          </w:p>
          <w:p w14:paraId="4B7D045D" w14:textId="77777777" w:rsidR="00E3365B" w:rsidRDefault="0030429C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38BDF8"/>
                <w:sz w:val="22"/>
                <w:szCs w:val="22"/>
              </w:rPr>
              <w:t>○</w:t>
            </w:r>
            <w:r>
              <w:rPr>
                <w:rFonts w:ascii="Calibri" w:eastAsia="Calibri" w:hAnsi="Calibri" w:cs="Calibri"/>
                <w:color w:val="0369A1"/>
                <w:sz w:val="22"/>
                <w:szCs w:val="22"/>
              </w:rPr>
              <w:t xml:space="preserve"> Module 4: </w:t>
            </w:r>
            <w:r>
              <w:rPr>
                <w:rFonts w:ascii="Calibri" w:eastAsia="Calibri" w:hAnsi="Calibri" w:cs="Calibri"/>
                <w:i/>
                <w:iCs/>
                <w:color w:val="1E293B"/>
                <w:sz w:val="22"/>
                <w:szCs w:val="22"/>
              </w:rPr>
              <w:t>— To be added —</w:t>
            </w:r>
          </w:p>
          <w:p w14:paraId="161D4DD0" w14:textId="77777777" w:rsidR="00E3365B" w:rsidRDefault="0030429C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38BDF8"/>
                <w:sz w:val="22"/>
                <w:szCs w:val="22"/>
              </w:rPr>
              <w:t>○</w:t>
            </w:r>
            <w:r>
              <w:rPr>
                <w:rFonts w:ascii="Calibri" w:eastAsia="Calibri" w:hAnsi="Calibri" w:cs="Calibri"/>
                <w:color w:val="0369A1"/>
                <w:sz w:val="22"/>
                <w:szCs w:val="22"/>
              </w:rPr>
              <w:t xml:space="preserve"> Module 5: </w:t>
            </w:r>
            <w:r>
              <w:rPr>
                <w:rFonts w:ascii="Calibri" w:eastAsia="Calibri" w:hAnsi="Calibri" w:cs="Calibri"/>
                <w:i/>
                <w:iCs/>
                <w:color w:val="1E293B"/>
                <w:sz w:val="22"/>
                <w:szCs w:val="22"/>
              </w:rPr>
              <w:t>— To be added —</w:t>
            </w:r>
          </w:p>
        </w:tc>
      </w:tr>
    </w:tbl>
    <w:p w14:paraId="6F1267E1" w14:textId="77777777" w:rsidR="00E3365B" w:rsidRDefault="00E3365B">
      <w:pPr>
        <w:spacing w:after="240"/>
      </w:pPr>
    </w:p>
    <w:p w14:paraId="30281B99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0DB795FA" w14:textId="77777777" w:rsidR="00E3365B" w:rsidRDefault="0030429C">
      <w:pPr>
        <w:spacing w:before="60" w:after="80" w:line="384" w:lineRule="auto"/>
        <w:ind w:left="120"/>
      </w:pPr>
      <w:r>
        <w:rPr>
          <w:rFonts w:ascii="Calibri" w:eastAsia="Calibri" w:hAnsi="Calibri" w:cs="Calibri"/>
          <w:b/>
          <w:bCs/>
          <w:color w:val="38BDF8"/>
          <w:spacing w:val="20"/>
          <w:sz w:val="18"/>
          <w:szCs w:val="18"/>
          <w:shd w:val="clear" w:color="auto" w:fill="0F172A"/>
        </w:rPr>
        <w:t>● ACTIVE MODULE</w:t>
      </w:r>
    </w:p>
    <w:p w14:paraId="57013FAE" w14:textId="77777777" w:rsidR="00E3365B" w:rsidRDefault="0030429C">
      <w:pPr>
        <w:pStyle w:val="Heading1"/>
        <w:spacing w:before="480" w:after="120" w:line="288" w:lineRule="auto"/>
      </w:pPr>
      <w:r>
        <w:rPr>
          <w:rFonts w:ascii="Calibri" w:eastAsia="Calibri" w:hAnsi="Calibri" w:cs="Calibri"/>
          <w:color w:val="0F172A"/>
          <w:sz w:val="52"/>
          <w:szCs w:val="52"/>
        </w:rPr>
        <w:t>Module 2: The Computer Forensics Investigation Process</w:t>
      </w:r>
    </w:p>
    <w:p w14:paraId="65F4E853" w14:textId="77777777" w:rsidR="00E3365B" w:rsidRDefault="00E3365B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E3365B" w14:paraId="59CBF5A0" w14:textId="77777777">
        <w:tc>
          <w:tcPr>
            <w:tcW w:w="0" w:type="auto"/>
            <w:tcBorders>
              <w:top w:val="single" w:sz="6" w:space="0" w:color="0369A1"/>
              <w:left w:val="single" w:sz="6" w:space="0" w:color="0369A1"/>
              <w:bottom w:val="single" w:sz="6" w:space="0" w:color="0369A1"/>
              <w:right w:val="single" w:sz="6" w:space="0" w:color="0369A1"/>
            </w:tcBorders>
            <w:shd w:val="clear" w:color="auto" w:fill="F0F9FF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7F81AA7D" w14:textId="77777777" w:rsidR="00E3365B" w:rsidRDefault="0030429C">
            <w:pPr>
              <w:spacing w:after="60" w:line="384" w:lineRule="auto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334155"/>
                <w:spacing w:val="10"/>
                <w:sz w:val="21"/>
                <w:szCs w:val="21"/>
              </w:rPr>
              <w:t>📄 Module Overview</w:t>
            </w:r>
          </w:p>
          <w:p w14:paraId="2C7684A8" w14:textId="77777777" w:rsidR="00E3365B" w:rsidRDefault="0030429C">
            <w:pPr>
              <w:spacing w:after="120" w:line="384" w:lineRule="auto"/>
            </w:pPr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lastRenderedPageBreak/>
              <w:t>Covers the end-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>to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-end forensic investigation process — from lab setup and first response through evidence acquisition, analysis, and expert witness testimony. Three major phases: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>Pre-Investigation</w:t>
            </w:r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→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>Investigation</w:t>
            </w:r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→ </w:t>
            </w:r>
            <w:proofErr w:type="gramStart"/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>Post-Investigation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>.</w:t>
            </w:r>
          </w:p>
        </w:tc>
      </w:tr>
    </w:tbl>
    <w:p w14:paraId="009AD7BE" w14:textId="77777777" w:rsidR="00E3365B" w:rsidRDefault="00E3365B">
      <w:pPr>
        <w:spacing w:after="240"/>
      </w:pPr>
    </w:p>
    <w:p w14:paraId="4F53349E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46166BC3" w14:textId="77777777" w:rsidR="00E3365B" w:rsidRDefault="0030429C">
      <w:pPr>
        <w:spacing w:before="60" w:after="60" w:line="384" w:lineRule="auto"/>
      </w:pPr>
      <w:r>
        <w:rPr>
          <w:rFonts w:ascii="Calibri" w:eastAsia="Calibri" w:hAnsi="Calibri" w:cs="Calibri"/>
          <w:b/>
          <w:bCs/>
          <w:color w:val="0369A1"/>
          <w:spacing w:val="16"/>
          <w:sz w:val="17"/>
          <w:szCs w:val="17"/>
        </w:rPr>
        <w:t>SECTION 2.1</w:t>
      </w:r>
    </w:p>
    <w:p w14:paraId="6530FF64" w14:textId="77777777" w:rsidR="00E3365B" w:rsidRDefault="0030429C">
      <w:pPr>
        <w:pStyle w:val="Heading2"/>
        <w:spacing w:before="400" w:after="120" w:line="312" w:lineRule="auto"/>
      </w:pPr>
      <w:r>
        <w:rPr>
          <w:rFonts w:ascii="Calibri" w:eastAsia="Calibri" w:hAnsi="Calibri" w:cs="Calibri"/>
          <w:color w:val="0E7490"/>
          <w:spacing w:val="6"/>
          <w:sz w:val="32"/>
          <w:szCs w:val="32"/>
        </w:rPr>
        <w:t>2.1 — Overview &amp; Importance</w:t>
      </w:r>
    </w:p>
    <w:p w14:paraId="23C27A3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Goal:</w:t>
      </w:r>
      <w:r>
        <w:t xml:space="preserve"> Gain thorough understanding of an incident by identifying and analyzing its evidence</w:t>
      </w:r>
    </w:p>
    <w:p w14:paraId="76D7767B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Methodological scope:</w:t>
      </w:r>
      <w:r>
        <w:t xml:space="preserve"> investigate → seize → analyze → manage — from search &amp; seizure to final report</w:t>
      </w:r>
    </w:p>
    <w:p w14:paraId="42E9391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>Driven by rapid increase in cybercrimes: IP theft, cyber terrorism, large-org litigation</w:t>
      </w:r>
    </w:p>
    <w:p w14:paraId="0840945B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 xml:space="preserve">Has led to development of laws/standards </w:t>
      </w:r>
      <w:proofErr w:type="gramStart"/>
      <w:r>
        <w:t>defining:</w:t>
      </w:r>
      <w:proofErr w:type="gramEnd"/>
      <w:r>
        <w:t xml:space="preserve"> cybercrime, digital evidence, S&amp;S methodologies, evidence recovery, investigation processes</w:t>
      </w:r>
    </w:p>
    <w:p w14:paraId="30882ED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Critical rule:</w:t>
      </w:r>
      <w:r>
        <w:t xml:space="preserve"> Must comply with local laws/established standards — any deviation may jeopardize the entire investigation</w:t>
      </w:r>
    </w:p>
    <w:p w14:paraId="7379C864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Digital evidence is fragile</w:t>
      </w:r>
      <w:r>
        <w:t xml:space="preserve"> — strict guidelines required to maintain integrity and court admissibility</w:t>
      </w:r>
    </w:p>
    <w:p w14:paraId="22099FD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 xml:space="preserve">Must be </w:t>
      </w:r>
      <w:r>
        <w:rPr>
          <w:b/>
          <w:bCs/>
          <w:color w:val="1E293B"/>
        </w:rPr>
        <w:t>repeatable</w:t>
      </w:r>
      <w:r>
        <w:t xml:space="preserve"> and </w:t>
      </w:r>
      <w:r>
        <w:rPr>
          <w:b/>
          <w:bCs/>
          <w:color w:val="1E293B"/>
        </w:rPr>
        <w:t>well-documented</w:t>
      </w:r>
      <w:r>
        <w:t xml:space="preserve"> — every iteration must yield the same findings</w:t>
      </w:r>
    </w:p>
    <w:p w14:paraId="6644AF39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Failure → findings invalidated during cross-examination</w:t>
      </w:r>
    </w:p>
    <w:p w14:paraId="7403148A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Jury must be able to replicate the process when required</w:t>
      </w:r>
    </w:p>
    <w:p w14:paraId="3537F57C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3ED1598F" w14:textId="77777777" w:rsidR="00E3365B" w:rsidRDefault="0030429C">
      <w:pPr>
        <w:spacing w:before="60" w:after="60" w:line="384" w:lineRule="auto"/>
      </w:pPr>
      <w:r>
        <w:rPr>
          <w:rFonts w:ascii="Calibri" w:eastAsia="Calibri" w:hAnsi="Calibri" w:cs="Calibri"/>
          <w:b/>
          <w:bCs/>
          <w:color w:val="0369A1"/>
          <w:spacing w:val="16"/>
          <w:sz w:val="17"/>
          <w:szCs w:val="17"/>
        </w:rPr>
        <w:t>SECTION 2.2</w:t>
      </w:r>
    </w:p>
    <w:p w14:paraId="00658FAE" w14:textId="77777777" w:rsidR="00E3365B" w:rsidRDefault="0030429C">
      <w:pPr>
        <w:pStyle w:val="Heading2"/>
        <w:spacing w:before="400" w:after="120" w:line="312" w:lineRule="auto"/>
      </w:pPr>
      <w:r>
        <w:rPr>
          <w:rFonts w:ascii="Calibri" w:eastAsia="Calibri" w:hAnsi="Calibri" w:cs="Calibri"/>
          <w:color w:val="0E7490"/>
          <w:spacing w:val="6"/>
          <w:sz w:val="32"/>
          <w:szCs w:val="32"/>
        </w:rPr>
        <w:lastRenderedPageBreak/>
        <w:t>2.2 — The Three Phases</w:t>
      </w:r>
    </w:p>
    <w:p w14:paraId="5345B9B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Pre-Investigation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lab setup, resources, prep (before the investigation begins)</w:t>
      </w:r>
    </w:p>
    <w:p w14:paraId="34F1669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Investigation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acquisition, preservation, and analysis of evidence (the main phase)</w:t>
      </w:r>
    </w:p>
    <w:p w14:paraId="2BFA567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Post-Investigation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reporting and expert witness testimony</w:t>
      </w:r>
    </w:p>
    <w:p w14:paraId="3DD34335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6CC62264" w14:textId="77777777" w:rsidR="00E3365B" w:rsidRDefault="0030429C">
      <w:pPr>
        <w:spacing w:before="60" w:after="60" w:line="384" w:lineRule="auto"/>
      </w:pPr>
      <w:r>
        <w:rPr>
          <w:rFonts w:ascii="Calibri" w:eastAsia="Calibri" w:hAnsi="Calibri" w:cs="Calibri"/>
          <w:b/>
          <w:bCs/>
          <w:color w:val="0369A1"/>
          <w:spacing w:val="16"/>
          <w:sz w:val="17"/>
          <w:szCs w:val="17"/>
        </w:rPr>
        <w:t>SECTION 2.3</w:t>
      </w:r>
    </w:p>
    <w:p w14:paraId="082243E1" w14:textId="77777777" w:rsidR="00E3365B" w:rsidRDefault="0030429C">
      <w:pPr>
        <w:pStyle w:val="Heading2"/>
        <w:spacing w:before="400" w:after="120" w:line="312" w:lineRule="auto"/>
      </w:pPr>
      <w:r>
        <w:rPr>
          <w:rFonts w:ascii="Calibri" w:eastAsia="Calibri" w:hAnsi="Calibri" w:cs="Calibri"/>
          <w:color w:val="0E7490"/>
          <w:spacing w:val="6"/>
          <w:sz w:val="32"/>
          <w:szCs w:val="32"/>
        </w:rPr>
        <w:t>2.3 — Pre-Investigation Phase</w:t>
      </w:r>
    </w:p>
    <w:p w14:paraId="2592B148" w14:textId="77777777" w:rsidR="00E3365B" w:rsidRDefault="0030429C">
      <w:pPr>
        <w:spacing w:before="60" w:after="120" w:line="384" w:lineRule="auto"/>
      </w:pPr>
      <w:r>
        <w:rPr>
          <w:rFonts w:ascii="Calibri" w:eastAsia="Calibri" w:hAnsi="Calibri" w:cs="Calibri"/>
          <w:i/>
          <w:iCs/>
          <w:color w:val="334155"/>
          <w:sz w:val="22"/>
          <w:szCs w:val="22"/>
        </w:rPr>
        <w:t xml:space="preserve">All tasks </w:t>
      </w:r>
      <w:proofErr w:type="gramStart"/>
      <w:r>
        <w:rPr>
          <w:rFonts w:ascii="Calibri" w:eastAsia="Calibri" w:hAnsi="Calibri" w:cs="Calibri"/>
          <w:i/>
          <w:iCs/>
          <w:color w:val="334155"/>
          <w:sz w:val="22"/>
          <w:szCs w:val="22"/>
        </w:rPr>
        <w:t>performed</w:t>
      </w:r>
      <w:proofErr w:type="gramEnd"/>
      <w:r>
        <w:rPr>
          <w:rFonts w:ascii="Calibri" w:eastAsia="Calibri" w:hAnsi="Calibri" w:cs="Calibri"/>
          <w:i/>
          <w:iCs/>
          <w:color w:val="334155"/>
          <w:sz w:val="22"/>
          <w:szCs w:val="22"/>
        </w:rPr>
        <w:t xml:space="preserve"> before the investigation begins. Determines capability, equipment, and budget.</w:t>
      </w:r>
    </w:p>
    <w:p w14:paraId="07A7E6E2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Setting Up a Computer Forensics Lab (CFL)</w:t>
      </w:r>
    </w:p>
    <w:p w14:paraId="4F5129C4" w14:textId="77777777" w:rsidR="00E3365B" w:rsidRDefault="0030429C">
      <w:pPr>
        <w:spacing w:before="60" w:after="120" w:line="384" w:lineRule="auto"/>
      </w:pPr>
      <w:proofErr w:type="gramStart"/>
      <w:r>
        <w:rPr>
          <w:rFonts w:ascii="Calibri" w:eastAsia="Calibri" w:hAnsi="Calibri" w:cs="Calibri"/>
          <w:i/>
          <w:iCs/>
          <w:color w:val="1E293B"/>
          <w:sz w:val="22"/>
          <w:szCs w:val="22"/>
        </w:rPr>
        <w:t>7 consideration</w:t>
      </w:r>
      <w:proofErr w:type="gramEnd"/>
      <w:r>
        <w:rPr>
          <w:rFonts w:ascii="Calibri" w:eastAsia="Calibri" w:hAnsi="Calibri" w:cs="Calibri"/>
          <w:i/>
          <w:iCs/>
          <w:color w:val="1E293B"/>
          <w:sz w:val="22"/>
          <w:szCs w:val="22"/>
        </w:rPr>
        <w:t xml:space="preserve"> categories:</w:t>
      </w:r>
    </w:p>
    <w:p w14:paraId="77BC30D9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1. Planning &amp; Budgeting</w:t>
      </w:r>
      <w:r>
        <w:t xml:space="preserve"> — case type (criminal/civil/corporate), number of investigators, equipment &amp; software needs</w:t>
      </w:r>
    </w:p>
    <w:p w14:paraId="09AADD3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2. Physical &amp; Structural Design</w:t>
      </w:r>
      <w:r>
        <w:t xml:space="preserve"> — lab size, access to emergency/shipping services, space for work area &amp; evidence storage, HVAC</w:t>
      </w:r>
    </w:p>
    <w:p w14:paraId="7AF5152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3. Work Area</w:t>
      </w:r>
      <w:r>
        <w:t xml:space="preserve"> — minimum 2 workstations with internet, dedicated ISDN line, lighting at 90° from windows, emergency power backup</w:t>
      </w:r>
    </w:p>
    <w:p w14:paraId="2738EC9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4. Physical Security</w:t>
      </w:r>
      <w:r>
        <w:t xml:space="preserve"> — log register, intrusion alarms, CCTV, fire extinguishers, </w:t>
      </w:r>
      <w:r>
        <w:rPr>
          <w:b/>
          <w:bCs/>
          <w:color w:val="1E293B"/>
        </w:rPr>
        <w:t>TEMPEST shielding</w:t>
      </w:r>
      <w:r>
        <w:t xml:space="preserve"> (copper lining against EM signals), swipe/biometric access, </w:t>
      </w:r>
      <w:r>
        <w:rPr>
          <w:b/>
          <w:bCs/>
          <w:color w:val="1E293B"/>
        </w:rPr>
        <w:t>Faraday cage</w:t>
      </w:r>
      <w:r>
        <w:t>, cooling systems</w:t>
      </w:r>
    </w:p>
    <w:p w14:paraId="4DD8D63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5. Human Resources</w:t>
      </w:r>
      <w:r>
        <w:t xml:space="preserve"> — estimate personnel needs; key roles: lab director, cybercrime investigator, forensic technician, forensic analyst, lab manager</w:t>
      </w:r>
    </w:p>
    <w:p w14:paraId="129DC2E9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6. Lab Facilities</w:t>
      </w:r>
      <w:r>
        <w:t xml:space="preserve"> — multiple labs for isolated investigation types, reception area, evidence storage room (restricted), evidence processing room, briefing area, isolated internet</w:t>
      </w:r>
    </w:p>
    <w:p w14:paraId="494B257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7. Forensics Lab Licensing</w:t>
      </w:r>
      <w:r>
        <w:t xml:space="preserve"> — must be licensed by relevant authorities</w:t>
      </w:r>
    </w:p>
    <w:p w14:paraId="62E8D7E9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lastRenderedPageBreak/>
        <w:t>ASCLD/LAB accreditation</w:t>
      </w:r>
      <w:r>
        <w:t xml:space="preserve"> — American Society of Crime Laboratory Directors/LAB; certifies labs on management, operations, personnel, procedures, physical plant security, and personnel safety</w:t>
      </w:r>
    </w:p>
    <w:p w14:paraId="19B000C1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ISO/IEC 17025 accreditation</w:t>
      </w:r>
      <w:r>
        <w:t xml:space="preserve"> — developed by ISO/IEC CASCO (1999); 8 components: scope, normative references, terms &amp; definitions, general requirements, structural, resource, process, and management system requirements</w:t>
      </w:r>
    </w:p>
    <w:p w14:paraId="1019B04D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Building the Investigation Team</w:t>
      </w:r>
    </w:p>
    <w:p w14:paraId="448D38B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 xml:space="preserve">Establish clear objectives → identify required expertise; appoint a </w:t>
      </w:r>
      <w:r>
        <w:rPr>
          <w:b/>
          <w:bCs/>
          <w:color w:val="1E293B"/>
        </w:rPr>
        <w:t>technical lead</w:t>
      </w:r>
    </w:p>
    <w:p w14:paraId="78C4930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 xml:space="preserve">Keep team as </w:t>
      </w:r>
      <w:r>
        <w:rPr>
          <w:b/>
          <w:bCs/>
          <w:color w:val="1E293B"/>
        </w:rPr>
        <w:t>small as possible</w:t>
      </w:r>
      <w:r>
        <w:t xml:space="preserve"> for confidentiality</w:t>
      </w:r>
    </w:p>
    <w:p w14:paraId="284A2EC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Team roles:</w:t>
      </w:r>
    </w:p>
    <w:p w14:paraId="40F0F556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Photographer</w:t>
      </w:r>
      <w:r>
        <w:t xml:space="preserve"> — photographs crime </w:t>
      </w:r>
      <w:proofErr w:type="gramStart"/>
      <w:r>
        <w:t>scene;</w:t>
      </w:r>
      <w:proofErr w:type="gramEnd"/>
      <w:r>
        <w:t xml:space="preserve"> must be certified</w:t>
      </w:r>
    </w:p>
    <w:p w14:paraId="7700BFCD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Incident Responder</w:t>
      </w:r>
      <w:r>
        <w:t xml:space="preserve"> — secures scene, </w:t>
      </w:r>
      <w:proofErr w:type="gramStart"/>
      <w:r>
        <w:t>collects</w:t>
      </w:r>
      <w:proofErr w:type="gramEnd"/>
      <w:r>
        <w:t xml:space="preserve"> evidence, disconnects affected systems</w:t>
      </w:r>
    </w:p>
    <w:p w14:paraId="72CB1A53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Incident Analyzer</w:t>
      </w:r>
      <w:r>
        <w:t xml:space="preserve"> — analyzes </w:t>
      </w:r>
      <w:proofErr w:type="gramStart"/>
      <w:r>
        <w:t>type</w:t>
      </w:r>
      <w:proofErr w:type="gramEnd"/>
      <w:r>
        <w:t xml:space="preserve"> of incident, threats, and vulnerabilities</w:t>
      </w:r>
    </w:p>
    <w:p w14:paraId="74BDCFEB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Evidence Examiner/Investigator</w:t>
      </w:r>
      <w:r>
        <w:t xml:space="preserve"> — examines and prioritizes acquired evidence</w:t>
      </w:r>
    </w:p>
    <w:p w14:paraId="30DE6E9F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Evidence Documenter</w:t>
      </w:r>
      <w:r>
        <w:t xml:space="preserve"> — documents all evidence and phases from incident to end of investigation</w:t>
      </w:r>
    </w:p>
    <w:p w14:paraId="6046942A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Evidence Manager</w:t>
      </w:r>
      <w:r>
        <w:t xml:space="preserve"> — manages and maintains record of all admissible evidence</w:t>
      </w:r>
    </w:p>
    <w:p w14:paraId="0EAEF743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Expert Witness</w:t>
      </w:r>
      <w:r>
        <w:t xml:space="preserve"> — provides formal testimony in court</w:t>
      </w:r>
    </w:p>
    <w:p w14:paraId="69507D4F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Attorney</w:t>
      </w:r>
      <w:r>
        <w:t xml:space="preserve"> — provides legal advice on investigation conduct</w:t>
      </w:r>
    </w:p>
    <w:p w14:paraId="4FE433D6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Hardware &amp; Software Requirements</w:t>
      </w:r>
    </w:p>
    <w:p w14:paraId="00A5876A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lastRenderedPageBreak/>
        <w:t>Hardware:</w:t>
      </w:r>
      <w:r>
        <w:t xml:space="preserve"> 2+ forensic workstations, write-blockers, drive duplicators, specialized cables, media sterilization systems, digital camera, evidence bags, USB security key</w:t>
      </w:r>
    </w:p>
    <w:p w14:paraId="6948ABD9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 xml:space="preserve">Example toolkits: Paraben’s First Responder Bundle, </w:t>
      </w:r>
      <w:proofErr w:type="spellStart"/>
      <w:r>
        <w:t>DeepSpar</w:t>
      </w:r>
      <w:proofErr w:type="spellEnd"/>
      <w:r>
        <w:t xml:space="preserve"> Disk Imager, FRED Forensic Workstation</w:t>
      </w:r>
    </w:p>
    <w:p w14:paraId="23F5827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Software categories:</w:t>
      </w:r>
      <w:r>
        <w:t xml:space="preserve"> OS, data discovery, password cracking, acquisition, data analyzers, disk analysis, image creation, data recovery, file viewers, report generation, case management</w:t>
      </w:r>
    </w:p>
    <w:p w14:paraId="1C9B0459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Example tools: FTK Forensic Toolkit, Sleuth Kit + Autopsy, CAINE, OpenText EnCase Forensic, Wireshark</w:t>
      </w:r>
    </w:p>
    <w:p w14:paraId="02027A24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Validating Lab Software &amp; Hardware</w:t>
      </w:r>
    </w:p>
    <w:p w14:paraId="3414663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All tools must be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validated before use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ensures results are reproducible and repeatable</w:t>
      </w:r>
    </w:p>
    <w:p w14:paraId="0DA1E2C4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All software must be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licensed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avoid demo versions (limited functionality; licensing helps during trials)</w:t>
      </w:r>
    </w:p>
    <w:p w14:paraId="168525B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Tools must be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regularly updated, tested, and validated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(ongoing process)</w:t>
      </w:r>
    </w:p>
    <w:p w14:paraId="0D048CEA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Reference standard: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NIST Computer Forensic Tool Testing (CFTT) Project</w:t>
      </w:r>
    </w:p>
    <w:p w14:paraId="029E9FAA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Quality Assurance</w:t>
      </w:r>
    </w:p>
    <w:p w14:paraId="1A5FE82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 xml:space="preserve">Must have a documented </w:t>
      </w:r>
      <w:r>
        <w:rPr>
          <w:b/>
          <w:bCs/>
          <w:color w:val="1E293B"/>
        </w:rPr>
        <w:t>Quality Assurance Manual</w:t>
      </w:r>
      <w:r>
        <w:t xml:space="preserve"> and a </w:t>
      </w:r>
      <w:r>
        <w:rPr>
          <w:b/>
          <w:bCs/>
          <w:color w:val="1E293B"/>
        </w:rPr>
        <w:t>quality manager</w:t>
      </w:r>
    </w:p>
    <w:p w14:paraId="6C598D7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 xml:space="preserve">Review/update quality management system at least </w:t>
      </w:r>
      <w:r>
        <w:rPr>
          <w:b/>
          <w:bCs/>
          <w:color w:val="1E293B"/>
        </w:rPr>
        <w:t>every 3 years</w:t>
      </w:r>
    </w:p>
    <w:p w14:paraId="4293E2C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QA Steps:</w:t>
      </w:r>
    </w:p>
    <w:p w14:paraId="3E706F2C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 xml:space="preserve">1. Arrange formal documented </w:t>
      </w:r>
      <w:proofErr w:type="gramStart"/>
      <w:r>
        <w:t>trainings</w:t>
      </w:r>
      <w:proofErr w:type="gramEnd"/>
    </w:p>
    <w:p w14:paraId="7A65B443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2. Validate and document equipment</w:t>
      </w:r>
    </w:p>
    <w:p w14:paraId="2AC160E8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3. Annual proficiency tests for investigators</w:t>
      </w:r>
    </w:p>
    <w:p w14:paraId="57AF73C7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4. Follow appropriate standards/controls in casework</w:t>
      </w:r>
    </w:p>
    <w:p w14:paraId="00F98EC9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5. Establish investigation policies &amp; procedures</w:t>
      </w:r>
    </w:p>
    <w:p w14:paraId="00E7614E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6. Attain ASCLD/LAB and/or ISO/IEC 17025 accreditation</w:t>
      </w:r>
    </w:p>
    <w:p w14:paraId="478CAE3A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lastRenderedPageBreak/>
        <w:t>7. Perform quality audits and management system reviews</w:t>
      </w:r>
    </w:p>
    <w:p w14:paraId="7B04B195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8. Ensure physical plant security and health/safety</w:t>
      </w:r>
    </w:p>
    <w:p w14:paraId="7E1D8FCB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Enhancing Forensic Processes (Custom Tools &amp; Scripts)</w:t>
      </w:r>
    </w:p>
    <w:p w14:paraId="4F2269E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Custom scripts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(Python, Bash,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PowerShell) —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automate hash calculations, log parsing, metadata extraction</w:t>
      </w:r>
    </w:p>
    <w:p w14:paraId="76450F24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Forensic bootable USBs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preinstalled tools for read-only access at scene</w:t>
      </w:r>
    </w:p>
    <w:p w14:paraId="5262C49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File integrity checkers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cryptographic hashing (MD5, SHA-256) to verify captured data</w:t>
      </w:r>
    </w:p>
    <w:p w14:paraId="321C15D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Timeline analysis tools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aggregate data to build comprehensive event timelines</w:t>
      </w:r>
    </w:p>
    <w:p w14:paraId="7A7EBC2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Cloud forensic helpers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automate data acquisition from cloud providers</w:t>
      </w:r>
    </w:p>
    <w:p w14:paraId="6B054FA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Steganography detectors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detect hidden content in images/audio</w:t>
      </w:r>
    </w:p>
    <w:p w14:paraId="45CE978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Mobile forensic enhancements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app-specific acquisition tools</w:t>
      </w:r>
    </w:p>
    <w:p w14:paraId="2197333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VM forensics tools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snapshot analysis, VM disk acquisition</w:t>
      </w:r>
    </w:p>
    <w:p w14:paraId="4094886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Network forensics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custom packet sniffers/parsers for specific protocols</w:t>
      </w:r>
    </w:p>
    <w:p w14:paraId="1D4236A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All custom tools must be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tested, validated, and peer-reviewed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before legal use</w:t>
      </w:r>
    </w:p>
    <w:p w14:paraId="10369C74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1A1CB914" w14:textId="77777777" w:rsidR="00E3365B" w:rsidRDefault="0030429C">
      <w:pPr>
        <w:spacing w:before="60" w:after="60" w:line="384" w:lineRule="auto"/>
      </w:pPr>
      <w:r>
        <w:rPr>
          <w:rFonts w:ascii="Calibri" w:eastAsia="Calibri" w:hAnsi="Calibri" w:cs="Calibri"/>
          <w:b/>
          <w:bCs/>
          <w:color w:val="0369A1"/>
          <w:spacing w:val="16"/>
          <w:sz w:val="17"/>
          <w:szCs w:val="17"/>
        </w:rPr>
        <w:t>SECTION 2.4</w:t>
      </w:r>
    </w:p>
    <w:p w14:paraId="5AF4EAD0" w14:textId="77777777" w:rsidR="00E3365B" w:rsidRDefault="0030429C">
      <w:pPr>
        <w:pStyle w:val="Heading2"/>
        <w:spacing w:before="400" w:after="120" w:line="312" w:lineRule="auto"/>
      </w:pPr>
      <w:r>
        <w:rPr>
          <w:rFonts w:ascii="Calibri" w:eastAsia="Calibri" w:hAnsi="Calibri" w:cs="Calibri"/>
          <w:color w:val="0E7490"/>
          <w:spacing w:val="6"/>
          <w:sz w:val="32"/>
          <w:szCs w:val="32"/>
        </w:rPr>
        <w:t>2.4 — First Response</w:t>
      </w:r>
    </w:p>
    <w:p w14:paraId="00E11066" w14:textId="77777777" w:rsidR="00E3365B" w:rsidRDefault="0030429C">
      <w:pPr>
        <w:spacing w:before="60" w:after="120" w:line="384" w:lineRule="auto"/>
      </w:pPr>
      <w:r>
        <w:rPr>
          <w:rFonts w:ascii="Calibri" w:eastAsia="Calibri" w:hAnsi="Calibri" w:cs="Calibri"/>
          <w:b/>
          <w:bCs/>
          <w:i/>
          <w:iCs/>
          <w:color w:val="1E293B"/>
          <w:sz w:val="22"/>
          <w:szCs w:val="22"/>
        </w:rPr>
        <w:t>First response</w:t>
      </w:r>
      <w:r>
        <w:rPr>
          <w:rFonts w:ascii="Calibri" w:eastAsia="Calibri" w:hAnsi="Calibri" w:cs="Calibri"/>
          <w:i/>
          <w:iCs/>
          <w:color w:val="334155"/>
          <w:sz w:val="22"/>
          <w:szCs w:val="22"/>
        </w:rPr>
        <w:t xml:space="preserve"> = the first action performed after a security incident. Critical for preventing further damage and preserving evidence.</w:t>
      </w:r>
    </w:p>
    <w:p w14:paraId="553EBC92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The First Responder</w:t>
      </w:r>
    </w:p>
    <w:p w14:paraId="62D50AA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First person to arrive at the crime scene; may be: network/system admin, LEO, investigation officer, or forensic lab staff</w:t>
      </w:r>
    </w:p>
    <w:p w14:paraId="22057C69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Responsible for protecting and preserving evidence in a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forensically sound manner</w:t>
      </w:r>
    </w:p>
    <w:p w14:paraId="47828B48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Roles of the First Responder</w:t>
      </w:r>
    </w:p>
    <w:p w14:paraId="7626196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lastRenderedPageBreak/>
        <w:t>Identify Crime Scene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establish perimeter (room, floor, building, networked systems), list involved systems</w:t>
      </w:r>
    </w:p>
    <w:p w14:paraId="2EA972D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Protect Crime Scene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requires search warrant for digital evidence; protect devices, wait for case officer</w:t>
      </w:r>
    </w:p>
    <w:p w14:paraId="35A8581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Preserve Temporary/Fragile Evidence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photograph monitor/screen and running programs; do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NOT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wait for case officer if evidence may disappear</w:t>
      </w:r>
    </w:p>
    <w:p w14:paraId="164808A1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Collect Incident Information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conduct preliminary interviews with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persons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at scene</w:t>
      </w:r>
    </w:p>
    <w:p w14:paraId="647FCAA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Document All Findings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chain of custody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document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must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include: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case number, reporter name/address/phone, evidence location, date/time of collection, evidence description</w:t>
      </w:r>
    </w:p>
    <w:p w14:paraId="158E2B0F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Package &amp; Transport Electronic Evidence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label, place in evidence storage bags (blocks wireless signals, protects from heat/sunlight), transport to forensic lab</w:t>
      </w:r>
    </w:p>
    <w:p w14:paraId="0A168F62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First Response — Three Groups</w:t>
      </w:r>
    </w:p>
    <w:p w14:paraId="1E87472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1. Non-forensic Staff</w:t>
      </w:r>
      <w:r>
        <w:t xml:space="preserve"> (local managers, etc</w:t>
      </w:r>
      <w:proofErr w:type="gramStart"/>
      <w:r>
        <w:t>.) —</w:t>
      </w:r>
      <w:proofErr w:type="gramEnd"/>
      <w:r>
        <w:t xml:space="preserve"> secure the scene, take notes/photos, hand everything to forensic team; do </w:t>
      </w:r>
      <w:r>
        <w:rPr>
          <w:b/>
          <w:bCs/>
          <w:color w:val="1E293B"/>
        </w:rPr>
        <w:t>NOT</w:t>
      </w:r>
      <w:r>
        <w:t xml:space="preserve"> attempt data recovery</w:t>
      </w:r>
    </w:p>
    <w:p w14:paraId="46C208A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2. System/Network Administrators</w:t>
      </w:r>
      <w:r>
        <w:t xml:space="preserve"> — report incident per org procedures; do </w:t>
      </w:r>
      <w:r>
        <w:rPr>
          <w:b/>
          <w:bCs/>
          <w:color w:val="1E293B"/>
        </w:rPr>
        <w:t>NOT</w:t>
      </w:r>
      <w:r>
        <w:t xml:space="preserve"> act unless directed by duty manager/forensic analyst</w:t>
      </w:r>
    </w:p>
    <w:p w14:paraId="1CD39656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May: record screen contents, copy logs to clean media, isolate devices, document all details</w:t>
      </w:r>
    </w:p>
    <w:p w14:paraId="7C3B31A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3. Laboratory Forensics Staff</w:t>
      </w:r>
      <w:r>
        <w:t xml:space="preserve"> — full six-stage process:</w:t>
      </w:r>
    </w:p>
    <w:p w14:paraId="05EC369A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Stage 1: Documenting the electronic crime scene</w:t>
      </w:r>
    </w:p>
    <w:p w14:paraId="51F75323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Stage 2: Collecting incident information (interviews, crime verification)</w:t>
      </w:r>
    </w:p>
    <w:p w14:paraId="183D5177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Stage 3: Planning search and seizure (warrant, consent, witness signatures)</w:t>
      </w:r>
    </w:p>
    <w:p w14:paraId="036AFD5A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Stage 4: Identifying and collecting electronic evidence</w:t>
      </w:r>
    </w:p>
    <w:p w14:paraId="3A86253C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Stage 5: Packaging electronic evidence (exhibit numbering, label containers)</w:t>
      </w:r>
    </w:p>
    <w:p w14:paraId="474F49D6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Stage 6: Transporting electronic evidence (strict chain of custody)</w:t>
      </w:r>
    </w:p>
    <w:p w14:paraId="47D064D1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lastRenderedPageBreak/>
        <w:t>Common First Responder Mistakes</w:t>
      </w:r>
    </w:p>
    <w:p w14:paraId="20B88A1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Shutting down or rebooting victim computer → loses all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volatile data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(MAC times, log files, running processes)</w:t>
      </w:r>
    </w:p>
    <w:p w14:paraId="6297020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Assuming reliability of victim system components → may activate trojans/malware/time bombs that delete volatile data</w:t>
      </w:r>
    </w:p>
    <w:p w14:paraId="5635A6A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No access to baseline documentation</w:t>
      </w:r>
    </w:p>
    <w:p w14:paraId="6348166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Failure to document data collection processes</w:t>
      </w:r>
    </w:p>
    <w:p w14:paraId="5F9092A2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Health &amp; Safety</w:t>
      </w:r>
    </w:p>
    <w:p w14:paraId="48563E8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All health &amp; safety considerations must be documented</w:t>
      </w:r>
    </w:p>
    <w:p w14:paraId="2FAA57B4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Wear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protective latex gloves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for all onsite search &amp; seizure — protects staff AND preserves fingerprints on evidence</w:t>
      </w:r>
    </w:p>
    <w:p w14:paraId="34F35BE0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77185ECA" w14:textId="77777777" w:rsidR="00E3365B" w:rsidRDefault="0030429C">
      <w:pPr>
        <w:spacing w:before="60" w:after="60" w:line="384" w:lineRule="auto"/>
      </w:pPr>
      <w:r>
        <w:rPr>
          <w:rFonts w:ascii="Calibri" w:eastAsia="Calibri" w:hAnsi="Calibri" w:cs="Calibri"/>
          <w:b/>
          <w:bCs/>
          <w:color w:val="0369A1"/>
          <w:spacing w:val="16"/>
          <w:sz w:val="17"/>
          <w:szCs w:val="17"/>
        </w:rPr>
        <w:t>SECTION 2.5</w:t>
      </w:r>
    </w:p>
    <w:p w14:paraId="7CF950FB" w14:textId="77777777" w:rsidR="00E3365B" w:rsidRDefault="0030429C">
      <w:pPr>
        <w:pStyle w:val="Heading2"/>
        <w:spacing w:before="400" w:after="120" w:line="312" w:lineRule="auto"/>
      </w:pPr>
      <w:r>
        <w:rPr>
          <w:rFonts w:ascii="Calibri" w:eastAsia="Calibri" w:hAnsi="Calibri" w:cs="Calibri"/>
          <w:color w:val="0E7490"/>
          <w:spacing w:val="6"/>
          <w:sz w:val="32"/>
          <w:szCs w:val="32"/>
        </w:rPr>
        <w:t>2.5 — Investigation Phase</w:t>
      </w:r>
    </w:p>
    <w:p w14:paraId="03A4B914" w14:textId="77777777" w:rsidR="00E3365B" w:rsidRDefault="0030429C">
      <w:pPr>
        <w:spacing w:before="60" w:after="120" w:line="384" w:lineRule="auto"/>
      </w:pPr>
      <w:r>
        <w:rPr>
          <w:rFonts w:ascii="Calibri" w:eastAsia="Calibri" w:hAnsi="Calibri" w:cs="Calibri"/>
          <w:i/>
          <w:iCs/>
          <w:color w:val="334155"/>
          <w:sz w:val="22"/>
          <w:szCs w:val="22"/>
        </w:rPr>
        <w:t>The main phase — involves acquisition, preservation, and analysis of evidentiary data.</w:t>
      </w:r>
    </w:p>
    <w:p w14:paraId="615CEC89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2.5.1 — Documenting the Scene</w:t>
      </w:r>
    </w:p>
    <w:p w14:paraId="44EB2D6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 xml:space="preserve">Continuous process creating a </w:t>
      </w:r>
      <w:r>
        <w:rPr>
          <w:b/>
          <w:bCs/>
          <w:color w:val="1E293B"/>
        </w:rPr>
        <w:t>permanent record</w:t>
      </w:r>
      <w:r>
        <w:t xml:space="preserve"> of the scene</w:t>
      </w:r>
    </w:p>
    <w:p w14:paraId="0D3A400F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Key documentation points:</w:t>
      </w:r>
    </w:p>
    <w:p w14:paraId="0EB83F4B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Physical position of systems and equipment</w:t>
      </w:r>
    </w:p>
    <w:p w14:paraId="4D60CA6E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Monitor screen (photograph and note contents); date/time of first action at scene</w:t>
      </w:r>
    </w:p>
    <w:p w14:paraId="1542C1EB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Chain of custody log; network info: IP addresses, MAC addresses, active connections</w:t>
      </w:r>
    </w:p>
    <w:p w14:paraId="3D1613B0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Visible data (on-screen info, written passwords); witness statements</w:t>
      </w:r>
    </w:p>
    <w:p w14:paraId="12FE0D13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Environmental hazards (extreme temps, flooding)</w:t>
      </w:r>
    </w:p>
    <w:p w14:paraId="374845FA" w14:textId="02F13A41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lastRenderedPageBreak/>
        <w:t xml:space="preserve">Photographing &amp; </w:t>
      </w:r>
      <w:proofErr w:type="spellStart"/>
      <w:r>
        <w:rPr>
          <w:b/>
          <w:bCs/>
          <w:color w:val="1E293B"/>
        </w:rPr>
        <w:t>Sketching</w:t>
      </w:r>
      <w:r w:rsidR="00645FCD">
        <w:rPr>
          <w:b/>
          <w:bCs/>
          <w:color w:val="1E293B"/>
        </w:rPr>
        <w:t>expert</w:t>
      </w:r>
      <w:proofErr w:type="spellEnd"/>
      <w:r w:rsidR="00645FCD">
        <w:rPr>
          <w:b/>
          <w:bCs/>
          <w:color w:val="1E293B"/>
        </w:rPr>
        <w:t xml:space="preserve"> w</w:t>
      </w:r>
      <w:r>
        <w:rPr>
          <w:b/>
          <w:bCs/>
          <w:color w:val="1E293B"/>
        </w:rPr>
        <w:t>:</w:t>
      </w:r>
    </w:p>
    <w:p w14:paraId="6AB16AE0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 xml:space="preserve">Photograph first on arrival; do </w:t>
      </w:r>
      <w:r>
        <w:rPr>
          <w:b/>
          <w:bCs/>
          <w:color w:val="1E293B"/>
        </w:rPr>
        <w:t>not</w:t>
      </w:r>
      <w:r>
        <w:t xml:space="preserve"> alter the scene</w:t>
      </w:r>
    </w:p>
    <w:p w14:paraId="335DF229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Multiple angles — wide-angle (overall) and close-up (specific items); include scale/ruler for small items</w:t>
      </w:r>
    </w:p>
    <w:p w14:paraId="361FE01E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Photograph back of computer (cables); photograph before AND after any action on a device</w:t>
      </w:r>
    </w:p>
    <w:p w14:paraId="7FE5B4D6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Ensure camera date/time is accurate (EXIF data used in timeline)</w:t>
      </w:r>
    </w:p>
    <w:p w14:paraId="2A57830F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 xml:space="preserve">If possible, use a camera that </w:t>
      </w:r>
      <w:r>
        <w:rPr>
          <w:b/>
          <w:bCs/>
          <w:color w:val="1E293B"/>
        </w:rPr>
        <w:t>hashes photos upon capture</w:t>
      </w:r>
      <w:r>
        <w:t xml:space="preserve"> for integrity</w:t>
      </w:r>
    </w:p>
    <w:p w14:paraId="7A4B9FF3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After photographing, create sketches showing measurement relationships and camera positions</w:t>
      </w:r>
    </w:p>
    <w:p w14:paraId="424434BF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2.5.2 — Search and Seizure</w:t>
      </w:r>
    </w:p>
    <w:p w14:paraId="4DA86CCF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Planning S&amp;S — plan must include:</w:t>
      </w:r>
    </w:p>
    <w:p w14:paraId="516330D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Description of incident, case name, location, applicable jurisdiction, legislation, and policy</w:t>
      </w:r>
    </w:p>
    <w:p w14:paraId="65559AA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Extent of search authority; equipment to be seized; S&amp;S type (overt/covert); management approval</w:t>
      </w:r>
    </w:p>
    <w:p w14:paraId="201B87E9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Seeking Consent</w:t>
      </w:r>
    </w:p>
    <w:p w14:paraId="5B39BDC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Written consent from device/org owner = sufficient to commence S&amp;S</w:t>
      </w:r>
    </w:p>
    <w:p w14:paraId="5133383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Use appropriate forms for jurisdiction; carry in forensic grab bag</w:t>
      </w:r>
    </w:p>
    <w:p w14:paraId="3501630A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Obtaining Witness Signatures</w:t>
      </w:r>
    </w:p>
    <w:p w14:paraId="1141392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Witness verifies consent form was explained, understood, and voluntarily signed</w:t>
      </w:r>
    </w:p>
    <w:p w14:paraId="0E3B0BDA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Typically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1 witness signature needed; 2 if jurisdictionally required</w:t>
      </w:r>
    </w:p>
    <w:p w14:paraId="0A426CE3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Obtaining a Search Warrant</w:t>
      </w:r>
    </w:p>
    <w:p w14:paraId="3157E6E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>Written order from a judge directing a LEO to search for specific evidence at a specific location</w:t>
      </w:r>
    </w:p>
    <w:p w14:paraId="14420CBA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 xml:space="preserve">Valid for </w:t>
      </w:r>
      <w:r>
        <w:rPr>
          <w:b/>
          <w:bCs/>
          <w:color w:val="1E293B"/>
        </w:rPr>
        <w:t>10 days</w:t>
      </w:r>
      <w:r>
        <w:t xml:space="preserve"> from signing (federal rules of criminal procedure)</w:t>
      </w:r>
    </w:p>
    <w:p w14:paraId="44EF091F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lastRenderedPageBreak/>
        <w:t>Two types:</w:t>
      </w:r>
    </w:p>
    <w:p w14:paraId="213DC407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Electronic Storage Device Search Warrant</w:t>
      </w:r>
      <w:r>
        <w:t xml:space="preserve"> — seize hardware, software, storage devices, documents</w:t>
      </w:r>
    </w:p>
    <w:p w14:paraId="59960B3F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Service Provider Search Warrant</w:t>
      </w:r>
      <w:r>
        <w:t xml:space="preserve"> — obtain service records, billing records, subscriber info from ISP</w:t>
      </w:r>
    </w:p>
    <w:p w14:paraId="6C3A4D65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Search Without Warrant — Permissible Scenarios</w:t>
      </w:r>
    </w:p>
    <w:p w14:paraId="13B80FE9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Risk of evidence destruction</w:t>
      </w:r>
    </w:p>
    <w:p w14:paraId="174706A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Owner/account holder provides explicit consent</w:t>
      </w:r>
    </w:p>
    <w:p w14:paraId="1AD6360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Evidence is in plain view (clearly visible)</w:t>
      </w:r>
    </w:p>
    <w:p w14:paraId="26E3F88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Publicly available data (e.g., social media posts)</w:t>
      </w:r>
    </w:p>
    <w:p w14:paraId="12C1ECD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Search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incident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to lawful arrest (associated devices)</w:t>
      </w:r>
    </w:p>
    <w:p w14:paraId="34A6FA59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Corporate devices (employees may have diminished privacy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expectation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>)</w:t>
      </w:r>
    </w:p>
    <w:p w14:paraId="04DEFBCE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Border crossings (some jurisdictions allow)</w:t>
      </w:r>
    </w:p>
    <w:p w14:paraId="796ECEA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Third-party doctrine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data shared with ISP may have reduced privacy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expectation</w:t>
      </w:r>
      <w:proofErr w:type="gramEnd"/>
    </w:p>
    <w:p w14:paraId="2AFA94B7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Preliminary Interviews</w:t>
      </w:r>
    </w:p>
    <w:p w14:paraId="6A280539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Always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conduct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in the presence of a witness</w:t>
      </w:r>
    </w:p>
    <w:p w14:paraId="1C5D464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Suspects often answer truthfully when caught off guard</w:t>
      </w:r>
    </w:p>
    <w:p w14:paraId="415D10B1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Determine: criminal act vs. policy violation vs. accident</w:t>
      </w:r>
    </w:p>
    <w:p w14:paraId="2A56316A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2.5.3 — Initial Search of Scene</w:t>
      </w:r>
    </w:p>
    <w:p w14:paraId="47B2848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Ensure physical environment is safe (exposed wires, dangerous substances)</w:t>
      </w:r>
    </w:p>
    <w:p w14:paraId="2693F54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Photograph entire scene before touching anything; survey for all evidence sources</w:t>
      </w:r>
    </w:p>
    <w:p w14:paraId="15359FC1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Maintain a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search and seizure evidence log</w:t>
      </w:r>
      <w:r>
        <w:rPr>
          <w:rFonts w:ascii="Calibri" w:eastAsia="Calibri" w:hAnsi="Calibri" w:cs="Calibri"/>
          <w:color w:val="1E293B"/>
          <w:sz w:val="22"/>
          <w:szCs w:val="22"/>
        </w:rPr>
        <w:t>; search for secondary storage media (hard disks, pen drives)</w:t>
      </w:r>
    </w:p>
    <w:p w14:paraId="453E655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Log everyone entering/exiting; refuse offers of help or technical assistance</w:t>
      </w:r>
    </w:p>
    <w:p w14:paraId="05C367BF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Maintain chain of custody for all evidence from identification onward</w:t>
      </w:r>
    </w:p>
    <w:p w14:paraId="346FBE63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lastRenderedPageBreak/>
        <w:t>2.5.4 — Seizing Evidence</w:t>
      </w:r>
    </w:p>
    <w:p w14:paraId="3DE7B80D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Key Collection Rules</w:t>
      </w:r>
    </w:p>
    <w:p w14:paraId="7D8CADA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Do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NOT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turn ON a computer that is in the OFF state</w:t>
      </w:r>
    </w:p>
    <w:p w14:paraId="18EDCA5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Take photo of monitor if computer is ON; remove power plug from router/modem</w:t>
      </w:r>
    </w:p>
    <w:p w14:paraId="75781EC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Photograph and label all connections/cables individually</w:t>
      </w:r>
    </w:p>
    <w:p w14:paraId="1C41BAD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Check for encryption software (e.g.,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BitLocker) —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if running, collect unencrypted data before powering off</w:t>
      </w:r>
    </w:p>
    <w:p w14:paraId="20A8CDC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Capture RAM/volatile data before powering off if crucial; do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NOT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copy files to or from the computer</w:t>
      </w:r>
    </w:p>
    <w:p w14:paraId="06EBFE34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Powered-ON Computers</w:t>
      </w:r>
    </w:p>
    <w:p w14:paraId="2683C45E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Photograph screen and document running programs/open files</w:t>
      </w:r>
    </w:p>
    <w:p w14:paraId="28111BD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If screensaver active → move mouse slowly (no button press) → photograph</w:t>
      </w:r>
    </w:p>
    <w:p w14:paraId="336520AE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Pull power cord immediately if: data being overwritten/deleted, or destructive processes running</w:t>
      </w:r>
    </w:p>
    <w:p w14:paraId="49A3817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Do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NOT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pull power if: data of evidentiary value is visible or active programs open → photograph → volatile data collection → then pull plug</w:t>
      </w:r>
    </w:p>
    <w:p w14:paraId="20A97171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For laptops: remove battery + unplug; if battery non-removable, hold power 30 seconds</w:t>
      </w:r>
    </w:p>
    <w:p w14:paraId="1F71C808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Powered-OFF Computers</w:t>
      </w:r>
    </w:p>
    <w:p w14:paraId="6B13956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Leave it OFF; photograph computer + connections + surroundings before moving anything</w:t>
      </w:r>
    </w:p>
    <w:p w14:paraId="69584B1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Assign unique evidence number; document make, model, serial number</w:t>
      </w:r>
    </w:p>
    <w:p w14:paraId="7B46938A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Use anti-static bags for components; store in dry, temperature-controlled environment</w:t>
      </w:r>
    </w:p>
    <w:p w14:paraId="5D970693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Networked Computers</w:t>
      </w:r>
    </w:p>
    <w:p w14:paraId="05E40F6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Capture active network connection data and RAM before severing connection</w:t>
      </w:r>
    </w:p>
    <w:p w14:paraId="192F4EF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Unplug network cable from router/modem; pack in static-free bag; keep away from magnets, high temps, radio transmitters</w:t>
      </w:r>
    </w:p>
    <w:p w14:paraId="46F41E56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Smartphones &amp; Handheld Devices</w:t>
      </w:r>
    </w:p>
    <w:p w14:paraId="1E3C983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lastRenderedPageBreak/>
        <w:t xml:space="preserve">If OFF: do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NOT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turn on; collect/label power cables</w:t>
      </w:r>
    </w:p>
    <w:p w14:paraId="15A8610E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If ON: keep charged; enable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flight mode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; place in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Faraday bag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to block signals</w:t>
      </w:r>
    </w:p>
    <w:p w14:paraId="77A01F3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MicroSD cards = separate evidence with own documentation</w:t>
      </w:r>
    </w:p>
    <w:p w14:paraId="54DA659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SIM cards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= contain contacts and texts; remove, document, store separately</w:t>
      </w:r>
    </w:p>
    <w:p w14:paraId="5978E969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Dealing with Open/Startup Files</w:t>
      </w:r>
    </w:p>
    <w:p w14:paraId="0E9F55E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Malware often creates files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in: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Windows startup folder or Linux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rc.local</w:t>
      </w:r>
      <w:proofErr w:type="spellEnd"/>
      <w:proofErr w:type="gramEnd"/>
    </w:p>
    <w:p w14:paraId="11AE98C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Search for unusual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MAC times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(Modified/Accessed/Created) on vital folders</w:t>
      </w:r>
    </w:p>
    <w:p w14:paraId="7228677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dir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(Windows) or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ls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(Linux) to locate actual access times</w:t>
      </w:r>
    </w:p>
    <w:p w14:paraId="1316BB51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OS Shutdown Procedures</w:t>
      </w:r>
    </w:p>
    <w:p w14:paraId="6A1CDFF9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Windows: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Start → Power → Shut Down → wait → unplug</w:t>
      </w:r>
    </w:p>
    <w:p w14:paraId="70C9539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macOS: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Apple icon → Shut Down → deselect “Reopen windows” → wait → unplug</w:t>
      </w:r>
    </w:p>
    <w:p w14:paraId="76986C31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Linux: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shutdown now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or </w:t>
      </w:r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shutdown -h 0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(add 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sudo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if needed) → wait → unplug</w:t>
      </w:r>
    </w:p>
    <w:p w14:paraId="507B97C0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Collecting Evidence from Social Networks</w:t>
      </w:r>
    </w:p>
    <w:p w14:paraId="307975A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Key data of interest: social footprints, communication patterns, pictures/videos, activity timestamps, user locations (geotagging)</w:t>
      </w:r>
    </w:p>
    <w:p w14:paraId="3EA30D1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Identify relevant platforms; issue search warrant or subpoena</w:t>
      </w:r>
    </w:p>
    <w:p w14:paraId="1038FBA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Contact platform and follow protocols for forensic image/export</w:t>
      </w:r>
    </w:p>
    <w:p w14:paraId="751AEB2A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Specialized tools: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WebPreserver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X1 Social Discovery, Navigator by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LifeRaft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Netlytic</w:t>
      </w:r>
      <w:proofErr w:type="spellEnd"/>
    </w:p>
    <w:p w14:paraId="24BC9EA0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2.5.5 — Evidence Preservation</w:t>
      </w:r>
    </w:p>
    <w:p w14:paraId="731E170B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Chain of Custody</w:t>
      </w:r>
    </w:p>
    <w:p w14:paraId="646706A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Legal document demonstrating progression of evidence from crime scene to forensic lab</w:t>
      </w:r>
    </w:p>
    <w:p w14:paraId="5F77A9C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Shows: technology used, methodology, people involved</w:t>
      </w:r>
    </w:p>
    <w:p w14:paraId="0CB856F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Contains: case number, name/title of person from whom received, address/phone of handlers, location of evidence, date/time of acquisition, item number/quantity/description</w:t>
      </w:r>
    </w:p>
    <w:p w14:paraId="16EBF867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Evidence Bag — Front Panel Must Include</w:t>
      </w:r>
    </w:p>
    <w:p w14:paraId="75A5384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lastRenderedPageBreak/>
        <w:t>Date/time of seizure; incident responder/investigator who seized; exhibit number</w:t>
      </w:r>
    </w:p>
    <w:p w14:paraId="5E6C996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Site from which seized; details of bag contents; submitting agency and address</w:t>
      </w:r>
    </w:p>
    <w:p w14:paraId="07456195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Exhibit Numbering Format: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aaa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ddmmyy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nnnn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zz</w:t>
      </w:r>
      <w:proofErr w:type="spellEnd"/>
    </w:p>
    <w:p w14:paraId="0BBD32DA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aaa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= initials of forensic analyst/LEO</w:t>
      </w:r>
    </w:p>
    <w:p w14:paraId="74547EA1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dd/mm/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yy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= date of seizure</w:t>
      </w:r>
    </w:p>
    <w:p w14:paraId="688AD17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nnnn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= sequential number starting at 001</w:t>
      </w:r>
    </w:p>
    <w:p w14:paraId="30936A9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  <w:shd w:val="clear" w:color="auto" w:fill="F3F4F6"/>
        </w:rPr>
        <w:t>zz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= sequence for parts of same exhibit (A=CPU, B=monitor, C=keyboard, etc.)</w:t>
      </w:r>
    </w:p>
    <w:p w14:paraId="226C4BCA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Packaging Evidence</w:t>
      </w:r>
    </w:p>
    <w:p w14:paraId="2FA45BA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Pack magnetic media in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anti-static packaging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(NOT plastic bags — produce static)</w:t>
      </w:r>
    </w:p>
    <w:p w14:paraId="4F5DC6C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Use antishock materials (bubble wrap, Styrofoam); seal with evidence tape or security seals</w:t>
      </w:r>
    </w:p>
    <w:p w14:paraId="5B9F8C5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Use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Faraday bags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for wireless-capable devices; store away from magnets, extreme temps, water</w:t>
      </w:r>
    </w:p>
    <w:p w14:paraId="12D7F3D3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2.5.6 — Data Acquisition</w:t>
      </w:r>
    </w:p>
    <w:p w14:paraId="01B18FB1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Definition:</w:t>
      </w:r>
      <w:r>
        <w:t xml:space="preserve"> Use of established methods to extract </w:t>
      </w:r>
      <w:r>
        <w:rPr>
          <w:b/>
          <w:bCs/>
          <w:color w:val="1E293B"/>
        </w:rPr>
        <w:t>Electronically Stored Information (ESI)</w:t>
      </w:r>
      <w:r>
        <w:t xml:space="preserve"> from a suspect computer or storage media</w:t>
      </w:r>
    </w:p>
    <w:p w14:paraId="13E228F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Most critical step</w:t>
      </w:r>
      <w:r>
        <w:t xml:space="preserve"> — improper acquisition may alter data and render it inadmissible in court</w:t>
      </w:r>
    </w:p>
    <w:p w14:paraId="664A069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 xml:space="preserve">Before </w:t>
      </w:r>
      <w:proofErr w:type="gramStart"/>
      <w:r>
        <w:t>acquiring:</w:t>
      </w:r>
      <w:proofErr w:type="gramEnd"/>
      <w:r>
        <w:t xml:space="preserve"> ensure storage </w:t>
      </w:r>
      <w:proofErr w:type="gramStart"/>
      <w:r>
        <w:t>device is</w:t>
      </w:r>
      <w:proofErr w:type="gramEnd"/>
      <w:r>
        <w:t xml:space="preserve"> forensically clean; initiate </w:t>
      </w:r>
      <w:r>
        <w:rPr>
          <w:b/>
          <w:bCs/>
          <w:color w:val="1E293B"/>
        </w:rPr>
        <w:t>write protection</w:t>
      </w:r>
    </w:p>
    <w:p w14:paraId="40EA9EB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t xml:space="preserve">Use </w:t>
      </w:r>
      <w:r>
        <w:rPr>
          <w:b/>
          <w:bCs/>
          <w:color w:val="1E293B"/>
        </w:rPr>
        <w:t>write-blockers</w:t>
      </w:r>
      <w:r>
        <w:t xml:space="preserve"> to prevent modifications; document entire process for chain of custody</w:t>
      </w:r>
    </w:p>
    <w:p w14:paraId="03D7117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NEVER</w:t>
      </w:r>
      <w:r>
        <w:t xml:space="preserve"> use original evidence for analysis — always work on copies (bit-by-bit forensic image)</w:t>
      </w:r>
    </w:p>
    <w:p w14:paraId="6CC502C6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Make 2+ copies; send duplicate to lab; store original safely</w:t>
      </w:r>
    </w:p>
    <w:p w14:paraId="5D086741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 xml:space="preserve">Calculate </w:t>
      </w:r>
      <w:r>
        <w:rPr>
          <w:b/>
          <w:bCs/>
          <w:color w:val="1E293B"/>
        </w:rPr>
        <w:t>hash value</w:t>
      </w:r>
      <w:r>
        <w:t xml:space="preserve"> of original AND forensic image → verify they match → confirms integrity</w:t>
      </w:r>
    </w:p>
    <w:p w14:paraId="266E1616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lastRenderedPageBreak/>
        <w:t>2.5.7 — Data Analysis</w:t>
      </w:r>
    </w:p>
    <w:p w14:paraId="68520BE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Definition:</w:t>
      </w:r>
      <w:r>
        <w:t xml:space="preserve"> Examining, identifying, separating, converting, and modeling data to isolate useful information</w:t>
      </w:r>
    </w:p>
    <w:p w14:paraId="2EA07D4F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Activities:</w:t>
      </w:r>
    </w:p>
    <w:p w14:paraId="5DF3FCFD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Analyzing file content; analyzing date/time of file creation and modification</w:t>
      </w:r>
    </w:p>
    <w:p w14:paraId="743D6613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Finding users associated with file creation, access, modification</w:t>
      </w:r>
    </w:p>
    <w:p w14:paraId="7281E3E1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Timeline generation; identifying root cause of incident</w:t>
      </w:r>
    </w:p>
    <w:p w14:paraId="7C102E0A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t>Categorize data by relevance — prioritize most important evidence first</w:t>
      </w:r>
    </w:p>
    <w:p w14:paraId="13C326DA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2.5.8 — Case Analysis</w:t>
      </w:r>
    </w:p>
    <w:p w14:paraId="40B63E5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Definition:</w:t>
      </w:r>
      <w:r>
        <w:t xml:space="preserve"> Relating evidential data to a case to understand how the complete incident occurred</w:t>
      </w:r>
    </w:p>
    <w:p w14:paraId="2A82F5A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Key considerations:</w:t>
      </w:r>
      <w:r>
        <w:t xml:space="preserve"> case background, legal considerations, available resources, evidence scope, chain of custody, timelines/priorities, potential challenges, stakeholder communication, continuous review, documentation</w:t>
      </w:r>
    </w:p>
    <w:p w14:paraId="7D163A1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b/>
          <w:bCs/>
          <w:color w:val="1E293B"/>
        </w:rPr>
        <w:t>Evidence Reconstruction</w:t>
      </w:r>
      <w:r>
        <w:t xml:space="preserve"> — creates a timeline for the security incident:</w:t>
      </w:r>
    </w:p>
    <w:p w14:paraId="58C06AD0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Temporal Analysis</w:t>
      </w:r>
      <w:r>
        <w:t xml:space="preserve"> — sequential event trail showing what happened and who was involved</w:t>
      </w:r>
    </w:p>
    <w:p w14:paraId="68CE8633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Relational Analysis</w:t>
      </w:r>
      <w:r>
        <w:t xml:space="preserve"> — correlates actions of </w:t>
      </w:r>
      <w:proofErr w:type="gramStart"/>
      <w:r>
        <w:t>suspect</w:t>
      </w:r>
      <w:proofErr w:type="gramEnd"/>
      <w:r>
        <w:t xml:space="preserve"> and </w:t>
      </w:r>
      <w:proofErr w:type="gramStart"/>
      <w:r>
        <w:t>victim</w:t>
      </w:r>
      <w:proofErr w:type="gramEnd"/>
    </w:p>
    <w:p w14:paraId="55FF4E28" w14:textId="77777777" w:rsidR="00E3365B" w:rsidRDefault="0030429C">
      <w:pPr>
        <w:pStyle w:val="ListParagraph"/>
        <w:numPr>
          <w:ilvl w:val="1"/>
          <w:numId w:val="1"/>
        </w:numPr>
        <w:spacing w:after="60" w:line="408" w:lineRule="auto"/>
      </w:pPr>
      <w:r>
        <w:rPr>
          <w:b/>
          <w:bCs/>
          <w:color w:val="1E293B"/>
        </w:rPr>
        <w:t>Functional Analysis</w:t>
      </w:r>
      <w:r>
        <w:t xml:space="preserve"> — describes possible conditions for the crime (testifies to events)</w:t>
      </w:r>
    </w:p>
    <w:p w14:paraId="3E66497F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751E555D" w14:textId="77777777" w:rsidR="00E3365B" w:rsidRDefault="0030429C">
      <w:pPr>
        <w:spacing w:before="60" w:after="60" w:line="384" w:lineRule="auto"/>
      </w:pPr>
      <w:r>
        <w:rPr>
          <w:rFonts w:ascii="Calibri" w:eastAsia="Calibri" w:hAnsi="Calibri" w:cs="Calibri"/>
          <w:b/>
          <w:bCs/>
          <w:color w:val="0369A1"/>
          <w:spacing w:val="16"/>
          <w:sz w:val="17"/>
          <w:szCs w:val="17"/>
        </w:rPr>
        <w:t>SECTION 2.6</w:t>
      </w:r>
    </w:p>
    <w:p w14:paraId="27BDD4E3" w14:textId="77777777" w:rsidR="00E3365B" w:rsidRDefault="0030429C">
      <w:pPr>
        <w:pStyle w:val="Heading2"/>
        <w:spacing w:before="400" w:after="120" w:line="312" w:lineRule="auto"/>
      </w:pPr>
      <w:r>
        <w:rPr>
          <w:rFonts w:ascii="Calibri" w:eastAsia="Calibri" w:hAnsi="Calibri" w:cs="Calibri"/>
          <w:color w:val="0E7490"/>
          <w:spacing w:val="6"/>
          <w:sz w:val="32"/>
          <w:szCs w:val="32"/>
        </w:rPr>
        <w:t>2.6 — Post-Investigation Phase</w:t>
      </w:r>
    </w:p>
    <w:p w14:paraId="389CC4EF" w14:textId="77777777" w:rsidR="00E3365B" w:rsidRDefault="0030429C">
      <w:pPr>
        <w:spacing w:before="60" w:after="120" w:line="384" w:lineRule="auto"/>
      </w:pPr>
      <w:r>
        <w:rPr>
          <w:rFonts w:ascii="Calibri" w:eastAsia="Calibri" w:hAnsi="Calibri" w:cs="Calibri"/>
          <w:i/>
          <w:iCs/>
          <w:color w:val="334155"/>
          <w:sz w:val="22"/>
          <w:szCs w:val="22"/>
        </w:rPr>
        <w:t>Responsibilities do not end after evidence analysis — must explain findings to prosecutors, attorneys, and judges.</w:t>
      </w:r>
    </w:p>
    <w:p w14:paraId="713BCEB3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lastRenderedPageBreak/>
        <w:t>2.6.1 — Reporting</w:t>
      </w:r>
    </w:p>
    <w:p w14:paraId="1E75ACFA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Report Audience</w:t>
      </w:r>
    </w:p>
    <w:p w14:paraId="2379C7B7" w14:textId="77777777" w:rsidR="00E3365B" w:rsidRDefault="00E3365B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6732"/>
      </w:tblGrid>
      <w:tr w:rsidR="00E3365B" w14:paraId="71109584" w14:textId="77777777">
        <w:trPr>
          <w:tblHeader/>
        </w:trPr>
        <w:tc>
          <w:tcPr>
            <w:tcW w:w="1400" w:type="pct"/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EF899B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38BDF8"/>
                <w:spacing w:val="6"/>
                <w:sz w:val="21"/>
                <w:szCs w:val="21"/>
              </w:rPr>
              <w:t>Audience</w:t>
            </w:r>
          </w:p>
        </w:tc>
        <w:tc>
          <w:tcPr>
            <w:tcW w:w="3600" w:type="pct"/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7EB5C8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38BDF8"/>
                <w:spacing w:val="6"/>
                <w:sz w:val="21"/>
                <w:szCs w:val="21"/>
              </w:rPr>
              <w:t>Content Focus</w:t>
            </w:r>
          </w:p>
        </w:tc>
      </w:tr>
      <w:tr w:rsidR="00E3365B" w14:paraId="5D77AA6D" w14:textId="77777777">
        <w:tc>
          <w:tcPr>
            <w:tcW w:w="14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44DD52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IT/Security Dept.</w:t>
            </w:r>
          </w:p>
        </w:tc>
        <w:tc>
          <w:tcPr>
            <w:tcW w:w="36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EB49B7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 xml:space="preserve">Root cause, </w:t>
            </w:r>
            <w:proofErr w:type="spellStart"/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IoCs</w:t>
            </w:r>
            <w:proofErr w:type="spellEnd"/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, technical details, remediation recommendations</w:t>
            </w:r>
          </w:p>
        </w:tc>
      </w:tr>
      <w:tr w:rsidR="00E3365B" w14:paraId="06CC8767" w14:textId="77777777">
        <w:tc>
          <w:tcPr>
            <w:tcW w:w="14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D1F33C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Legal Counsel</w:t>
            </w:r>
          </w:p>
        </w:tc>
        <w:tc>
          <w:tcPr>
            <w:tcW w:w="36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6D2FB8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Chain of custody, findings, evidence relevant to case</w:t>
            </w:r>
          </w:p>
        </w:tc>
      </w:tr>
      <w:tr w:rsidR="00E3365B" w14:paraId="00DDB6E8" w14:textId="77777777">
        <w:tc>
          <w:tcPr>
            <w:tcW w:w="14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7340EC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Law Enforcement</w:t>
            </w:r>
          </w:p>
        </w:tc>
        <w:tc>
          <w:tcPr>
            <w:tcW w:w="36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8E9B04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Detailed explanation, evidence found, forensic techniques used</w:t>
            </w:r>
          </w:p>
        </w:tc>
      </w:tr>
      <w:tr w:rsidR="00E3365B" w14:paraId="4CCE0BB5" w14:textId="77777777">
        <w:tc>
          <w:tcPr>
            <w:tcW w:w="14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BE9C93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Judges/Grand Jury</w:t>
            </w:r>
          </w:p>
        </w:tc>
        <w:tc>
          <w:tcPr>
            <w:tcW w:w="36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899962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Understandable explanation of incident and findings</w:t>
            </w:r>
          </w:p>
        </w:tc>
      </w:tr>
      <w:tr w:rsidR="00E3365B" w14:paraId="0898C91F" w14:textId="77777777">
        <w:tc>
          <w:tcPr>
            <w:tcW w:w="14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A4070F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Corporate Management</w:t>
            </w:r>
          </w:p>
        </w:tc>
        <w:tc>
          <w:tcPr>
            <w:tcW w:w="36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AAF77EF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Impact on business, security recommendations</w:t>
            </w:r>
          </w:p>
        </w:tc>
      </w:tr>
      <w:tr w:rsidR="00E3365B" w14:paraId="4F212AAA" w14:textId="77777777">
        <w:tc>
          <w:tcPr>
            <w:tcW w:w="14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684DB3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Insurance Companies</w:t>
            </w:r>
          </w:p>
        </w:tc>
        <w:tc>
          <w:tcPr>
            <w:tcW w:w="36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79C903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Incident details, impact, potential liabilities</w:t>
            </w:r>
          </w:p>
        </w:tc>
      </w:tr>
      <w:tr w:rsidR="00E3365B" w14:paraId="58CB9AFF" w14:textId="77777777">
        <w:tc>
          <w:tcPr>
            <w:tcW w:w="14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6EACE6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Affected Parties</w:t>
            </w:r>
          </w:p>
        </w:tc>
        <w:tc>
          <w:tcPr>
            <w:tcW w:w="36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EBD809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Data exposed, potential risks, recommended actions</w:t>
            </w:r>
          </w:p>
        </w:tc>
      </w:tr>
      <w:tr w:rsidR="00E3365B" w14:paraId="42D2178D" w14:textId="77777777">
        <w:tc>
          <w:tcPr>
            <w:tcW w:w="14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061EA7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General Public</w:t>
            </w:r>
          </w:p>
        </w:tc>
        <w:tc>
          <w:tcPr>
            <w:tcW w:w="36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D2A35F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Summary without sensitive details</w:t>
            </w:r>
          </w:p>
        </w:tc>
      </w:tr>
    </w:tbl>
    <w:p w14:paraId="10DE643A" w14:textId="77777777" w:rsidR="00E3365B" w:rsidRDefault="00E3365B">
      <w:pPr>
        <w:spacing w:after="200"/>
      </w:pPr>
    </w:p>
    <w:p w14:paraId="3EB7BD0B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Writing the Investigation Report — Key Qualities</w:t>
      </w:r>
    </w:p>
    <w:p w14:paraId="29DC1CC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Clear, concise, written for appropriate audience; no jargon; only include data related to the case</w:t>
      </w:r>
    </w:p>
    <w:p w14:paraId="7C48A03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All statements must have supporting documents/evidence; conclusions based on facts, not opinions</w:t>
      </w:r>
    </w:p>
    <w:p w14:paraId="09380281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Draft assuming the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defense team will also scrutinize it</w:t>
      </w:r>
    </w:p>
    <w:p w14:paraId="44C4C72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State limitations and uncertainty (e.g., timestamps can be reset — do not rely solely on them)</w:t>
      </w:r>
    </w:p>
    <w:p w14:paraId="4C184D0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Include algorithm names specifically (e.g., MD5 hash); present results in logical order</w:t>
      </w:r>
    </w:p>
    <w:p w14:paraId="5B4ED72F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Report Template Contents</w:t>
      </w:r>
    </w:p>
    <w:p w14:paraId="7AA20C4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Unique case number + names/IDs of authors/investigators/examiners</w:t>
      </w:r>
    </w:p>
    <w:p w14:paraId="35BDD05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Investigation objectives and incident details; executive summary + daily investigation progress</w:t>
      </w:r>
    </w:p>
    <w:p w14:paraId="4DEE7DA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Evidence list: location, collection, tools used, extraction/preservation process</w:t>
      </w:r>
    </w:p>
    <w:p w14:paraId="51569C7F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List of findings; expert review with details on attacker intentions, Internet activity, recommendations</w:t>
      </w:r>
    </w:p>
    <w:p w14:paraId="02BE9C84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Report Writing Guidelines</w:t>
      </w:r>
    </w:p>
    <w:p w14:paraId="6587286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lastRenderedPageBreak/>
        <w:t>Organize progressively (simple → complex); use standardized template with table of contents</w:t>
      </w:r>
    </w:p>
    <w:p w14:paraId="0D25D6F5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Use unique identifiers to avoid ambiguity; be objective, precise, avoid grammatical errors/jargon</w:t>
      </w:r>
    </w:p>
    <w:p w14:paraId="7FB42FD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Get reviewed by an expert before sharing/publishing</w:t>
      </w:r>
    </w:p>
    <w:p w14:paraId="3E9B7BAF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Visual Aids &amp; Presentation Techniques</w:t>
      </w:r>
    </w:p>
    <w:p w14:paraId="6DE4ADB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Types: slides, videos, diagrams, graphs, charts, timelines, maps, animations</w:t>
      </w:r>
    </w:p>
    <w:p w14:paraId="78E9D1DF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Tools: AEGIS Forensics Visualization Toolkit, Tableau, Microsoft Power BI,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KronoGraph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MagicTree</w:t>
      </w:r>
      <w:proofErr w:type="spellEnd"/>
    </w:p>
    <w:p w14:paraId="3D254A47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Mock Case Presentations</w:t>
      </w:r>
    </w:p>
    <w:p w14:paraId="5A9F5FC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Simulates a real trial to evaluate accuracy and effectiveness of forensic report</w:t>
      </w:r>
    </w:p>
    <w:p w14:paraId="2F2A5B44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Mock trial team: unbiased jury panel, complainant attorney, defense attorney</w:t>
      </w:r>
    </w:p>
    <w:p w14:paraId="06FC10D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Benefits: identify pros/cons in report, find factors influencing judgment, check for bias and legal compliance</w:t>
      </w:r>
    </w:p>
    <w:p w14:paraId="0F1F4A2C" w14:textId="77777777" w:rsidR="00E3365B" w:rsidRDefault="0030429C">
      <w:pPr>
        <w:pStyle w:val="Heading3"/>
        <w:spacing w:before="280" w:after="80" w:line="312" w:lineRule="auto"/>
      </w:pPr>
      <w:r>
        <w:rPr>
          <w:rFonts w:ascii="Calibri" w:eastAsia="Calibri" w:hAnsi="Calibri" w:cs="Calibri"/>
          <w:color w:val="0369A1"/>
          <w:sz w:val="26"/>
          <w:szCs w:val="26"/>
        </w:rPr>
        <w:t>2.6.2 — Expert Witness</w:t>
      </w:r>
    </w:p>
    <w:p w14:paraId="3E6D3EB2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Definition: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An individual who has gained vast knowledge of a subject surpassing average understanding, by virtue of education, profession, or experience. Can provide expert opinions on complex technical/scientific matters during trial.</w:t>
      </w:r>
    </w:p>
    <w:p w14:paraId="000AFBCC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Roles</w:t>
      </w:r>
    </w:p>
    <w:p w14:paraId="406A7F60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Investigate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case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in specific field; evaluate and present evidence before court</w:t>
      </w:r>
    </w:p>
    <w:p w14:paraId="50A55D8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Assist plaintiff/defendant lawyers in establishing facts; educate jury and court about findings</w:t>
      </w:r>
    </w:p>
    <w:p w14:paraId="73027289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Assist in settlement negotiations; create exhibits illustrating evidence</w:t>
      </w:r>
    </w:p>
    <w:p w14:paraId="3FF0F831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Three Expert Witness Types</w:t>
      </w:r>
    </w:p>
    <w:p w14:paraId="1A6E446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Consulting expert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provides technical explanations for complex situations</w:t>
      </w:r>
    </w:p>
    <w:p w14:paraId="1342B34E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Court expert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advises court on technical issues the court fails to comprehend</w:t>
      </w:r>
    </w:p>
    <w:p w14:paraId="00E57E4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Testifying expert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presents testimony during trial</w:t>
      </w:r>
    </w:p>
    <w:p w14:paraId="7F2ADD9B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Qualities of a Good Expert Witness</w:t>
      </w:r>
    </w:p>
    <w:p w14:paraId="2A8485C3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lastRenderedPageBreak/>
        <w:t>Self-confidence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withstands cross-examination</w:t>
      </w:r>
    </w:p>
    <w:p w14:paraId="390C51D9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Politeness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explains complex issues simply for nontechnical jury</w:t>
      </w:r>
    </w:p>
    <w:p w14:paraId="28ACBAAA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Preparedness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</w:t>
      </w:r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researches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 xml:space="preserve"> case-related info thoroughly before court</w:t>
      </w:r>
    </w:p>
    <w:p w14:paraId="0581D484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Knowledge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deeply familiar with subject matter</w:t>
      </w:r>
    </w:p>
    <w:p w14:paraId="60C28DB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Consistency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maintains quality across multiple cases</w:t>
      </w:r>
    </w:p>
    <w:p w14:paraId="22C477EF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Trustworthiness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provides reliable, convincing opinions</w:t>
      </w:r>
    </w:p>
    <w:p w14:paraId="6639D15B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Objectivity without speculation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honest, unbiased</w:t>
      </w:r>
    </w:p>
    <w:p w14:paraId="53217F7A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Improvising abilities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handles hypothetical questions from court</w:t>
      </w:r>
    </w:p>
    <w:p w14:paraId="472448FB" w14:textId="77777777" w:rsidR="00E3365B" w:rsidRDefault="0030429C">
      <w:pPr>
        <w:pStyle w:val="Heading4"/>
        <w:spacing w:before="200" w:after="60" w:line="384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Expert Witness Ethics</w:t>
      </w:r>
    </w:p>
    <w:p w14:paraId="5610A0F8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Always provide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unbiased opinion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— loyalty is to the truth, not the retaining party</w:t>
      </w:r>
    </w:p>
    <w:p w14:paraId="56FC377D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Never exaggerate, distort, or misrepresent findings/qualifications</w:t>
      </w:r>
    </w:p>
    <w:p w14:paraId="24E997BE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Only testify in your areas of expertise; disclose any potential conflicts of interest</w:t>
      </w:r>
    </w:p>
    <w:p w14:paraId="306F2BFE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Be consistent; be open to peer review</w:t>
      </w:r>
    </w:p>
    <w:p w14:paraId="33F76C31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35FE6121" w14:textId="77777777" w:rsidR="00E3365B" w:rsidRDefault="0030429C">
      <w:pPr>
        <w:spacing w:before="60" w:after="60" w:line="384" w:lineRule="auto"/>
      </w:pPr>
      <w:r>
        <w:rPr>
          <w:rFonts w:ascii="Calibri" w:eastAsia="Calibri" w:hAnsi="Calibri" w:cs="Calibri"/>
          <w:b/>
          <w:bCs/>
          <w:color w:val="0369A1"/>
          <w:spacing w:val="16"/>
          <w:sz w:val="17"/>
          <w:szCs w:val="17"/>
        </w:rPr>
        <w:t>SECTION 2.7</w:t>
      </w:r>
    </w:p>
    <w:p w14:paraId="7AE0F3D8" w14:textId="77777777" w:rsidR="00E3365B" w:rsidRDefault="0030429C">
      <w:pPr>
        <w:pStyle w:val="Heading2"/>
        <w:spacing w:before="400" w:after="120" w:line="312" w:lineRule="auto"/>
      </w:pPr>
      <w:r>
        <w:rPr>
          <w:rFonts w:ascii="Calibri" w:eastAsia="Calibri" w:hAnsi="Calibri" w:cs="Calibri"/>
          <w:color w:val="0E7490"/>
          <w:spacing w:val="6"/>
          <w:sz w:val="32"/>
          <w:szCs w:val="32"/>
        </w:rPr>
        <w:t>2.7 — Key Terms &amp; Definitions</w:t>
      </w:r>
    </w:p>
    <w:p w14:paraId="22F7A2E7" w14:textId="77777777" w:rsidR="00E3365B" w:rsidRDefault="00E3365B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3"/>
        <w:gridCol w:w="7667"/>
      </w:tblGrid>
      <w:tr w:rsidR="00E3365B" w14:paraId="212E4076" w14:textId="77777777">
        <w:trPr>
          <w:tblHeader/>
        </w:trPr>
        <w:tc>
          <w:tcPr>
            <w:tcW w:w="900" w:type="pct"/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312DF2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38BDF8"/>
                <w:spacing w:val="6"/>
                <w:sz w:val="21"/>
                <w:szCs w:val="21"/>
              </w:rPr>
              <w:t>Term</w:t>
            </w:r>
          </w:p>
        </w:tc>
        <w:tc>
          <w:tcPr>
            <w:tcW w:w="4100" w:type="pct"/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BC4EF8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38BDF8"/>
                <w:spacing w:val="6"/>
                <w:sz w:val="21"/>
                <w:szCs w:val="21"/>
              </w:rPr>
              <w:t>Definition</w:t>
            </w:r>
          </w:p>
        </w:tc>
      </w:tr>
      <w:tr w:rsidR="00E3365B" w14:paraId="24FA3054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6BA378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Chain of Custody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6AF9B3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Legal document showing the progression of evidence from crime scene to forensic lab, ensuring integrity and auditability</w:t>
            </w:r>
          </w:p>
        </w:tc>
      </w:tr>
      <w:tr w:rsidR="00E3365B" w14:paraId="4807CC12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1CDA5D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Write-Blocker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F1DF14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Hardware or software tool that prevents any write operations to storage media during evidence acquisition</w:t>
            </w:r>
          </w:p>
        </w:tc>
      </w:tr>
      <w:tr w:rsidR="00E3365B" w14:paraId="4EBF94CF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2CA527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Forensic Image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C8C879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A bit-by-bit copy of original storage media used for analysis while preserving the original</w:t>
            </w:r>
          </w:p>
        </w:tc>
      </w:tr>
      <w:tr w:rsidR="00E3365B" w14:paraId="15682609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BCB4A6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Hash Value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6B09EA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A cryptographic fingerprint (e.g., MD5, SHA-256) used to verify that a forensic copy is identical to the original</w:t>
            </w:r>
          </w:p>
        </w:tc>
      </w:tr>
      <w:tr w:rsidR="00E3365B" w14:paraId="1265A847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87DA72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First Responder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D42394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 xml:space="preserve">First individual </w:t>
            </w:r>
            <w:proofErr w:type="gramStart"/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to arrive</w:t>
            </w:r>
            <w:proofErr w:type="gramEnd"/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 xml:space="preserve"> at a crime scene; responsible for securing and preserving evidence</w:t>
            </w:r>
          </w:p>
        </w:tc>
      </w:tr>
      <w:tr w:rsidR="00E3365B" w14:paraId="35FEB034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F57885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lastRenderedPageBreak/>
              <w:t>Volatile Data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1D6028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Data stored in RAM or temporary storage that is lost once a device is powered off</w:t>
            </w:r>
          </w:p>
        </w:tc>
      </w:tr>
      <w:tr w:rsidR="00E3365B" w14:paraId="66FFE75A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BA9449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Faraday Bag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D75C62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A signal-blocking bag used to prevent wireless devices from sending or receiving signals during evidence handling</w:t>
            </w:r>
          </w:p>
        </w:tc>
      </w:tr>
      <w:tr w:rsidR="00E3365B" w14:paraId="7D0568B0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5B5A0A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ESI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99EC28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Electronically Stored Information — data extracted from suspect computers/storage media for forensic analysis</w:t>
            </w:r>
          </w:p>
        </w:tc>
      </w:tr>
      <w:tr w:rsidR="00E3365B" w14:paraId="1641BF16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8E1494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MAC Times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B85280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 xml:space="preserve">Modified, Accessed, </w:t>
            </w:r>
            <w:proofErr w:type="gramStart"/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Created</w:t>
            </w:r>
            <w:proofErr w:type="gramEnd"/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 xml:space="preserve"> timestamps on files; used to establish event timelines</w:t>
            </w:r>
          </w:p>
        </w:tc>
      </w:tr>
      <w:tr w:rsidR="00E3365B" w14:paraId="53E2CB30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34C6683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Expert Witness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05A048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A court-recognized individual with specialized knowledge who can provide technical testimony and opinion in legal proceedings</w:t>
            </w:r>
          </w:p>
        </w:tc>
      </w:tr>
      <w:tr w:rsidR="00E3365B" w14:paraId="5E855B0B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99D2E5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ASCLD/LAB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3C6898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American Society of Crime Laboratory Directors — international body that certifies forensic laboratories</w:t>
            </w:r>
          </w:p>
        </w:tc>
      </w:tr>
      <w:tr w:rsidR="00E3365B" w14:paraId="4B7A6AFA" w14:textId="77777777">
        <w:tc>
          <w:tcPr>
            <w:tcW w:w="9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02AE4E" w14:textId="77777777" w:rsidR="00E3365B" w:rsidRDefault="0030429C">
            <w:r>
              <w:rPr>
                <w:rFonts w:ascii="Calibri" w:eastAsia="Calibri" w:hAnsi="Calibri" w:cs="Calibri"/>
                <w:b/>
                <w:bCs/>
                <w:color w:val="1E293B"/>
                <w:sz w:val="22"/>
                <w:szCs w:val="22"/>
              </w:rPr>
              <w:t>TEMPEST</w:t>
            </w:r>
          </w:p>
        </w:tc>
        <w:tc>
          <w:tcPr>
            <w:tcW w:w="41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E5C319" w14:textId="77777777" w:rsidR="00E3365B" w:rsidRDefault="0030429C">
            <w:r>
              <w:rPr>
                <w:rFonts w:ascii="Calibri" w:eastAsia="Calibri" w:hAnsi="Calibri" w:cs="Calibri"/>
                <w:color w:val="334155"/>
                <w:sz w:val="21"/>
                <w:szCs w:val="21"/>
              </w:rPr>
              <w:t>Shielding process using metallic conductor (copper) lining to prevent workstations from emitting electromagnetic signals</w:t>
            </w:r>
          </w:p>
        </w:tc>
      </w:tr>
    </w:tbl>
    <w:p w14:paraId="3266CAF1" w14:textId="77777777" w:rsidR="00E3365B" w:rsidRDefault="00E3365B">
      <w:pPr>
        <w:spacing w:after="200"/>
      </w:pPr>
    </w:p>
    <w:p w14:paraId="2C845C63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6CD91DD3" w14:textId="77777777" w:rsidR="00E3365B" w:rsidRDefault="0030429C">
      <w:pPr>
        <w:spacing w:before="60" w:after="60" w:line="384" w:lineRule="auto"/>
      </w:pPr>
      <w:r>
        <w:rPr>
          <w:rFonts w:ascii="Calibri" w:eastAsia="Calibri" w:hAnsi="Calibri" w:cs="Calibri"/>
          <w:b/>
          <w:bCs/>
          <w:color w:val="0369A1"/>
          <w:spacing w:val="16"/>
          <w:sz w:val="17"/>
          <w:szCs w:val="17"/>
        </w:rPr>
        <w:t>SECTION 2.8</w:t>
      </w:r>
    </w:p>
    <w:p w14:paraId="605A1C04" w14:textId="77777777" w:rsidR="00E3365B" w:rsidRDefault="0030429C">
      <w:pPr>
        <w:pStyle w:val="Heading2"/>
        <w:spacing w:before="400" w:after="120" w:line="312" w:lineRule="auto"/>
      </w:pPr>
      <w:r>
        <w:rPr>
          <w:rFonts w:ascii="Calibri" w:eastAsia="Calibri" w:hAnsi="Calibri" w:cs="Calibri"/>
          <w:color w:val="0E7490"/>
          <w:spacing w:val="6"/>
          <w:sz w:val="32"/>
          <w:szCs w:val="32"/>
        </w:rPr>
        <w:t>2.8 — Summary / Key Takeaways</w:t>
      </w:r>
    </w:p>
    <w:p w14:paraId="7BF1A2B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Computer forensic investigations require a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methodological, repeatable, and legally sound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approach</w:t>
      </w:r>
    </w:p>
    <w:p w14:paraId="7FFD0BF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Evidence integrity must be maintained at every phase — from scene to courtroom</w:t>
      </w:r>
    </w:p>
    <w:p w14:paraId="29C104BC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The three major phases are: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Pre-Investigation → Investigation → </w:t>
      </w:r>
      <w:proofErr w:type="gramStart"/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Post-Investigation</w:t>
      </w:r>
      <w:proofErr w:type="gramEnd"/>
    </w:p>
    <w:p w14:paraId="6CDF5977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Digital evidence is fragile — proper handling, chain of custody, and validated tools are non-negotiable</w:t>
      </w:r>
    </w:p>
    <w:p w14:paraId="4F781AC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The 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first responder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 sets the tone for the entire investigation — mistakes here can invalidate the case</w:t>
      </w:r>
    </w:p>
    <w:p w14:paraId="4DA7F106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Reports must be clear, evidence-based, audience-aware, and free of opinion or jargon</w:t>
      </w:r>
    </w:p>
    <w:p w14:paraId="3ED65DE1" w14:textId="77777777" w:rsidR="00E3365B" w:rsidRDefault="0030429C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E293B"/>
          <w:sz w:val="22"/>
          <w:szCs w:val="22"/>
        </w:rPr>
        <w:t>Expert witnesses bridge the gap between technical forensics and legal understanding</w:t>
      </w:r>
    </w:p>
    <w:p w14:paraId="40DC4D64" w14:textId="77777777" w:rsidR="00E3365B" w:rsidRDefault="00E3365B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E3365B" w14:paraId="14C37CCF" w14:textId="77777777">
        <w:tc>
          <w:tcPr>
            <w:tcW w:w="0" w:type="auto"/>
            <w:tcBorders>
              <w:top w:val="single" w:sz="6" w:space="0" w:color="0369A1"/>
              <w:left w:val="single" w:sz="6" w:space="0" w:color="0369A1"/>
              <w:bottom w:val="single" w:sz="6" w:space="0" w:color="0369A1"/>
              <w:right w:val="single" w:sz="6" w:space="0" w:color="0369A1"/>
            </w:tcBorders>
            <w:shd w:val="clear" w:color="auto" w:fill="F0F9FF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E91C833" w14:textId="77777777" w:rsidR="00E3365B" w:rsidRDefault="0030429C">
            <w:pPr>
              <w:spacing w:after="60" w:line="384" w:lineRule="auto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334155"/>
                <w:spacing w:val="10"/>
                <w:sz w:val="21"/>
                <w:szCs w:val="21"/>
              </w:rPr>
              <w:lastRenderedPageBreak/>
              <w:t>📝 Review Checklist</w:t>
            </w:r>
          </w:p>
          <w:p w14:paraId="19BA2253" w14:textId="77777777" w:rsidR="00E3365B" w:rsidRDefault="0030429C">
            <w:pPr>
              <w:spacing w:after="120" w:line="384" w:lineRule="auto"/>
            </w:pPr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Before moving on, confirm: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 xml:space="preserve">three phases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>understood</w:t>
            </w:r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 xml:space="preserve">lab setup requirements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>noted</w:t>
            </w:r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 xml:space="preserve">S&amp;S procedures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>reviewed</w:t>
            </w:r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 xml:space="preserve">evidence types + handling rules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>memorized</w:t>
            </w:r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 xml:space="preserve">report writing guidelines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>noted</w:t>
            </w:r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334155"/>
                <w:sz w:val="21"/>
                <w:szCs w:val="21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E293B"/>
                <w:sz w:val="22"/>
                <w:szCs w:val="22"/>
              </w:rPr>
              <w:t>key terms defined</w:t>
            </w:r>
          </w:p>
        </w:tc>
      </w:tr>
    </w:tbl>
    <w:p w14:paraId="2A97BC96" w14:textId="77777777" w:rsidR="00E3365B" w:rsidRDefault="00E3365B">
      <w:pPr>
        <w:spacing w:after="240"/>
      </w:pPr>
    </w:p>
    <w:p w14:paraId="1A2A807D" w14:textId="77777777" w:rsidR="00E3365B" w:rsidRDefault="00E3365B">
      <w:pPr>
        <w:pBdr>
          <w:bottom w:val="single" w:sz="6" w:space="0" w:color="1E293B"/>
        </w:pBdr>
        <w:spacing w:before="240" w:after="240"/>
      </w:pPr>
    </w:p>
    <w:p w14:paraId="6B900583" w14:textId="77777777" w:rsidR="00E3365B" w:rsidRDefault="0030429C">
      <w:pPr>
        <w:spacing w:before="60" w:after="80" w:line="384" w:lineRule="auto"/>
        <w:ind w:left="120"/>
      </w:pPr>
      <w:r>
        <w:rPr>
          <w:rFonts w:ascii="Calibri" w:eastAsia="Calibri" w:hAnsi="Calibri" w:cs="Calibri"/>
          <w:b/>
          <w:bCs/>
          <w:color w:val="FFFFFF"/>
          <w:spacing w:val="20"/>
          <w:sz w:val="18"/>
          <w:szCs w:val="18"/>
          <w:shd w:val="clear" w:color="auto" w:fill="0E7490"/>
        </w:rPr>
        <w:t>UPCOMING MODULES</w:t>
      </w:r>
    </w:p>
    <w:p w14:paraId="0F306515" w14:textId="77777777" w:rsidR="00E3365B" w:rsidRDefault="0030429C">
      <w:pPr>
        <w:pStyle w:val="Heading1"/>
        <w:spacing w:before="480" w:after="120" w:line="288" w:lineRule="auto"/>
      </w:pPr>
      <w:r>
        <w:rPr>
          <w:rFonts w:ascii="Calibri" w:eastAsia="Calibri" w:hAnsi="Calibri" w:cs="Calibri"/>
          <w:color w:val="94A3B8"/>
          <w:sz w:val="52"/>
          <w:szCs w:val="52"/>
        </w:rPr>
        <w:t>Module 3 — Title to be announced</w:t>
      </w:r>
    </w:p>
    <w:p w14:paraId="4EA29F16" w14:textId="77777777" w:rsidR="00E3365B" w:rsidRDefault="00E3365B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E3365B" w14:paraId="4191BC75" w14:textId="77777777">
        <w:tc>
          <w:tcPr>
            <w:tcW w:w="0" w:type="auto"/>
            <w:tcBorders>
              <w:top w:val="nil"/>
              <w:left w:val="single" w:sz="24" w:space="0" w:color="BAE6FD"/>
              <w:bottom w:val="nil"/>
              <w:right w:val="nil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BDDB45" w14:textId="77777777" w:rsidR="00E3365B" w:rsidRDefault="0030429C">
            <w:pPr>
              <w:spacing w:after="120" w:line="408" w:lineRule="auto"/>
            </w:pPr>
            <w:r>
              <w:rPr>
                <w:i/>
                <w:iCs/>
              </w:rPr>
              <w:t>— Module 3 notes will be added here as the semester progresses. —</w:t>
            </w:r>
          </w:p>
        </w:tc>
      </w:tr>
    </w:tbl>
    <w:p w14:paraId="0EF7BEE8" w14:textId="77777777" w:rsidR="00E3365B" w:rsidRDefault="00E3365B">
      <w:pPr>
        <w:spacing w:after="240"/>
      </w:pPr>
    </w:p>
    <w:p w14:paraId="51637B0F" w14:textId="77777777" w:rsidR="00E3365B" w:rsidRDefault="00E3365B">
      <w:pPr>
        <w:pBdr>
          <w:bottom w:val="single" w:sz="6" w:space="0" w:color="0E7490"/>
        </w:pBdr>
        <w:spacing w:before="240" w:after="240"/>
      </w:pPr>
    </w:p>
    <w:p w14:paraId="7074D1CD" w14:textId="77777777" w:rsidR="00E3365B" w:rsidRDefault="0030429C">
      <w:pPr>
        <w:spacing w:after="240" w:line="384" w:lineRule="auto"/>
        <w:jc w:val="center"/>
      </w:pPr>
      <w:r>
        <w:rPr>
          <w:rFonts w:ascii="Calibri" w:eastAsia="Calibri" w:hAnsi="Calibri" w:cs="Calibri"/>
          <w:b/>
          <w:bCs/>
          <w:color w:val="0369A1"/>
          <w:spacing w:val="10"/>
          <w:sz w:val="22"/>
          <w:szCs w:val="22"/>
        </w:rPr>
        <w:t>CCT.121</w:t>
      </w:r>
      <w:r>
        <w:rPr>
          <w:rFonts w:ascii="Calibri" w:eastAsia="Calibri" w:hAnsi="Calibri" w:cs="Calibri"/>
          <w:color w:val="64748B"/>
          <w:spacing w:val="10"/>
          <w:sz w:val="17"/>
          <w:szCs w:val="17"/>
        </w:rPr>
        <w:t xml:space="preserve"> </w:t>
      </w:r>
      <w:proofErr w:type="gramStart"/>
      <w:r>
        <w:rPr>
          <w:rFonts w:ascii="Calibri" w:eastAsia="Calibri" w:hAnsi="Calibri" w:cs="Calibri"/>
          <w:color w:val="64748B"/>
          <w:spacing w:val="10"/>
          <w:sz w:val="17"/>
          <w:szCs w:val="17"/>
        </w:rPr>
        <w:t>Notes  |</w:t>
      </w:r>
      <w:proofErr w:type="gramEnd"/>
      <w:r>
        <w:rPr>
          <w:rFonts w:ascii="Calibri" w:eastAsia="Calibri" w:hAnsi="Calibri" w:cs="Calibri"/>
          <w:color w:val="64748B"/>
          <w:spacing w:val="10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0369A1"/>
          <w:spacing w:val="10"/>
          <w:sz w:val="22"/>
          <w:szCs w:val="22"/>
        </w:rPr>
        <w:t>Dylan</w:t>
      </w:r>
      <w:r>
        <w:rPr>
          <w:rFonts w:ascii="Calibri" w:eastAsia="Calibri" w:hAnsi="Calibri" w:cs="Calibri"/>
          <w:color w:val="64748B"/>
          <w:spacing w:val="10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  <w:spacing w:val="10"/>
          <w:sz w:val="17"/>
          <w:szCs w:val="17"/>
        </w:rPr>
        <w:t xml:space="preserve">  Fall </w:t>
      </w:r>
      <w:proofErr w:type="gramStart"/>
      <w:r>
        <w:rPr>
          <w:rFonts w:ascii="Calibri" w:eastAsia="Calibri" w:hAnsi="Calibri" w:cs="Calibri"/>
          <w:color w:val="64748B"/>
          <w:spacing w:val="10"/>
          <w:sz w:val="17"/>
          <w:szCs w:val="17"/>
        </w:rPr>
        <w:t>2026  |</w:t>
      </w:r>
      <w:proofErr w:type="gramEnd"/>
      <w:r>
        <w:rPr>
          <w:rFonts w:ascii="Calibri" w:eastAsia="Calibri" w:hAnsi="Calibri" w:cs="Calibri"/>
          <w:color w:val="64748B"/>
          <w:spacing w:val="10"/>
          <w:sz w:val="17"/>
          <w:szCs w:val="17"/>
        </w:rPr>
        <w:t xml:space="preserve">  Last Updated: September 17, 2026</w:t>
      </w:r>
    </w:p>
    <w:sectPr w:rsidR="00E3365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61CB0"/>
    <w:multiLevelType w:val="hybridMultilevel"/>
    <w:tmpl w:val="FFFFFFFF"/>
    <w:lvl w:ilvl="0" w:tplc="75442B80">
      <w:start w:val="1"/>
      <w:numFmt w:val="decimal"/>
      <w:lvlText w:val="%1."/>
      <w:lvlJc w:val="left"/>
      <w:pPr>
        <w:ind w:left="720" w:hanging="360"/>
      </w:pPr>
    </w:lvl>
    <w:lvl w:ilvl="1" w:tplc="11C2B28E">
      <w:numFmt w:val="decimal"/>
      <w:lvlText w:val=""/>
      <w:lvlJc w:val="left"/>
    </w:lvl>
    <w:lvl w:ilvl="2" w:tplc="A364D7A2">
      <w:numFmt w:val="decimal"/>
      <w:lvlText w:val=""/>
      <w:lvlJc w:val="left"/>
    </w:lvl>
    <w:lvl w:ilvl="3" w:tplc="FF6EACE8">
      <w:numFmt w:val="decimal"/>
      <w:lvlText w:val=""/>
      <w:lvlJc w:val="left"/>
    </w:lvl>
    <w:lvl w:ilvl="4" w:tplc="D2BAA820">
      <w:numFmt w:val="decimal"/>
      <w:lvlText w:val=""/>
      <w:lvlJc w:val="left"/>
    </w:lvl>
    <w:lvl w:ilvl="5" w:tplc="40D490DC">
      <w:numFmt w:val="decimal"/>
      <w:lvlText w:val=""/>
      <w:lvlJc w:val="left"/>
    </w:lvl>
    <w:lvl w:ilvl="6" w:tplc="C9E4D7A8">
      <w:numFmt w:val="decimal"/>
      <w:lvlText w:val=""/>
      <w:lvlJc w:val="left"/>
    </w:lvl>
    <w:lvl w:ilvl="7" w:tplc="EA9A9786">
      <w:numFmt w:val="decimal"/>
      <w:lvlText w:val=""/>
      <w:lvlJc w:val="left"/>
    </w:lvl>
    <w:lvl w:ilvl="8" w:tplc="94BA286E">
      <w:numFmt w:val="decimal"/>
      <w:lvlText w:val=""/>
      <w:lvlJc w:val="left"/>
    </w:lvl>
  </w:abstractNum>
  <w:abstractNum w:abstractNumId="1" w15:restartNumberingAfterBreak="0">
    <w:nsid w:val="4EA30DE2"/>
    <w:multiLevelType w:val="hybridMultilevel"/>
    <w:tmpl w:val="FFFFFFFF"/>
    <w:lvl w:ilvl="0" w:tplc="7D0245E8">
      <w:start w:val="1"/>
      <w:numFmt w:val="bullet"/>
      <w:lvlText w:val="●"/>
      <w:lvlJc w:val="left"/>
      <w:pPr>
        <w:ind w:left="720" w:hanging="360"/>
      </w:pPr>
    </w:lvl>
    <w:lvl w:ilvl="1" w:tplc="3A82EF90">
      <w:start w:val="1"/>
      <w:numFmt w:val="bullet"/>
      <w:lvlText w:val="○"/>
      <w:lvlJc w:val="left"/>
      <w:pPr>
        <w:ind w:left="1440" w:hanging="360"/>
      </w:pPr>
    </w:lvl>
    <w:lvl w:ilvl="2" w:tplc="26A852E4">
      <w:start w:val="1"/>
      <w:numFmt w:val="bullet"/>
      <w:lvlText w:val="■"/>
      <w:lvlJc w:val="left"/>
      <w:pPr>
        <w:ind w:left="2160" w:hanging="360"/>
      </w:pPr>
    </w:lvl>
    <w:lvl w:ilvl="3" w:tplc="4B0C96F6">
      <w:start w:val="1"/>
      <w:numFmt w:val="bullet"/>
      <w:lvlText w:val="●"/>
      <w:lvlJc w:val="left"/>
      <w:pPr>
        <w:ind w:left="2880" w:hanging="360"/>
      </w:pPr>
    </w:lvl>
    <w:lvl w:ilvl="4" w:tplc="DE0056BA">
      <w:start w:val="1"/>
      <w:numFmt w:val="bullet"/>
      <w:lvlText w:val="○"/>
      <w:lvlJc w:val="left"/>
      <w:pPr>
        <w:ind w:left="3600" w:hanging="360"/>
      </w:pPr>
    </w:lvl>
    <w:lvl w:ilvl="5" w:tplc="83F01536">
      <w:start w:val="1"/>
      <w:numFmt w:val="bullet"/>
      <w:lvlText w:val="■"/>
      <w:lvlJc w:val="left"/>
      <w:pPr>
        <w:ind w:left="4320" w:hanging="360"/>
      </w:pPr>
    </w:lvl>
    <w:lvl w:ilvl="6" w:tplc="2F6A8598">
      <w:start w:val="1"/>
      <w:numFmt w:val="bullet"/>
      <w:lvlText w:val="●"/>
      <w:lvlJc w:val="left"/>
      <w:pPr>
        <w:ind w:left="5040" w:hanging="360"/>
      </w:pPr>
    </w:lvl>
    <w:lvl w:ilvl="7" w:tplc="7DFCBAFC">
      <w:start w:val="1"/>
      <w:numFmt w:val="bullet"/>
      <w:lvlText w:val="●"/>
      <w:lvlJc w:val="left"/>
      <w:pPr>
        <w:ind w:left="5760" w:hanging="360"/>
      </w:pPr>
    </w:lvl>
    <w:lvl w:ilvl="8" w:tplc="DE5C091C">
      <w:start w:val="1"/>
      <w:numFmt w:val="bullet"/>
      <w:lvlText w:val="●"/>
      <w:lvlJc w:val="left"/>
      <w:pPr>
        <w:ind w:left="6480" w:hanging="360"/>
      </w:pPr>
    </w:lvl>
  </w:abstractNum>
  <w:num w:numId="1" w16cid:durableId="7603683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65B"/>
    <w:rsid w:val="002D7FA8"/>
    <w:rsid w:val="0030429C"/>
    <w:rsid w:val="00645FCD"/>
    <w:rsid w:val="0072517A"/>
    <w:rsid w:val="00C83115"/>
    <w:rsid w:val="00E3365B"/>
    <w:rsid w:val="00EE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47F9"/>
  <w15:docId w15:val="{F44165D4-CD12-446A-A97D-3C360D869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19</Pages>
  <Words>3586</Words>
  <Characters>20442</Characters>
  <Application>Microsoft Office Word</Application>
  <DocSecurity>0</DocSecurity>
  <Lines>170</Lines>
  <Paragraphs>47</Paragraphs>
  <ScaleCrop>false</ScaleCrop>
  <Company/>
  <LinksUpToDate>false</LinksUpToDate>
  <CharactersWithSpaces>23981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URuNctnJ34kRGLrfmZnmG</dc:title>
  <dc:subject/>
  <dc:creator>Un-named</dc:creator>
  <cp:keywords/>
  <dc:description>Generated document</dc:description>
  <cp:lastModifiedBy>Dylan McWain</cp:lastModifiedBy>
  <cp:revision>3</cp:revision>
  <dcterms:created xsi:type="dcterms:W3CDTF">2026-09-18T16:28:00Z</dcterms:created>
  <dcterms:modified xsi:type="dcterms:W3CDTF">2026-09-19T22:03:00Z</dcterms:modified>
</cp:coreProperties>
</file>