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2D593F" w14:textId="152FBC64" w:rsidR="004D3F21" w:rsidRPr="004E7D2C" w:rsidRDefault="004D3F21" w:rsidP="38EE3451">
      <w:pPr>
        <w:pStyle w:val="Tre"/>
      </w:pPr>
    </w:p>
    <w:tbl>
      <w:tblPr>
        <w:tblStyle w:val="TableGrid"/>
        <w:tblW w:w="0" w:type="auto"/>
        <w:tblBorders>
          <w:top w:val="single" w:sz="12" w:space="0" w:color="FFFFFF" w:themeColor="background1"/>
          <w:left w:val="single" w:sz="12" w:space="0" w:color="FFFFFF" w:themeColor="background1"/>
          <w:bottom w:val="single" w:sz="12" w:space="0" w:color="FFFFFF" w:themeColor="background1"/>
          <w:right w:val="single" w:sz="12" w:space="0" w:color="FFFFFF" w:themeColor="background1"/>
          <w:insideH w:val="single" w:sz="12" w:space="0" w:color="FFFFFF" w:themeColor="background1"/>
          <w:insideV w:val="single" w:sz="12" w:space="0" w:color="FFFFFF" w:themeColor="background1"/>
        </w:tblBorders>
        <w:tblLayout w:type="fixed"/>
        <w:tblLook w:val="06A0" w:firstRow="1" w:lastRow="0" w:firstColumn="1" w:lastColumn="0" w:noHBand="1" w:noVBand="1"/>
      </w:tblPr>
      <w:tblGrid>
        <w:gridCol w:w="5445"/>
        <w:gridCol w:w="5115"/>
      </w:tblGrid>
      <w:tr w:rsidR="38EE3451" w:rsidRPr="004E7D2C" w14:paraId="4CAFB5E0" w14:textId="77777777" w:rsidTr="518B3644">
        <w:trPr>
          <w:trHeight w:val="300"/>
        </w:trPr>
        <w:tc>
          <w:tcPr>
            <w:tcW w:w="5445" w:type="dxa"/>
            <w:vAlign w:val="center"/>
          </w:tcPr>
          <w:p w14:paraId="3DBBCEDD" w14:textId="62088C94" w:rsidR="0B2454E3" w:rsidRPr="004E7D2C" w:rsidRDefault="0B2454E3" w:rsidP="518B3644">
            <w:pPr>
              <w:pStyle w:val="Tre"/>
              <w:jc w:val="center"/>
            </w:pPr>
            <w:r w:rsidRPr="004E7D2C">
              <w:rPr>
                <w:noProof/>
              </w:rPr>
              <w:drawing>
                <wp:inline distT="0" distB="0" distL="0" distR="0" wp14:anchorId="7F5426D6" wp14:editId="30606731">
                  <wp:extent cx="3328792" cy="1776743"/>
                  <wp:effectExtent l="0" t="0" r="0" b="0"/>
                  <wp:docPr id="1597217101" name="officeArt object" descr="prz_p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fficeArt object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792" cy="1776743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15" w:type="dxa"/>
            <w:vAlign w:val="center"/>
          </w:tcPr>
          <w:p w14:paraId="28E38766" w14:textId="37BC02AE" w:rsidR="0B2454E3" w:rsidRPr="004E7D2C" w:rsidRDefault="0B2454E3" w:rsidP="518B3644">
            <w:pPr>
              <w:pStyle w:val="Tre"/>
              <w:jc w:val="center"/>
            </w:pPr>
            <w:r w:rsidRPr="004E7D2C">
              <w:rPr>
                <w:noProof/>
              </w:rPr>
              <w:drawing>
                <wp:inline distT="0" distB="0" distL="0" distR="0" wp14:anchorId="339F2555" wp14:editId="23A92177">
                  <wp:extent cx="3116869" cy="1258436"/>
                  <wp:effectExtent l="0" t="0" r="0" b="0"/>
                  <wp:docPr id="1034797960" name="officeArt object" descr="weii_pl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officeArt object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6869" cy="1258436"/>
                          </a:xfrm>
                          <a:prstGeom prst="rect">
                            <a:avLst/>
                          </a:prstGeom>
                          <a:ln w="12700" cap="flat">
                            <a:noFill/>
                            <a:miter lim="400000"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1C8F396" w14:textId="70207312" w:rsidR="004D3F21" w:rsidRPr="004E7D2C" w:rsidRDefault="004D3F21" w:rsidP="38EE3451">
      <w:pPr>
        <w:pStyle w:val="Tre"/>
      </w:pPr>
    </w:p>
    <w:p w14:paraId="582C2EE3" w14:textId="77777777" w:rsidR="002C1441" w:rsidRPr="004E7D2C" w:rsidRDefault="002C1441" w:rsidP="002C1441">
      <w:pPr>
        <w:pStyle w:val="Tytu"/>
        <w:jc w:val="center"/>
      </w:pPr>
    </w:p>
    <w:p w14:paraId="05E5075C" w14:textId="77777777" w:rsidR="007E36CF" w:rsidRPr="004E7D2C" w:rsidRDefault="007E36CF" w:rsidP="00DA1856">
      <w:pPr>
        <w:pStyle w:val="Tytu"/>
        <w:jc w:val="center"/>
      </w:pPr>
    </w:p>
    <w:p w14:paraId="53EE804F" w14:textId="77777777" w:rsidR="007E36CF" w:rsidRPr="004E7D2C" w:rsidRDefault="007E36CF" w:rsidP="00DA1856">
      <w:pPr>
        <w:pStyle w:val="Tytu"/>
        <w:jc w:val="center"/>
      </w:pPr>
    </w:p>
    <w:p w14:paraId="24762A63" w14:textId="38891682" w:rsidR="004D3F21" w:rsidRPr="004E7D2C" w:rsidRDefault="00E54595" w:rsidP="00DA1856">
      <w:pPr>
        <w:pStyle w:val="Tytu"/>
        <w:jc w:val="center"/>
        <w:rPr>
          <w:sz w:val="56"/>
          <w:szCs w:val="56"/>
        </w:rPr>
      </w:pPr>
      <w:r w:rsidRPr="004E7D2C">
        <w:rPr>
          <w:sz w:val="56"/>
          <w:szCs w:val="56"/>
        </w:rPr>
        <w:t>Sztuczna Inteligencja</w:t>
      </w:r>
      <w:r w:rsidR="000F4785" w:rsidRPr="004E7D2C">
        <w:rPr>
          <w:sz w:val="56"/>
          <w:szCs w:val="56"/>
        </w:rPr>
        <w:t xml:space="preserve"> </w:t>
      </w:r>
    </w:p>
    <w:p w14:paraId="7F04284F" w14:textId="77777777" w:rsidR="00E54595" w:rsidRPr="004E7D2C" w:rsidRDefault="00E54595" w:rsidP="00E54595">
      <w:pPr>
        <w:pStyle w:val="Tre"/>
        <w:rPr>
          <w:sz w:val="18"/>
          <w:szCs w:val="18"/>
        </w:rPr>
      </w:pPr>
    </w:p>
    <w:p w14:paraId="0D0B940D" w14:textId="77777777" w:rsidR="004D3F21" w:rsidRPr="004E7D2C" w:rsidRDefault="004D3F21">
      <w:pPr>
        <w:pStyle w:val="Tre"/>
        <w:rPr>
          <w:sz w:val="18"/>
          <w:szCs w:val="18"/>
        </w:rPr>
      </w:pPr>
    </w:p>
    <w:p w14:paraId="0E27B00A" w14:textId="06F0FCA7" w:rsidR="004D3F21" w:rsidRPr="004E7D2C" w:rsidRDefault="000F4785">
      <w:pPr>
        <w:pStyle w:val="Tytu"/>
        <w:jc w:val="center"/>
        <w:rPr>
          <w:sz w:val="48"/>
          <w:szCs w:val="48"/>
        </w:rPr>
      </w:pPr>
      <w:r w:rsidRPr="004E7D2C">
        <w:rPr>
          <w:sz w:val="48"/>
          <w:szCs w:val="48"/>
        </w:rPr>
        <w:t>Sieć głęboka</w:t>
      </w:r>
    </w:p>
    <w:p w14:paraId="0DF262F1" w14:textId="77777777" w:rsidR="002C1441" w:rsidRPr="004E7D2C" w:rsidRDefault="002C1441" w:rsidP="002C1441">
      <w:pPr>
        <w:pStyle w:val="Tre"/>
      </w:pPr>
    </w:p>
    <w:p w14:paraId="420DBF76" w14:textId="77777777" w:rsidR="002C1441" w:rsidRPr="004E7D2C" w:rsidRDefault="002C1441" w:rsidP="002C1441">
      <w:pPr>
        <w:pStyle w:val="Tre"/>
      </w:pPr>
    </w:p>
    <w:p w14:paraId="01D4399A" w14:textId="77777777" w:rsidR="002C1441" w:rsidRPr="004E7D2C" w:rsidRDefault="002C1441" w:rsidP="002C1441">
      <w:pPr>
        <w:pStyle w:val="Tre"/>
      </w:pPr>
    </w:p>
    <w:p w14:paraId="101DB2B3" w14:textId="77777777" w:rsidR="002C1441" w:rsidRPr="004E7D2C" w:rsidRDefault="002C1441" w:rsidP="002C1441">
      <w:pPr>
        <w:pStyle w:val="Tre"/>
      </w:pPr>
    </w:p>
    <w:p w14:paraId="1BD9405E" w14:textId="77777777" w:rsidR="00DA1856" w:rsidRPr="004E7D2C" w:rsidRDefault="00DA1856" w:rsidP="002C1441">
      <w:pPr>
        <w:pStyle w:val="Tre"/>
      </w:pPr>
    </w:p>
    <w:p w14:paraId="3B0F1944" w14:textId="77777777" w:rsidR="007E36CF" w:rsidRPr="004E7D2C" w:rsidRDefault="007E36CF" w:rsidP="002C1441">
      <w:pPr>
        <w:pStyle w:val="Tre"/>
      </w:pPr>
    </w:p>
    <w:p w14:paraId="741AACCF" w14:textId="77777777" w:rsidR="002C1441" w:rsidRPr="004E7D2C" w:rsidRDefault="002C1441" w:rsidP="007E36CF">
      <w:pPr>
        <w:pStyle w:val="Tre"/>
        <w:rPr>
          <w:sz w:val="28"/>
          <w:szCs w:val="28"/>
        </w:rPr>
      </w:pPr>
    </w:p>
    <w:p w14:paraId="4B22AB63" w14:textId="36B2C2E9" w:rsidR="004D3F21" w:rsidRPr="004E7D2C" w:rsidRDefault="007E36CF" w:rsidP="007E36CF">
      <w:pPr>
        <w:pStyle w:val="Nagwek"/>
        <w:jc w:val="center"/>
        <w:rPr>
          <w:b w:val="0"/>
          <w:bCs w:val="0"/>
          <w:sz w:val="28"/>
          <w:szCs w:val="28"/>
        </w:rPr>
      </w:pPr>
      <w:bookmarkStart w:id="0" w:name="_Toc216199464"/>
      <w:bookmarkStart w:id="1" w:name="_Toc216212250"/>
      <w:bookmarkStart w:id="2" w:name="_Toc216212403"/>
      <w:r w:rsidRPr="004E7D2C">
        <w:rPr>
          <w:b w:val="0"/>
          <w:bCs w:val="0"/>
          <w:sz w:val="28"/>
          <w:szCs w:val="28"/>
        </w:rPr>
        <w:t>Michał Cwynar - 179465 - L09</w:t>
      </w:r>
      <w:bookmarkEnd w:id="0"/>
      <w:bookmarkEnd w:id="1"/>
      <w:bookmarkEnd w:id="2"/>
    </w:p>
    <w:p w14:paraId="4101652C" w14:textId="77777777" w:rsidR="004D3F21" w:rsidRPr="004E7D2C" w:rsidRDefault="004D3F21" w:rsidP="002C1441">
      <w:pPr>
        <w:pStyle w:val="Tre"/>
        <w:jc w:val="both"/>
        <w:rPr>
          <w:sz w:val="28"/>
          <w:szCs w:val="28"/>
        </w:rPr>
      </w:pPr>
    </w:p>
    <w:p w14:paraId="74B0EC71" w14:textId="5537A131" w:rsidR="007E36CF" w:rsidRPr="004E7D2C" w:rsidRDefault="007E36CF" w:rsidP="007E36CF">
      <w:pPr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4C32F3F2" w14:textId="73AE4D68" w:rsidR="007E36CF" w:rsidRPr="004E7D2C" w:rsidRDefault="007E36CF" w:rsidP="007E36CF">
      <w:pPr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 w:rsidRPr="004E7D2C">
        <w:rPr>
          <w:rFonts w:ascii="Helvetica Neue" w:hAnsi="Helvetica Neue" w:cs="Arial Unicode MS"/>
          <w:color w:val="000000"/>
          <w:sz w:val="22"/>
          <w:szCs w:val="22"/>
          <w:lang w:eastAsia="pl-PL"/>
          <w14:textOutline w14:w="0" w14:cap="flat" w14:cmpd="sng" w14:algn="ctr">
            <w14:noFill/>
            <w14:prstDash w14:val="solid"/>
            <w14:bevel/>
          </w14:textOutline>
        </w:rPr>
        <w:br w:type="page"/>
      </w:r>
    </w:p>
    <w:p w14:paraId="1A8B5252" w14:textId="7B720B6C" w:rsidR="00DA1856" w:rsidRPr="004E7D2C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 w:rsidRPr="004E7D2C"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  <w:lastRenderedPageBreak/>
        <w:t>Spis treści</w:t>
      </w:r>
    </w:p>
    <w:sdt>
      <w:sdtPr>
        <w:id w:val="-176892005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451903" w14:textId="0B4B2220" w:rsidR="00F42C8F" w:rsidRPr="004E7D2C" w:rsidRDefault="007E36C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r w:rsidRPr="004E7D2C">
            <w:rPr>
              <w:rFonts w:asciiTheme="majorHAnsi" w:eastAsiaTheme="majorEastAsia" w:hAnsiTheme="majorHAnsi" w:cstheme="majorBidi"/>
              <w:color w:val="0079BF" w:themeColor="accent1" w:themeShade="BF"/>
              <w:sz w:val="32"/>
              <w:szCs w:val="32"/>
              <w:bdr w:val="none" w:sz="0" w:space="0" w:color="auto"/>
            </w:rPr>
            <w:fldChar w:fldCharType="begin"/>
          </w:r>
          <w:r w:rsidRPr="004E7D2C">
            <w:instrText xml:space="preserve"> TOC \o "1-3" \h \z \u </w:instrText>
          </w:r>
          <w:r w:rsidRPr="004E7D2C">
            <w:rPr>
              <w:rFonts w:asciiTheme="majorHAnsi" w:eastAsiaTheme="majorEastAsia" w:hAnsiTheme="majorHAnsi" w:cstheme="majorBidi"/>
              <w:color w:val="0079BF" w:themeColor="accent1" w:themeShade="BF"/>
              <w:sz w:val="32"/>
              <w:szCs w:val="32"/>
              <w:bdr w:val="none" w:sz="0" w:space="0" w:color="auto"/>
            </w:rPr>
            <w:fldChar w:fldCharType="separate"/>
          </w:r>
          <w:hyperlink w:anchor="_Toc216212404" w:history="1">
            <w:r w:rsidR="00F42C8F" w:rsidRPr="004E7D2C">
              <w:rPr>
                <w:rStyle w:val="Hyperlink"/>
              </w:rPr>
              <w:t>1. Kombinacje bez powtórzeń k-elementowe rekurencyjne (wersja 3)</w:t>
            </w:r>
            <w:r w:rsidR="00F42C8F" w:rsidRPr="004E7D2C">
              <w:rPr>
                <w:webHidden/>
              </w:rPr>
              <w:tab/>
            </w:r>
            <w:r w:rsidR="00F42C8F" w:rsidRPr="004E7D2C">
              <w:rPr>
                <w:webHidden/>
              </w:rPr>
              <w:fldChar w:fldCharType="begin"/>
            </w:r>
            <w:r w:rsidR="00F42C8F" w:rsidRPr="004E7D2C">
              <w:rPr>
                <w:webHidden/>
              </w:rPr>
              <w:instrText xml:space="preserve"> PAGEREF _Toc216212404 \h </w:instrText>
            </w:r>
            <w:r w:rsidR="00F42C8F" w:rsidRPr="004E7D2C">
              <w:rPr>
                <w:webHidden/>
              </w:rPr>
            </w:r>
            <w:r w:rsidR="00F42C8F"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3</w:t>
            </w:r>
            <w:r w:rsidR="00F42C8F" w:rsidRPr="004E7D2C">
              <w:rPr>
                <w:webHidden/>
              </w:rPr>
              <w:fldChar w:fldCharType="end"/>
            </w:r>
          </w:hyperlink>
        </w:p>
        <w:p w14:paraId="7DDD3EC9" w14:textId="4B98AF76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5" w:history="1">
            <w:r w:rsidRPr="004E7D2C">
              <w:rPr>
                <w:rStyle w:val="Hyperlink"/>
              </w:rPr>
              <w:t>Kod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_Toc216212405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3</w:t>
            </w:r>
            <w:r w:rsidRPr="004E7D2C">
              <w:rPr>
                <w:webHidden/>
              </w:rPr>
              <w:fldChar w:fldCharType="end"/>
            </w:r>
          </w:hyperlink>
        </w:p>
        <w:p w14:paraId="2BBE95CA" w14:textId="23B192D9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6" w:history="1">
            <w:r w:rsidRPr="004E7D2C">
              <w:rPr>
                <w:rStyle w:val="Hyperlink"/>
              </w:rPr>
              <w:t>Opis działania algorytmu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_Toc216212406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4</w:t>
            </w:r>
            <w:r w:rsidRPr="004E7D2C">
              <w:rPr>
                <w:webHidden/>
              </w:rPr>
              <w:fldChar w:fldCharType="end"/>
            </w:r>
          </w:hyperlink>
        </w:p>
        <w:p w14:paraId="49852818" w14:textId="421F136D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7" w:history="1">
            <w:r w:rsidRPr="004E7D2C">
              <w:rPr>
                <w:rStyle w:val="Hyperlink"/>
              </w:rPr>
              <w:t>Zasada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_Toc216212407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4</w:t>
            </w:r>
            <w:r w:rsidRPr="004E7D2C">
              <w:rPr>
                <w:webHidden/>
              </w:rPr>
              <w:fldChar w:fldCharType="end"/>
            </w:r>
          </w:hyperlink>
        </w:p>
        <w:p w14:paraId="14600606" w14:textId="5218D89E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8" w:history="1">
            <w:r w:rsidRPr="004E7D2C">
              <w:rPr>
                <w:rStyle w:val="Hyperlink"/>
              </w:rPr>
              <w:t>Analiza kodu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_Toc216212408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4</w:t>
            </w:r>
            <w:r w:rsidRPr="004E7D2C">
              <w:rPr>
                <w:webHidden/>
              </w:rPr>
              <w:fldChar w:fldCharType="end"/>
            </w:r>
          </w:hyperlink>
        </w:p>
        <w:p w14:paraId="42D3DDD6" w14:textId="59898B62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09" w:history="1">
            <w:r w:rsidRPr="004E7D2C">
              <w:rPr>
                <w:rStyle w:val="Hyperlink"/>
              </w:rPr>
              <w:t>Złożoność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_Toc216212409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4</w:t>
            </w:r>
            <w:r w:rsidRPr="004E7D2C">
              <w:rPr>
                <w:webHidden/>
              </w:rPr>
              <w:fldChar w:fldCharType="end"/>
            </w:r>
          </w:hyperlink>
        </w:p>
        <w:p w14:paraId="54F2236C" w14:textId="170374E2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0" w:history="1">
            <w:r w:rsidRPr="004E7D2C">
              <w:rPr>
                <w:rStyle w:val="Hyperlink"/>
              </w:rPr>
              <w:t>Ręczne przedstawienie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_Toc216212410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4</w:t>
            </w:r>
            <w:r w:rsidRPr="004E7D2C">
              <w:rPr>
                <w:webHidden/>
              </w:rPr>
              <w:fldChar w:fldCharType="end"/>
            </w:r>
          </w:hyperlink>
        </w:p>
        <w:p w14:paraId="6845C76A" w14:textId="0F6C3AC0" w:rsidR="00F42C8F" w:rsidRPr="004E7D2C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1" w:history="1">
            <w:r w:rsidRPr="004E7D2C">
              <w:rPr>
                <w:rStyle w:val="Hyperlink"/>
              </w:rPr>
              <w:t>2. Kombinacje bez powtórzeń Gray (wersja 3)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_Toc216212411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6</w:t>
            </w:r>
            <w:r w:rsidRPr="004E7D2C">
              <w:rPr>
                <w:webHidden/>
              </w:rPr>
              <w:fldChar w:fldCharType="end"/>
            </w:r>
          </w:hyperlink>
        </w:p>
        <w:p w14:paraId="58001DE6" w14:textId="6B6EF027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2" w:history="1">
            <w:r w:rsidRPr="004E7D2C">
              <w:rPr>
                <w:rStyle w:val="Hyperlink"/>
              </w:rPr>
              <w:t>Kod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_Toc216212412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6</w:t>
            </w:r>
            <w:r w:rsidRPr="004E7D2C">
              <w:rPr>
                <w:webHidden/>
              </w:rPr>
              <w:fldChar w:fldCharType="end"/>
            </w:r>
          </w:hyperlink>
        </w:p>
        <w:p w14:paraId="1787EC14" w14:textId="0ABBDF63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3" w:history="1">
            <w:r w:rsidRPr="004E7D2C">
              <w:rPr>
                <w:rStyle w:val="Hyperlink"/>
              </w:rPr>
              <w:t>Opis działania algorytmu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_Toc216212413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7</w:t>
            </w:r>
            <w:r w:rsidRPr="004E7D2C">
              <w:rPr>
                <w:webHidden/>
              </w:rPr>
              <w:fldChar w:fldCharType="end"/>
            </w:r>
          </w:hyperlink>
        </w:p>
        <w:p w14:paraId="547887D7" w14:textId="0E7F66DF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4" w:history="1">
            <w:r w:rsidRPr="004E7D2C">
              <w:rPr>
                <w:rStyle w:val="Hyperlink"/>
              </w:rPr>
              <w:t>Zasada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_Toc216212414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7</w:t>
            </w:r>
            <w:r w:rsidRPr="004E7D2C">
              <w:rPr>
                <w:webHidden/>
              </w:rPr>
              <w:fldChar w:fldCharType="end"/>
            </w:r>
          </w:hyperlink>
        </w:p>
        <w:p w14:paraId="2F00355F" w14:textId="5CB53413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5" w:history="1">
            <w:r w:rsidRPr="004E7D2C">
              <w:rPr>
                <w:rStyle w:val="Hyperlink"/>
              </w:rPr>
              <w:t>Analiza kodu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_Toc216212415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8</w:t>
            </w:r>
            <w:r w:rsidRPr="004E7D2C">
              <w:rPr>
                <w:webHidden/>
              </w:rPr>
              <w:fldChar w:fldCharType="end"/>
            </w:r>
          </w:hyperlink>
        </w:p>
        <w:p w14:paraId="360C576D" w14:textId="22A220CF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6" w:history="1">
            <w:r w:rsidRPr="004E7D2C">
              <w:rPr>
                <w:rStyle w:val="Hyperlink"/>
              </w:rPr>
              <w:t>Złożoność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_Toc216212416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8</w:t>
            </w:r>
            <w:r w:rsidRPr="004E7D2C">
              <w:rPr>
                <w:webHidden/>
              </w:rPr>
              <w:fldChar w:fldCharType="end"/>
            </w:r>
          </w:hyperlink>
        </w:p>
        <w:p w14:paraId="1282C93E" w14:textId="3CC4B9AE" w:rsidR="00F42C8F" w:rsidRPr="004E7D2C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7" w:history="1">
            <w:r w:rsidRPr="004E7D2C">
              <w:rPr>
                <w:rStyle w:val="Hyperlink"/>
              </w:rPr>
              <w:t>3. Kombinacje z powtórzeniami z ograniczeniami wszystkie iteracyjnie (wersja 3)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_Toc216212417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9</w:t>
            </w:r>
            <w:r w:rsidRPr="004E7D2C">
              <w:rPr>
                <w:webHidden/>
              </w:rPr>
              <w:fldChar w:fldCharType="end"/>
            </w:r>
          </w:hyperlink>
        </w:p>
        <w:p w14:paraId="3E6EFE6E" w14:textId="399BFC32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8" w:history="1">
            <w:r w:rsidRPr="004E7D2C">
              <w:rPr>
                <w:rStyle w:val="Hyperlink"/>
              </w:rPr>
              <w:t>Kod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_Toc216212418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9</w:t>
            </w:r>
            <w:r w:rsidRPr="004E7D2C">
              <w:rPr>
                <w:webHidden/>
              </w:rPr>
              <w:fldChar w:fldCharType="end"/>
            </w:r>
          </w:hyperlink>
        </w:p>
        <w:p w14:paraId="43239090" w14:textId="5FF4614D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19" w:history="1">
            <w:r w:rsidRPr="004E7D2C">
              <w:rPr>
                <w:rStyle w:val="Hyperlink"/>
              </w:rPr>
              <w:t>Opis działania algorytmu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_Toc216212419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11</w:t>
            </w:r>
            <w:r w:rsidRPr="004E7D2C">
              <w:rPr>
                <w:webHidden/>
              </w:rPr>
              <w:fldChar w:fldCharType="end"/>
            </w:r>
          </w:hyperlink>
        </w:p>
        <w:p w14:paraId="466DAC8B" w14:textId="33A17873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0" w:history="1">
            <w:r w:rsidRPr="004E7D2C">
              <w:rPr>
                <w:rStyle w:val="Hyperlink"/>
              </w:rPr>
              <w:t>Zasada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_Toc216212420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11</w:t>
            </w:r>
            <w:r w:rsidRPr="004E7D2C">
              <w:rPr>
                <w:webHidden/>
              </w:rPr>
              <w:fldChar w:fldCharType="end"/>
            </w:r>
          </w:hyperlink>
        </w:p>
        <w:p w14:paraId="78812E3A" w14:textId="33A3772B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1" w:history="1">
            <w:r w:rsidRPr="004E7D2C">
              <w:rPr>
                <w:rStyle w:val="Hyperlink"/>
              </w:rPr>
              <w:t>Analiza kodu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_Toc216212421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12</w:t>
            </w:r>
            <w:r w:rsidRPr="004E7D2C">
              <w:rPr>
                <w:webHidden/>
              </w:rPr>
              <w:fldChar w:fldCharType="end"/>
            </w:r>
          </w:hyperlink>
        </w:p>
        <w:p w14:paraId="0ED77031" w14:textId="4D12411B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2" w:history="1">
            <w:r w:rsidRPr="004E7D2C">
              <w:rPr>
                <w:rStyle w:val="Hyperlink"/>
              </w:rPr>
              <w:t>Złożoność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_Toc216212422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12</w:t>
            </w:r>
            <w:r w:rsidRPr="004E7D2C">
              <w:rPr>
                <w:webHidden/>
              </w:rPr>
              <w:fldChar w:fldCharType="end"/>
            </w:r>
          </w:hyperlink>
        </w:p>
        <w:p w14:paraId="79F7CADC" w14:textId="6E8A8C9F" w:rsidR="00F42C8F" w:rsidRPr="004E7D2C" w:rsidRDefault="00F42C8F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3" w:history="1">
            <w:r w:rsidRPr="004E7D2C">
              <w:rPr>
                <w:rStyle w:val="Hyperlink"/>
              </w:rPr>
              <w:t>4. Kombinacje z powtórzeniami bez ograniczeń k-elementowe yield (wersja 4)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_Toc216212423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13</w:t>
            </w:r>
            <w:r w:rsidRPr="004E7D2C">
              <w:rPr>
                <w:webHidden/>
              </w:rPr>
              <w:fldChar w:fldCharType="end"/>
            </w:r>
          </w:hyperlink>
        </w:p>
        <w:p w14:paraId="322E4991" w14:textId="744DE7D3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4" w:history="1">
            <w:r w:rsidRPr="004E7D2C">
              <w:rPr>
                <w:rStyle w:val="Hyperlink"/>
              </w:rPr>
              <w:t>Kod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_Toc216212424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13</w:t>
            </w:r>
            <w:r w:rsidRPr="004E7D2C">
              <w:rPr>
                <w:webHidden/>
              </w:rPr>
              <w:fldChar w:fldCharType="end"/>
            </w:r>
          </w:hyperlink>
        </w:p>
        <w:p w14:paraId="34C90C07" w14:textId="4813824D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5" w:history="1">
            <w:r w:rsidRPr="004E7D2C">
              <w:rPr>
                <w:rStyle w:val="Hyperlink"/>
              </w:rPr>
              <w:t>Opis działania algorytmu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_Toc216212425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14</w:t>
            </w:r>
            <w:r w:rsidRPr="004E7D2C">
              <w:rPr>
                <w:webHidden/>
              </w:rPr>
              <w:fldChar w:fldCharType="end"/>
            </w:r>
          </w:hyperlink>
        </w:p>
        <w:p w14:paraId="1FDF45E8" w14:textId="0FC57210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6" w:history="1">
            <w:r w:rsidRPr="004E7D2C">
              <w:rPr>
                <w:rStyle w:val="Hyperlink"/>
              </w:rPr>
              <w:t>Zasada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_Toc216212426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14</w:t>
            </w:r>
            <w:r w:rsidRPr="004E7D2C">
              <w:rPr>
                <w:webHidden/>
              </w:rPr>
              <w:fldChar w:fldCharType="end"/>
            </w:r>
          </w:hyperlink>
        </w:p>
        <w:p w14:paraId="53899532" w14:textId="63CDB04B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7" w:history="1">
            <w:r w:rsidRPr="004E7D2C">
              <w:rPr>
                <w:rStyle w:val="Hyperlink"/>
              </w:rPr>
              <w:t>Analiza kodu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_Toc216212427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14</w:t>
            </w:r>
            <w:r w:rsidRPr="004E7D2C">
              <w:rPr>
                <w:webHidden/>
              </w:rPr>
              <w:fldChar w:fldCharType="end"/>
            </w:r>
          </w:hyperlink>
        </w:p>
        <w:p w14:paraId="602D76AE" w14:textId="0F7593FA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8" w:history="1">
            <w:r w:rsidRPr="004E7D2C">
              <w:rPr>
                <w:rStyle w:val="Hyperlink"/>
              </w:rPr>
              <w:t>Złożoność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_Toc216212428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14</w:t>
            </w:r>
            <w:r w:rsidRPr="004E7D2C">
              <w:rPr>
                <w:webHidden/>
              </w:rPr>
              <w:fldChar w:fldCharType="end"/>
            </w:r>
          </w:hyperlink>
        </w:p>
        <w:p w14:paraId="4B2ED10B" w14:textId="0B3FAF7A" w:rsidR="00F42C8F" w:rsidRPr="004E7D2C" w:rsidRDefault="00F42C8F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kern w:val="2"/>
              <w:bdr w:val="none" w:sz="0" w:space="0" w:color="auto"/>
              <w:lang w:eastAsia="pl-PL"/>
              <w14:ligatures w14:val="standardContextual"/>
            </w:rPr>
          </w:pPr>
          <w:hyperlink w:anchor="_Toc216212429" w:history="1">
            <w:r w:rsidRPr="004E7D2C">
              <w:rPr>
                <w:rStyle w:val="Hyperlink"/>
              </w:rPr>
              <w:t>Ręczne przedstawienie działania</w:t>
            </w:r>
            <w:r w:rsidRPr="004E7D2C">
              <w:rPr>
                <w:webHidden/>
              </w:rPr>
              <w:tab/>
            </w:r>
            <w:r w:rsidRPr="004E7D2C">
              <w:rPr>
                <w:webHidden/>
              </w:rPr>
              <w:fldChar w:fldCharType="begin"/>
            </w:r>
            <w:r w:rsidRPr="004E7D2C">
              <w:rPr>
                <w:webHidden/>
              </w:rPr>
              <w:instrText xml:space="preserve"> PAGEREF _Toc216212429 \h </w:instrText>
            </w:r>
            <w:r w:rsidRPr="004E7D2C">
              <w:rPr>
                <w:webHidden/>
              </w:rPr>
            </w:r>
            <w:r w:rsidRPr="004E7D2C">
              <w:rPr>
                <w:webHidden/>
              </w:rPr>
              <w:fldChar w:fldCharType="separate"/>
            </w:r>
            <w:r w:rsidR="009E7187" w:rsidRPr="004E7D2C">
              <w:rPr>
                <w:webHidden/>
              </w:rPr>
              <w:t>15</w:t>
            </w:r>
            <w:r w:rsidRPr="004E7D2C">
              <w:rPr>
                <w:webHidden/>
              </w:rPr>
              <w:fldChar w:fldCharType="end"/>
            </w:r>
          </w:hyperlink>
        </w:p>
        <w:p w14:paraId="31DC9499" w14:textId="5E16790C" w:rsidR="007E36CF" w:rsidRPr="004E7D2C" w:rsidRDefault="007E36CF">
          <w:r w:rsidRPr="004E7D2C">
            <w:rPr>
              <w:b/>
              <w:bCs/>
            </w:rPr>
            <w:fldChar w:fldCharType="end"/>
          </w:r>
        </w:p>
      </w:sdtContent>
    </w:sdt>
    <w:p w14:paraId="4451F741" w14:textId="187335B1" w:rsidR="007E36CF" w:rsidRPr="004E7D2C" w:rsidRDefault="007E36CF" w:rsidP="007E36CF">
      <w:pPr>
        <w:pStyle w:val="TOCHeading"/>
        <w:rPr>
          <w:rFonts w:ascii="Helvetica Neue" w:hAnsi="Helvetica Neue" w:cs="Arial Unicode MS"/>
          <w:color w:val="000000"/>
          <w:sz w:val="40"/>
          <w:szCs w:val="40"/>
          <w:lang w:val="pl-PL"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5FD48F3B" w14:textId="24176CB1" w:rsidR="007E36CF" w:rsidRPr="004E7D2C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</w:p>
    <w:p w14:paraId="31B198FE" w14:textId="77777777" w:rsidR="007E36CF" w:rsidRPr="004E7D2C" w:rsidRDefault="007E36CF" w:rsidP="007E36CF">
      <w:pPr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</w:pPr>
      <w:r w:rsidRPr="004E7D2C">
        <w:rPr>
          <w:rFonts w:ascii="Helvetica Neue" w:hAnsi="Helvetica Neue" w:cs="Arial Unicode MS"/>
          <w:color w:val="000000"/>
          <w:sz w:val="40"/>
          <w:szCs w:val="40"/>
          <w:lang w:eastAsia="pl-PL"/>
          <w14:textOutline w14:w="0" w14:cap="flat" w14:cmpd="sng" w14:algn="ctr">
            <w14:noFill/>
            <w14:prstDash w14:val="solid"/>
            <w14:bevel/>
          </w14:textOutline>
        </w:rPr>
        <w:br w:type="page"/>
      </w:r>
    </w:p>
    <w:p w14:paraId="63B35579" w14:textId="7D04A2CE" w:rsidR="00E54595" w:rsidRPr="004E7D2C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 w:rsidRPr="004E7D2C">
        <w:rPr>
          <w:color w:val="auto"/>
          <w:sz w:val="44"/>
          <w:szCs w:val="44"/>
        </w:rPr>
        <w:lastRenderedPageBreak/>
        <w:t>Opis teoretyczny</w:t>
      </w:r>
    </w:p>
    <w:p w14:paraId="12BC0F85" w14:textId="77777777" w:rsidR="00600F76" w:rsidRPr="004E7D2C" w:rsidRDefault="00600F76" w:rsidP="00600F76"/>
    <w:p w14:paraId="415E8B59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6"/>
          <w:szCs w:val="36"/>
        </w:rPr>
      </w:pPr>
      <w:r w:rsidRPr="000F4785">
        <w:rPr>
          <w:rFonts w:asciiTheme="majorHAnsi" w:eastAsiaTheme="majorEastAsia" w:hAnsiTheme="majorHAnsi" w:cstheme="majorBidi"/>
          <w:b/>
          <w:bCs/>
          <w:sz w:val="36"/>
          <w:szCs w:val="36"/>
        </w:rPr>
        <w:t>1. Uczenie głębokie – definicja, geneza i znaczenie</w:t>
      </w:r>
    </w:p>
    <w:p w14:paraId="6314B2C4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Uczenie głębokie (deep learning) jest poddziedziną uczenia maszynowego, w której modele reprezentowane są przez wielowarstwowe sztuczne sieci neuronowe. W odróżnieniu od klasycznych algorytmów uczenia maszynowego, które wymagają ręcznego projektowania cech (feature engineering), sieci głębokie automatycznie uczą się hierarchicznych, nieliniowych reprezentacji danych bezpośrednio z surowych danych wejściowych (Goodfellow et al., 2016, rozdz. 1 i 6).</w:t>
      </w:r>
    </w:p>
    <w:p w14:paraId="2C1AF673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Termin „głębokie” odnosi się do liczby warstw ukrytych – im więcej warstw, tym sieć jest w stanie modelować coraz bardziej złożone, abstrakcyjne zależności. Pierwsze warstwy wykrywają proste cechy (np. krawędzie, tekstury), kolejne łączą je w bardziej złożone koncepcje, a ostatnie warstwy realizują zadanie decyzyjne (klasyfikacja, regresja, generowanie).</w:t>
      </w:r>
    </w:p>
    <w:p w14:paraId="216D6D2D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Historia uczenia głębokiego sięga lat 40. XX wieku. W 1943 r. Warren McCulloch i Walter Pitts zaproponowali pierwszy model sztucznego neuronu. W 1958 r. Frank Rosenblatt skonstruował perceptron – prosty model klasyfikacji liniowej. Jednak perceptron nie radził sobie z problemami nieliniowymi (np. XOR).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Kluczowym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momentem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był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rok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1986,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kiedy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David Rumelhart, Geoffrey Hinton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i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Ronald Williams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opublikowali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</w:t>
      </w:r>
      <w:proofErr w:type="spellStart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>artykuł</w:t>
      </w:r>
      <w:proofErr w:type="spellEnd"/>
      <w:r w:rsidRPr="00E05A83">
        <w:rPr>
          <w:rFonts w:asciiTheme="majorHAnsi" w:eastAsiaTheme="majorEastAsia" w:hAnsiTheme="majorHAnsi" w:cstheme="majorBidi"/>
          <w:sz w:val="26"/>
          <w:szCs w:val="22"/>
          <w:lang w:val="en-US"/>
        </w:rPr>
        <w:t xml:space="preserve"> „Learning representations by back-propagating errors” (Rumelhart et al., 1986). 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>Przedstawili w nim efektywny algorytm propagacji wstecznej błędu (backpropagation), który umożliwił trenowanie wielowarstwowych sieci.</w:t>
      </w:r>
    </w:p>
    <w:p w14:paraId="7E021130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Przez kolejne dwie dekady rozwój był ograniczony ze względu na brak mocy obliczeniowej i dużych zbiorów danych. Prawdziwy przełom nastąpił po 2010 roku dzięki trzem czynnikom: dostępności ogromnych zbiorów danych, rozwojowi procesorów graficznych (GPU) oraz nowym funkcjom aktywacji (m.in. ReLU). Kamieniem milowym była sieć AlexNet (Krizhevsky et al., 2012), która w 2012 roku zdominowała konkurs ImageNet, obniżając błąd klasyfikacji o ponad 10 punktów procentowych względem metod klasycznych.</w:t>
      </w:r>
    </w:p>
    <w:p w14:paraId="305A6755" w14:textId="77777777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Współczesne zastosowania uczenia głębokiego są niezwykle szerokie i obejmują m.in. przetwarzanie obrazów i wideo, rozpoznawanie mowy, tłumaczenie maszynowe, analizę tekstu, medycynę (diagnozowanie na podstawie obrazowania), przemysł (wykrywanie wad produkcyjnych), autonomiczne pojazdy oraz systemy rekomendacyjne. Uczenie głębokie stało się jedną z najbardziej wpływowych technologii sztucznej inteligencji XXI wieku (Goodfellow et al., 2016, rozdz. 1).</w:t>
      </w:r>
    </w:p>
    <w:p w14:paraId="5313CFA7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173AFC53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2. Matematyczne podstawy uczenia sieci głębokich</w:t>
      </w:r>
    </w:p>
    <w:p w14:paraId="4CEECAD4" w14:textId="7D440928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Proces uczenia sieci głębokiej polega na automatycznym znajdowaniu takich wartości parametrów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θ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(wszystkich wag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W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l</m:t>
                </m:r>
              </m:e>
            </m:d>
          </m:sup>
        </m:sSup>
        <m:r>
          <w:rPr>
            <w:rFonts w:ascii="Cambria Math" w:eastAsiaTheme="majorEastAsia" w:hAnsi="Cambria Math" w:cstheme="majorBidi"/>
            <w:sz w:val="22"/>
            <w:szCs w:val="22"/>
          </w:rPr>
          <m:t xml:space="preserve">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i biasów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b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l</m:t>
                </m:r>
              </m:e>
            </m:d>
          </m:sup>
        </m:sSup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), aby model jak najlepiej odwzorowywał zależności między danymi wejściowymi </w:t>
      </w:r>
      <m:oMath>
        <m:r>
          <m:rPr>
            <m:sty m:val="b"/>
          </m:rPr>
          <w:rPr>
            <w:rFonts w:ascii="Cambria Math" w:eastAsiaTheme="majorEastAsia" w:hAnsi="Cambria Math" w:cstheme="majorBidi"/>
            <w:sz w:val="22"/>
            <w:szCs w:val="22"/>
          </w:rPr>
          <m:t xml:space="preserve">x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a oczekiwanymi wyjściami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y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.</w:t>
      </w:r>
    </w:p>
    <w:p w14:paraId="7FE7F636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Formalnie problem uczenia definiuje się jako zadanie optymalizacji:</w:t>
      </w:r>
    </w:p>
    <w:p w14:paraId="458E903E" w14:textId="035DBF62" w:rsidR="009C5EC6" w:rsidRPr="009C5EC6" w:rsidRDefault="00793EAC" w:rsidP="000F4785">
      <w:pPr>
        <w:rPr>
          <w:rFonts w:asciiTheme="majorHAnsi" w:eastAsiaTheme="majorEastAsia" w:hAnsiTheme="majorHAnsi" w:cstheme="majorBidi"/>
          <w:sz w:val="26"/>
          <w:szCs w:val="22"/>
          <w:lang w:val="en-US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e>
            <m:sup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*</m:t>
              </m:r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ajorEastAsia" w:hAnsi="Cambria Math" w:cstheme="majorBidi"/>
              <w:sz w:val="22"/>
              <w:szCs w:val="22"/>
              <w:lang w:val="en-US"/>
            </w:rPr>
            <m:t>arg</m:t>
          </m:r>
          <m:r>
            <w:rPr>
              <w:rFonts w:ascii="Cambria Math" w:eastAsiaTheme="majorEastAsia" w:hAnsi="Cambria Math" w:cstheme="majorBidi"/>
              <w:sz w:val="22"/>
              <w:szCs w:val="22"/>
              <w:lang w:val="en-US"/>
            </w:rPr>
            <m:t>⁡</m:t>
          </m:r>
          <m:limLow>
            <m:limLow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min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⁡</m:t>
              </m:r>
            </m:e>
            <m:lim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lim>
          </m:limLow>
          <m:r>
            <m:rPr>
              <m:nor/>
            </m:rPr>
            <w:rPr>
              <w:rFonts w:asciiTheme="majorHAnsi" w:eastAsiaTheme="majorEastAsia" w:hAnsiTheme="majorHAnsi" w:cstheme="majorBidi"/>
              <w:sz w:val="26"/>
              <w:szCs w:val="22"/>
              <w:lang w:val="en-US"/>
            </w:rPr>
            <m:t xml:space="preserve"> 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E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(</m:t>
              </m:r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x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,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y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)∼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p</m:t>
                  </m:r>
                </m:e>
                <m:sub>
                  <m:r>
                    <m:rPr>
                      <m:nor/>
                    </m:rPr>
                    <w:rPr>
                      <w:rFonts w:asciiTheme="majorHAnsi" w:eastAsiaTheme="majorEastAsia" w:hAnsiTheme="majorHAnsi" w:cstheme="majorBidi"/>
                      <w:sz w:val="26"/>
                      <w:szCs w:val="22"/>
                      <w:lang w:val="en-US"/>
                    </w:rPr>
                    <m:t>data</m:t>
                  </m:r>
                </m:sub>
              </m:sSub>
            </m:sub>
          </m:sSub>
          <m:d>
            <m:dPr>
              <m:begChr m:val="["/>
              <m:endChr m:val="]"/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L(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f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(</m:t>
              </m:r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x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;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),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y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</m:t>
              </m:r>
            </m:e>
          </m:d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  <w:lang w:val="en-US"/>
            </w:rPr>
            <w:br/>
          </m:r>
        </m:oMath>
        <m:oMath>
          <m:sSup>
            <m:sSupPr>
              <m:ctrlPr>
                <w:rPr>
                  <w:rFonts w:ascii="Cambria Math" w:eastAsiaTheme="majorEastAsia" w:hAnsi="Cambria Math" w:cstheme="majorBidi"/>
                  <w:i/>
                  <w:sz w:val="26"/>
                  <w:szCs w:val="22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6"/>
                  <w:szCs w:val="22"/>
                  <w:lang w:val="en-US"/>
                </w:rPr>
                <m:t>θ</m:t>
              </m:r>
              <m:ctrlPr>
                <w:rPr>
                  <w:rFonts w:ascii="Cambria Math" w:eastAsiaTheme="majorEastAsia" w:hAnsi="Cambria Math" w:cstheme="majorBidi"/>
                  <w:sz w:val="26"/>
                  <w:szCs w:val="22"/>
                  <w:lang w:val="en-US"/>
                </w:rPr>
              </m:ctrlPr>
            </m:e>
            <m:sup>
              <m:r>
                <w:rPr>
                  <w:rFonts w:ascii="Cambria Math" w:eastAsiaTheme="majorEastAsia" w:hAnsi="Cambria Math" w:cstheme="majorBidi"/>
                  <w:sz w:val="26"/>
                  <w:szCs w:val="22"/>
                  <w:lang w:val="en-US"/>
                </w:rPr>
                <m:t>*</m:t>
              </m:r>
            </m:sup>
          </m:sSup>
          <m:r>
            <w:rPr>
              <w:rFonts w:ascii="Cambria Math" w:eastAsiaTheme="majorEastAsia" w:hAnsi="Cambria Math" w:cstheme="majorBidi"/>
              <w:sz w:val="26"/>
              <w:szCs w:val="22"/>
              <w:lang w:val="en-US"/>
            </w:rPr>
            <m:t>=</m:t>
          </m:r>
          <m:func>
            <m:funcPr>
              <m:ctrlPr>
                <w:rPr>
                  <w:rFonts w:ascii="Cambria Math" w:eastAsiaTheme="majorEastAsia" w:hAnsi="Cambria Math" w:cstheme="majorBidi"/>
                  <w:sz w:val="26"/>
                  <w:szCs w:val="2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6"/>
                  <w:szCs w:val="22"/>
                  <w:lang w:val="en-US"/>
                </w:rPr>
                <m:t>arg</m:t>
              </m:r>
              <m:ctrlPr>
                <w:rPr>
                  <w:rFonts w:ascii="Cambria Math" w:eastAsiaTheme="majorEastAsia" w:hAnsi="Cambria Math" w:cstheme="majorBidi"/>
                  <w:i/>
                  <w:sz w:val="26"/>
                  <w:szCs w:val="22"/>
                  <w:lang w:val="en-US"/>
                </w:rPr>
              </m:ctrlPr>
            </m:fName>
            <m:e>
              <m:func>
                <m:funcPr>
                  <m:ctrlPr>
                    <w:rPr>
                      <w:rFonts w:ascii="Cambria Math" w:eastAsiaTheme="majorEastAsia" w:hAnsi="Cambria Math" w:cstheme="majorBidi"/>
                      <w:sz w:val="26"/>
                      <w:szCs w:val="22"/>
                      <w:lang w:val="en-US"/>
                    </w:rPr>
                  </m:ctrlPr>
                </m:funcPr>
                <m:fName>
                  <m:limLow>
                    <m:limLow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6"/>
                          <w:szCs w:val="22"/>
                          <w:lang w:val="en-US"/>
                        </w:rPr>
                      </m:ctrlPr>
                    </m:limLowPr>
                    <m:e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  <m:t>min</m:t>
                      </m:r>
                      <m:ctrl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</m:ctrlPr>
                    </m:e>
                    <m:lim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  <m:t>θ</m:t>
                      </m:r>
                      <m:ctrl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</m:ctrlPr>
                    </m:lim>
                  </m:limLow>
                </m:fName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i/>
                          <w:sz w:val="26"/>
                          <w:szCs w:val="22"/>
                          <w:lang w:val="en-US"/>
                        </w:rPr>
                      </m:ctrlPr>
                    </m:sSubPr>
                    <m:e>
                      <m:r>
                        <m:rPr>
                          <m:scr m:val="double-struck"/>
                        </m:r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  <m:t>E</m:t>
                      </m:r>
                    </m:e>
                    <m:sub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sz w:val="26"/>
                              <w:szCs w:val="22"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cr m:val="double-struck"/>
                            </m:rP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  <m:t>x,y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  <m:t>∼</m:t>
                      </m:r>
                      <m:sSub>
                        <m:sSub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sz w:val="26"/>
                              <w:szCs w:val="22"/>
                              <w:lang w:val="en-US"/>
                            </w:rPr>
                          </m:ctrlPr>
                        </m:sSubPr>
                        <m:e>
                          <m:r>
                            <m:rPr>
                              <m:scr m:val="double-struck"/>
                            </m:rP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  <m:t>p</m:t>
                          </m:r>
                          <m:ctrlP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</m:ctrlPr>
                        </m:e>
                        <m:sub>
                          <m:r>
                            <m:rPr>
                              <m:scr m:val="double-struck"/>
                            </m:rP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  <m:t>data</m:t>
                          </m:r>
                        </m:sub>
                      </m:sSub>
                    </m:sub>
                  </m:sSub>
                  <m:d>
                    <m:dPr>
                      <m:begChr m:val="["/>
                      <m:endChr m:val="]"/>
                      <m:ctrlPr>
                        <w:rPr>
                          <w:rFonts w:ascii="Cambria Math" w:eastAsiaTheme="majorEastAsia" w:hAnsi="Cambria Math" w:cstheme="majorBidi"/>
                          <w:i/>
                          <w:sz w:val="26"/>
                          <w:szCs w:val="22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6"/>
                          <w:szCs w:val="22"/>
                          <w:lang w:val="en-US"/>
                        </w:rPr>
                        <m:t>L</m:t>
                      </m:r>
                      <m:d>
                        <m:dPr>
                          <m:ctrlPr>
                            <w:rPr>
                              <w:rFonts w:ascii="Cambria Math" w:eastAsiaTheme="majorEastAsia" w:hAnsi="Cambria Math" w:cstheme="majorBidi"/>
                              <w:i/>
                              <w:sz w:val="26"/>
                              <w:szCs w:val="22"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eastAsiaTheme="majorEastAsia" w:hAnsi="Cambria Math" w:cstheme="majorBidi"/>
                                  <w:i/>
                                  <w:sz w:val="26"/>
                                  <w:szCs w:val="22"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  <w:sz w:val="26"/>
                                  <w:szCs w:val="22"/>
                                  <w:lang w:val="en-US"/>
                                </w:rPr>
                                <m:t>x;</m:t>
                              </m:r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ajorEastAsia" w:hAnsi="Cambria Math" w:cstheme="majorBidi"/>
                                  <w:sz w:val="26"/>
                                  <w:szCs w:val="22"/>
                                  <w:lang w:val="en-US"/>
                                </w:rPr>
                                <m:t>θ</m:t>
                              </m:r>
                            </m:e>
                          </m:d>
                          <m:r>
                            <w:rPr>
                              <w:rFonts w:ascii="Cambria Math" w:eastAsiaTheme="majorEastAsia" w:hAnsi="Cambria Math" w:cstheme="majorBidi"/>
                              <w:sz w:val="26"/>
                              <w:szCs w:val="22"/>
                              <w:lang w:val="en-US"/>
                            </w:rPr>
                            <m:t>,y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ajorEastAsia" w:hAnsi="Cambria Math" w:cstheme="majorBidi"/>
                      <w:i/>
                      <w:sz w:val="26"/>
                      <w:szCs w:val="22"/>
                      <w:lang w:val="en-US"/>
                    </w:rPr>
                  </m:ctrlPr>
                </m:e>
              </m:func>
            </m:e>
          </m:func>
        </m:oMath>
      </m:oMathPara>
    </w:p>
    <w:p w14:paraId="4AF52B59" w14:textId="78883D8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lastRenderedPageBreak/>
        <w:t xml:space="preserve">gdzie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f(</m:t>
        </m:r>
        <m:r>
          <m:rPr>
            <m:sty m:val="b"/>
          </m:rPr>
          <w:rPr>
            <w:rFonts w:ascii="Cambria Math" w:eastAsiaTheme="majorEastAsia" w:hAnsi="Cambria Math" w:cstheme="majorBidi"/>
            <w:sz w:val="22"/>
            <w:szCs w:val="22"/>
          </w:rPr>
          <m:t>x</m:t>
        </m:r>
        <m:r>
          <w:rPr>
            <w:rFonts w:ascii="Cambria Math" w:eastAsiaTheme="majorEastAsia" w:hAnsi="Cambria Math" w:cstheme="majorBidi"/>
            <w:sz w:val="22"/>
            <w:szCs w:val="22"/>
          </w:rPr>
          <m:t xml:space="preserve">;θ)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jest funkcją reprezentowaną przez całą sieć, a </w:t>
      </w:r>
      <m:oMath>
        <m:r>
          <m:rPr>
            <m:scr m:val="script"/>
          </m:rPr>
          <w:rPr>
            <w:rFonts w:ascii="Cambria Math" w:eastAsiaTheme="majorEastAsia" w:hAnsi="Cambria Math" w:cstheme="majorBidi"/>
            <w:sz w:val="22"/>
            <w:szCs w:val="22"/>
          </w:rPr>
          <m:t xml:space="preserve">L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jest funkcją straty (Goodfellow et al., 2016, rozdz. 6.1). Ponieważ prawdziwy rozkład </w:t>
      </w:r>
      <m:oMath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p</m:t>
            </m:r>
          </m:e>
          <m:sub>
            <m:r>
              <m:rPr>
                <m:nor/>
              </m:rPr>
              <w:rPr>
                <w:rFonts w:asciiTheme="majorHAnsi" w:eastAsiaTheme="majorEastAsia" w:hAnsiTheme="majorHAnsi" w:cstheme="majorBidi"/>
                <w:sz w:val="26"/>
                <w:szCs w:val="22"/>
              </w:rPr>
              <m:t>data</m:t>
            </m:r>
            <m:r>
              <m:rPr>
                <m:nor/>
              </m:rPr>
              <w:rPr>
                <w:rFonts w:ascii="Cambria Math" w:eastAsiaTheme="majorEastAsia" w:hAnsiTheme="majorHAnsi" w:cstheme="majorBidi"/>
                <w:sz w:val="26"/>
                <w:szCs w:val="22"/>
              </w:rPr>
              <m:t xml:space="preserve"> </m:t>
            </m:r>
          </m:sub>
        </m:sSub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nie jest znany, w praktyce stosuje się empiryczną aproksymację na skończonym zbiorze treningowym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D={(</m:t>
        </m:r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x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i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,</m:t>
        </m:r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y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i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)</m:t>
        </m:r>
        <m:sSubSup>
          <m:sSub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Sup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}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i=1</m:t>
            </m:r>
          </m:sub>
          <m:sup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N</m:t>
            </m:r>
          </m:sup>
        </m:sSubSup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:</w:t>
      </w:r>
    </w:p>
    <w:p w14:paraId="3A8CDB16" w14:textId="1F325E90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e>
            <m:sup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*</m:t>
              </m:r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≈</m:t>
          </m:r>
          <m:r>
            <m:rPr>
              <m:sty m:val="p"/>
            </m:rPr>
            <w:rPr>
              <w:rFonts w:ascii="Cambria Math" w:eastAsiaTheme="majorEastAsia" w:hAnsi="Cambria Math" w:cstheme="majorBidi"/>
              <w:sz w:val="22"/>
              <w:szCs w:val="22"/>
            </w:rPr>
            <m:t>arg</m:t>
          </m:r>
          <m:r>
            <w:rPr>
              <w:rFonts w:ascii="Cambria Math" w:eastAsiaTheme="majorEastAsia" w:hAnsi="Cambria Math" w:cstheme="majorBidi"/>
              <w:sz w:val="22"/>
              <w:szCs w:val="22"/>
            </w:rPr>
            <m:t>⁡</m:t>
          </m:r>
          <m:limLow>
            <m:limLow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min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⁡</m:t>
              </m:r>
            </m:e>
            <m:lim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lim>
          </m:limLow>
          <m:r>
            <m:rPr>
              <m:nor/>
            </m:rPr>
            <w:rPr>
              <w:rFonts w:asciiTheme="majorHAnsi" w:eastAsiaTheme="majorEastAsia" w:hAnsiTheme="majorHAnsi" w:cstheme="majorBidi"/>
              <w:sz w:val="26"/>
              <w:szCs w:val="22"/>
            </w:rPr>
            <m:t xml:space="preserve"> 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1</m:t>
              </m:r>
            </m:num>
            <m:den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i=1</m:t>
              </m:r>
            </m:sub>
            <m:sup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N</m:t>
              </m:r>
            </m:sup>
            <m:e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L(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f(</m:t>
              </m:r>
            </m:e>
          </m:nary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x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i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;θ),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y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i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)</m:t>
          </m:r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48BDB38F" w14:textId="77777777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Uczenie realizowane jest iteracyjnie w epokach i składa się z powtarzanych cykli: propagacji w przód, obliczenia straty, propagacji wstecznej oraz aktualizacji parametrów.</w:t>
      </w:r>
    </w:p>
    <w:p w14:paraId="6554B370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309E4340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3. Propagacja w przód (forward propagation)</w:t>
      </w:r>
    </w:p>
    <w:p w14:paraId="4286C0F9" w14:textId="5C8DD664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W fazie propagacji w przód dane wejściowe są kolejno przekształcane przez wszystkie warstwy sieci. Dla dowolnej warstwy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l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obliczenia mają postać:</w:t>
      </w:r>
    </w:p>
    <w:p w14:paraId="46A5D850" w14:textId="4E89F1C1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h</m:t>
              </m:r>
            </m:e>
            <m:sup>
              <m:d>
                <m:dPr>
                  <m:sepChr m:val="−"/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1</m:t>
                  </m:r>
                </m:e>
              </m:d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+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63685651" w14:textId="77A9A6A5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h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σ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(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l</m:t>
                  </m:r>
                </m:e>
              </m:d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)</m:t>
          </m:r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34C458CA" w14:textId="1F505D9F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gdzie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h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0</m:t>
                </m:r>
              </m:e>
            </m:d>
          </m:sup>
        </m:sSup>
        <m:r>
          <w:rPr>
            <w:rFonts w:ascii="Cambria Math" w:eastAsiaTheme="majorEastAsia" w:hAnsi="Cambria Math" w:cstheme="majorBidi"/>
            <w:sz w:val="22"/>
            <w:szCs w:val="22"/>
          </w:rPr>
          <m:t>=</m:t>
        </m:r>
        <m:r>
          <m:rPr>
            <m:sty m:val="b"/>
          </m:rPr>
          <w:rPr>
            <w:rFonts w:ascii="Cambria Math" w:eastAsiaTheme="majorEastAsia" w:hAnsi="Cambria Math" w:cstheme="majorBidi"/>
            <w:sz w:val="22"/>
            <w:szCs w:val="22"/>
          </w:rPr>
          <m:t>x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,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W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l</m:t>
                </m:r>
              </m:e>
            </m:d>
          </m:sup>
        </m:sSup>
        <m:r>
          <w:rPr>
            <w:rFonts w:ascii="Cambria Math" w:eastAsiaTheme="majorEastAsia" w:hAnsi="Cambria Math" w:cstheme="majorBidi"/>
            <w:sz w:val="22"/>
            <w:szCs w:val="22"/>
          </w:rPr>
          <m:t xml:space="preserve">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i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m:rPr>
                <m:sty m:val="b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b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l</m:t>
                </m:r>
              </m:e>
            </m:d>
          </m:sup>
        </m:sSup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to parametry warstwy, a </w:t>
      </w:r>
      <m:oMath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σ</m:t>
            </m:r>
          </m:e>
          <m:sup>
            <m:d>
              <m:d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d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l</m:t>
                </m:r>
              </m:e>
            </m:d>
          </m:sup>
        </m:sSup>
        <m:r>
          <w:rPr>
            <w:rFonts w:ascii="Cambria Math" w:eastAsiaTheme="majorEastAsia" w:hAnsi="Cambria Math" w:cstheme="majorBidi"/>
            <w:sz w:val="22"/>
            <w:szCs w:val="22"/>
          </w:rPr>
          <m:t xml:space="preserve">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jest nieliniową funkcją aktywacji (Goodfellow et al., 2016, rozdz. 6.2). Wyjście ostatniej warstwy stanowi predykcję modelu </w:t>
      </w:r>
      <m:oMath>
        <m:acc>
          <m:acc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y</m:t>
            </m:r>
          </m:e>
        </m:acc>
        <m:r>
          <w:rPr>
            <w:rFonts w:ascii="Cambria Math" w:eastAsiaTheme="majorEastAsia" w:hAnsi="Cambria Math" w:cstheme="majorBidi"/>
            <w:sz w:val="22"/>
            <w:szCs w:val="22"/>
          </w:rPr>
          <m:t>=f(</m:t>
        </m:r>
        <m:r>
          <m:rPr>
            <m:sty m:val="b"/>
          </m:rPr>
          <w:rPr>
            <w:rFonts w:ascii="Cambria Math" w:eastAsiaTheme="majorEastAsia" w:hAnsi="Cambria Math" w:cstheme="majorBidi"/>
            <w:sz w:val="22"/>
            <w:szCs w:val="22"/>
          </w:rPr>
          <m:t>x</m:t>
        </m:r>
        <m:r>
          <w:rPr>
            <w:rFonts w:ascii="Cambria Math" w:eastAsiaTheme="majorEastAsia" w:hAnsi="Cambria Math" w:cstheme="majorBidi"/>
            <w:sz w:val="22"/>
            <w:szCs w:val="22"/>
          </w:rPr>
          <m:t>;θ)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. Propagacja w przód jest deterministyczna i służy do wygenerowania predykcji oraz zapamiętania aktywacji potrzebnych w propagacji wstecznej.</w:t>
      </w:r>
    </w:p>
    <w:p w14:paraId="7FBDD008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6B8EFE6B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4. Funkcje aktywacji</w:t>
      </w:r>
    </w:p>
    <w:p w14:paraId="67C3422F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Funkcje aktywacji wprowadzają nieliniowość, bez której sieć wielowarstwowa sprowadzałaby się do modelu liniowego. Jedną z najczęściej stosowanych funkcji jest </w:t>
      </w:r>
      <w:r w:rsidRPr="000F4785">
        <w:rPr>
          <w:rFonts w:asciiTheme="majorHAnsi" w:eastAsiaTheme="majorEastAsia" w:hAnsiTheme="majorHAnsi" w:cstheme="majorBidi"/>
          <w:b/>
          <w:bCs/>
          <w:sz w:val="26"/>
          <w:szCs w:val="22"/>
        </w:rPr>
        <w:t>ReLU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 (Rectified Linear Unit):</w:t>
      </w:r>
    </w:p>
    <w:p w14:paraId="48CEF3E5" w14:textId="56C3B9C8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r>
            <m:rPr>
              <m:nor/>
            </m:rPr>
            <w:rPr>
              <w:rFonts w:asciiTheme="majorHAnsi" w:eastAsiaTheme="majorEastAsia" w:hAnsiTheme="majorHAnsi" w:cstheme="majorBidi"/>
              <w:sz w:val="26"/>
              <w:szCs w:val="22"/>
            </w:rPr>
            <m:t>ReLU</m:t>
          </m:r>
          <m:r>
            <w:rPr>
              <w:rFonts w:ascii="Cambria Math" w:eastAsiaTheme="majorEastAsia" w:hAnsi="Cambria Math" w:cstheme="majorBidi"/>
              <w:sz w:val="22"/>
              <w:szCs w:val="22"/>
            </w:rPr>
            <m:t>(z)=</m:t>
          </m:r>
          <m:r>
            <m:rPr>
              <m:sty m:val="p"/>
            </m:rPr>
            <w:rPr>
              <w:rFonts w:ascii="Cambria Math" w:eastAsiaTheme="majorEastAsia" w:hAnsi="Cambria Math" w:cstheme="majorBidi"/>
              <w:sz w:val="22"/>
              <w:szCs w:val="22"/>
            </w:rPr>
            <m:t>max</m:t>
          </m:r>
          <m:r>
            <w:rPr>
              <w:rFonts w:ascii="Cambria Math" w:eastAsiaTheme="majorEastAsia" w:hAnsi="Cambria Math" w:cstheme="majorBidi"/>
              <w:sz w:val="22"/>
              <w:szCs w:val="22"/>
            </w:rPr>
            <m:t>⁡(0,z)</m:t>
          </m:r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466F6478" w14:textId="69244F1D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Jej pochodna wynosi 1 dla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 xml:space="preserve">z&gt;0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i 0 dla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z≤0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, co pomaga łagodzić problem zanikającego gradientu. Na warstwie wyjściowej w zadaniach klasyfikacji wielo-klasowej często stosuje się funkcję Softmax:</w:t>
      </w:r>
    </w:p>
    <w:p w14:paraId="3A6E25FD" w14:textId="2E5EB9FC" w:rsidR="000F4785" w:rsidRPr="00E05A83" w:rsidRDefault="000F4785" w:rsidP="000F4785">
      <w:pPr>
        <w:rPr>
          <w:rFonts w:asciiTheme="majorHAnsi" w:eastAsiaTheme="majorEastAsia" w:hAnsiTheme="majorHAnsi" w:cstheme="majorBidi"/>
          <w:sz w:val="26"/>
          <w:szCs w:val="22"/>
          <w:lang w:val="en-US"/>
        </w:rPr>
      </w:pPr>
      <w:proofErr w:type="spellStart"/>
      <m:oMathPara>
        <m:oMath>
          <m:r>
            <m:rPr>
              <m:nor/>
            </m:rPr>
            <w:rPr>
              <w:rFonts w:asciiTheme="majorHAnsi" w:eastAsiaTheme="majorEastAsia" w:hAnsiTheme="majorHAnsi" w:cstheme="majorBidi"/>
              <w:sz w:val="26"/>
              <w:szCs w:val="22"/>
              <w:lang w:val="en-US"/>
            </w:rPr>
            <m:t>Softmax</m:t>
          </m:r>
          <w:proofErr w:type="spellEnd"/>
          <m:r>
            <w:rPr>
              <w:rFonts w:ascii="Cambria Math" w:eastAsiaTheme="majorEastAsia" w:hAnsi="Cambria Math" w:cstheme="majorBidi"/>
              <w:sz w:val="22"/>
              <w:szCs w:val="22"/>
              <w:lang w:val="en-US"/>
            </w:rPr>
            <m:t>(</m:t>
          </m:r>
          <m:r>
            <m:rPr>
              <m:sty m:val="b"/>
            </m:rPr>
            <w:rPr>
              <w:rFonts w:ascii="Cambria Math" w:eastAsiaTheme="majorEastAsia" w:hAnsi="Cambria Math" w:cstheme="majorBidi"/>
              <w:sz w:val="22"/>
              <w:szCs w:val="22"/>
            </w:rPr>
            <m:t>z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  <w:lang w:val="en-US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exp</m:t>
              </m:r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⁡(</m:t>
              </m:r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z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k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</m:t>
              </m:r>
            </m:num>
            <m:den>
              <m:nary>
                <m:naryPr>
                  <m:chr m:val="∑"/>
                  <m:limLoc m:val="undOvr"/>
                  <m:grow m:val="1"/>
                  <m:supHide m:val="1"/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naryPr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j</m:t>
                  </m:r>
                </m:sub>
                <m:sup/>
                <m:e>
                  <m:r>
                    <m:rPr>
                      <m:sty m:val="p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  <w:lang w:val="en-US"/>
                    </w:rPr>
                    <m:t>exp</m:t>
                  </m:r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  <w:lang w:val="en-US"/>
                    </w:rPr>
                    <m:t>⁡(</m:t>
                  </m:r>
                </m:e>
              </m:nary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z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j</m:t>
                  </m:r>
                </m:sub>
              </m:sSub>
              <m:r>
                <w:rPr>
                  <w:rFonts w:ascii="Cambria Math" w:eastAsiaTheme="majorEastAsia" w:hAnsi="Cambria Math" w:cstheme="majorBidi"/>
                  <w:sz w:val="22"/>
                  <w:szCs w:val="22"/>
                  <w:lang w:val="en-US"/>
                </w:rPr>
                <m:t>)</m:t>
              </m:r>
            </m:den>
          </m:f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  <w:lang w:val="en-US"/>
            </w:rPr>
            <w:br/>
          </m:r>
        </m:oMath>
      </m:oMathPara>
    </w:p>
    <w:p w14:paraId="2EB41EF2" w14:textId="77777777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Funkcja ta przekształca wektor logitów w rozkład prawdopodobieństw, gdzie suma wynosi 1 (Goodfellow et al., 2016, rozdz. 6.2.2).</w:t>
      </w:r>
    </w:p>
    <w:p w14:paraId="4E622ADD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4F14010E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5. Funkcja straty</w:t>
      </w:r>
    </w:p>
    <w:p w14:paraId="4D795971" w14:textId="4AF76168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Funkcja straty </w:t>
      </w:r>
      <m:oMath>
        <m:r>
          <m:rPr>
            <m:scr m:val="script"/>
          </m:rPr>
          <w:rPr>
            <w:rFonts w:ascii="Cambria Math" w:eastAsiaTheme="majorEastAsia" w:hAnsi="Cambria Math" w:cstheme="majorBidi"/>
            <w:sz w:val="22"/>
            <w:szCs w:val="22"/>
          </w:rPr>
          <m:t xml:space="preserve">L 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mierzy rozbieżność między predykcją </w:t>
      </w:r>
      <m:oMath>
        <m:acc>
          <m:acc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acc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y</m:t>
            </m:r>
          </m:e>
        </m:acc>
      </m:oMath>
      <w:r w:rsidR="00A05F5F">
        <w:rPr>
          <w:rFonts w:asciiTheme="majorHAnsi" w:eastAsiaTheme="majorEastAsia" w:hAnsiTheme="majorHAnsi" w:cstheme="majorBidi"/>
          <w:sz w:val="22"/>
          <w:szCs w:val="22"/>
        </w:rPr>
        <w:t xml:space="preserve"> 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a prawdziwą etykietą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y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. W zadaniach klasyfikacji wielo-klasowej najczęściej stosuje się entropię krzyżową (cross-entropy):</w:t>
      </w:r>
    </w:p>
    <w:p w14:paraId="43691858" w14:textId="200F61D5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r>
            <m:rPr>
              <m:scr m:val="script"/>
            </m:rPr>
            <w:rPr>
              <w:rFonts w:ascii="Cambria Math" w:eastAsiaTheme="majorEastAsia" w:hAnsi="Cambria Math" w:cstheme="majorBidi"/>
              <w:sz w:val="22"/>
              <w:szCs w:val="22"/>
            </w:rPr>
            <m:t>L(</m:t>
          </m:r>
          <m:r>
            <m:rPr>
              <m:sty m:val="b"/>
            </m:rPr>
            <w:rPr>
              <w:rFonts w:ascii="Cambria Math" w:eastAsiaTheme="majorEastAsia" w:hAnsi="Cambria Math" w:cstheme="majorBidi"/>
              <w:sz w:val="22"/>
              <w:szCs w:val="22"/>
            </w:rPr>
            <m:t>y</m:t>
          </m:r>
          <m:r>
            <w:rPr>
              <w:rFonts w:ascii="Cambria Math" w:eastAsiaTheme="majorEastAsia" w:hAnsi="Cambria Math" w:cstheme="majorBidi"/>
              <w:sz w:val="22"/>
              <w:szCs w:val="22"/>
            </w:rPr>
            <m:t>,</m:t>
          </m:r>
          <m:acc>
            <m:acc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acc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y</m:t>
              </m:r>
            </m:e>
          </m:acc>
          <m:r>
            <w:rPr>
              <w:rFonts w:ascii="Cambria Math" w:eastAsiaTheme="majorEastAsia" w:hAnsi="Cambria Math" w:cstheme="majorBidi"/>
              <w:sz w:val="22"/>
              <w:szCs w:val="22"/>
            </w:rPr>
            <m:t>)=-</m:t>
          </m:r>
          <m:nary>
            <m:naryPr>
              <m:chr m:val="∑"/>
              <m:limLoc m:val="undOvr"/>
              <m:grow m:val="1"/>
              <m:supHide m:val="1"/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naryPr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k</m:t>
              </m:r>
            </m:sub>
            <m:sup/>
            <m:e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y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k</m:t>
                  </m:r>
                </m:sub>
              </m:sSub>
            </m:e>
          </m:nary>
          <m:r>
            <m:rPr>
              <m:sty m:val="p"/>
            </m:rPr>
            <w:rPr>
              <w:rFonts w:ascii="Cambria Math" w:eastAsiaTheme="majorEastAsia" w:hAnsi="Cambria Math" w:cstheme="majorBidi"/>
              <w:sz w:val="22"/>
              <w:szCs w:val="22"/>
            </w:rPr>
            <m:t>log</m:t>
          </m:r>
          <m:r>
            <w:rPr>
              <w:rFonts w:ascii="Cambria Math" w:eastAsiaTheme="majorEastAsia" w:hAnsi="Cambria Math" w:cstheme="majorBidi"/>
              <w:sz w:val="22"/>
              <w:szCs w:val="22"/>
            </w:rPr>
            <m:t>⁡(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acc>
                <m:acc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acc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y</m:t>
                  </m:r>
                </m:e>
              </m:acc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k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)</m:t>
          </m:r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31D7CF12" w14:textId="7F872D00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lastRenderedPageBreak/>
        <w:t xml:space="preserve">W wersji z indeksami klas wzór upraszcza się do </w:t>
      </w:r>
      <m:oMath>
        <m:r>
          <m:rPr>
            <m:scr m:val="script"/>
          </m:rPr>
          <w:rPr>
            <w:rFonts w:ascii="Cambria Math" w:eastAsiaTheme="majorEastAsia" w:hAnsi="Cambria Math" w:cstheme="majorBidi"/>
            <w:sz w:val="22"/>
            <w:szCs w:val="22"/>
          </w:rPr>
          <m:t>L=-</m:t>
        </m:r>
        <m:r>
          <m:rPr>
            <m:sty m:val="p"/>
          </m:rPr>
          <w:rPr>
            <w:rFonts w:ascii="Cambria Math" w:eastAsiaTheme="majorEastAsia" w:hAnsi="Cambria Math" w:cstheme="majorBidi"/>
            <w:sz w:val="22"/>
            <w:szCs w:val="22"/>
          </w:rPr>
          <m:t>log</m:t>
        </m:r>
        <m:r>
          <w:rPr>
            <w:rFonts w:ascii="Cambria Math" w:eastAsiaTheme="majorEastAsia" w:hAnsi="Cambria Math" w:cstheme="majorBidi"/>
            <w:sz w:val="22"/>
            <w:szCs w:val="22"/>
          </w:rPr>
          <m:t>⁡(</m:t>
        </m:r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acc>
              <m:acc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y</m:t>
                </m:r>
              </m:e>
            </m:acc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y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)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. Entropia krzyżowa wynika z zasady maksymalizacji likelihoodu i posiada wygodną własność: gradient względem logitów przed softmaxem jest szczególnie prosty (</w:t>
      </w:r>
      <m:oMath>
        <m:f>
          <m:f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fPr>
          <m:num>
            <m:r>
              <m:rPr>
                <m:sty m:val="p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∂</m:t>
            </m:r>
            <m:r>
              <m:rPr>
                <m:scr m:val="script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L</m:t>
            </m:r>
          </m:num>
          <m:den>
            <m:r>
              <m:rPr>
                <m:sty m:val="p"/>
              </m:rPr>
              <w:rPr>
                <w:rFonts w:ascii="Cambria Math" w:eastAsiaTheme="majorEastAsia" w:hAnsi="Cambria Math" w:cstheme="majorBidi"/>
                <w:sz w:val="22"/>
                <w:szCs w:val="22"/>
              </w:rPr>
              <m:t>∂</m:t>
            </m:r>
            <m:sSub>
              <m:sSub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z</m:t>
                </m:r>
              </m:e>
              <m:sub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k</m:t>
                </m:r>
              </m:sub>
            </m:sSub>
          </m:den>
        </m:f>
        <m:r>
          <w:rPr>
            <w:rFonts w:ascii="Cambria Math" w:eastAsiaTheme="majorEastAsia" w:hAnsi="Cambria Math" w:cstheme="majorBidi"/>
            <w:sz w:val="22"/>
            <w:szCs w:val="22"/>
          </w:rPr>
          <m:t>=</m:t>
        </m:r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acc>
              <m:accPr>
                <m:ctrlP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</m:ctrlPr>
              </m:accPr>
              <m:e>
                <m:r>
                  <w:rPr>
                    <w:rFonts w:ascii="Cambria Math" w:eastAsiaTheme="majorEastAsia" w:hAnsi="Cambria Math" w:cstheme="majorBidi"/>
                    <w:sz w:val="22"/>
                    <w:szCs w:val="22"/>
                  </w:rPr>
                  <m:t>y</m:t>
                </m:r>
              </m:e>
            </m:acc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k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-</m:t>
        </m:r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y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k</m:t>
            </m:r>
          </m:sub>
        </m:sSub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) (Goodfellow et al., 2016, rozdz. 5.5 i 6.2.2).</w:t>
      </w:r>
    </w:p>
    <w:p w14:paraId="270DF5D2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3F2FBCFB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6. Propagacja wsteczna (backpropagation)</w:t>
      </w:r>
    </w:p>
    <w:p w14:paraId="2571C20D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Mechanizmem umożliwiającym efektywne uczenie jest algorytm </w:t>
      </w:r>
      <w:r w:rsidRPr="000F4785">
        <w:rPr>
          <w:rFonts w:asciiTheme="majorHAnsi" w:eastAsiaTheme="majorEastAsia" w:hAnsiTheme="majorHAnsi" w:cstheme="majorBidi"/>
          <w:b/>
          <w:bCs/>
          <w:sz w:val="26"/>
          <w:szCs w:val="22"/>
        </w:rPr>
        <w:t>propagacji wstecznej błędu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 (backpropagation) opisany przez Rumelhart, Hinton i Williams (1986). Algorytm wykorzystuje regułę łańcuchową rachunku różniczkowego do obliczenia gradientu funkcji straty względem każdego parametru.</w:t>
      </w:r>
    </w:p>
    <w:p w14:paraId="182E3089" w14:textId="0F60C1C1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Dla warstwy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l</m:t>
        </m:r>
      </m:oMath>
      <w:r w:rsidR="00A05F5F">
        <w:rPr>
          <w:rFonts w:asciiTheme="majorHAnsi" w:eastAsiaTheme="majorEastAsia" w:hAnsiTheme="majorHAnsi" w:cstheme="majorBidi"/>
          <w:sz w:val="22"/>
          <w:szCs w:val="22"/>
        </w:rPr>
        <w:t xml:space="preserve"> 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>gradient wag oblicza się jako:</w:t>
      </w:r>
    </w:p>
    <w:p w14:paraId="3F08BA02" w14:textId="66419BD8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eastAsiaTheme="majorEastAsia" w:hAnsi="Cambria Math" w:cstheme="majorBidi"/>
              <w:sz w:val="22"/>
              <w:szCs w:val="22"/>
            </w:rPr>
            <m:t>⋅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d>
                <m:d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  <m:t>h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ajorEastAsia" w:hAnsi="Cambria Math" w:cstheme="majorBidi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  <w:sz w:val="22"/>
                                  <w:szCs w:val="22"/>
                                </w:rPr>
                                <m:t>l</m:t>
                              </m:r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  <m:t>z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eastAsiaTheme="majorEastAsia" w:hAnsi="Cambria Math" w:cstheme="majorBidi"/>
                                  <w:sz w:val="22"/>
                                  <w:szCs w:val="22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Theme="majorEastAsia" w:hAnsi="Cambria Math" w:cstheme="majorBidi"/>
                                  <w:sz w:val="22"/>
                                  <w:szCs w:val="22"/>
                                </w:rPr>
                                <m:t>l</m:t>
                              </m:r>
                            </m:e>
                          </m:d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⊤</m:t>
              </m:r>
            </m:sup>
          </m:sSup>
          <m:r>
            <w:rPr>
              <w:rFonts w:ascii="Cambria Math" w:eastAsiaTheme="majorEastAsia" w:hAnsi="Cambria Math" w:cstheme="majorBidi"/>
              <w:sz w:val="22"/>
              <w:szCs w:val="22"/>
            </w:rPr>
            <m:t>⋅</m:t>
          </m:r>
          <m:sSup>
            <m:s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h</m:t>
              </m:r>
            </m:e>
            <m:sup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(l-1)</m:t>
              </m:r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⊤</m:t>
              </m:r>
            </m:sup>
          </m:sSup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4CD4A815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Gradient biasów ma postać:</w:t>
      </w:r>
    </w:p>
    <w:p w14:paraId="154100CD" w14:textId="130E1BF4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r>
                <m:rPr>
                  <m:scr m:val="script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eastAsiaTheme="majorEastAsia" w:hAnsi="Cambria Math" w:cstheme="majorBidi"/>
              <w:sz w:val="22"/>
              <w:szCs w:val="22"/>
            </w:rPr>
            <m:t>⋅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num>
            <m:den>
              <m:r>
                <m:rPr>
                  <m:sty m:val="p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∂</m:t>
              </m:r>
              <m:sSup>
                <m:s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dPr>
                    <m:e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79C883C6" w14:textId="77777777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Dzięki przechowywaniu aktywacji z propagacji w przód obliczenia są efektywne i działają w czasie liniowym względem liczby parametrów (Rumelhart et al., 1986; Goodfellow et al., 2016, rozdz. 6.5).</w:t>
      </w:r>
    </w:p>
    <w:p w14:paraId="2625A0C2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1C7431D3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7. Optymalizacja parametrów – algorytm Adam</w:t>
      </w:r>
    </w:p>
    <w:p w14:paraId="30A83EE6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Gradienty wskazują kierunek spadku funkcji straty. W projekcie do aktualizacji parametrów stosuje się algorytm </w:t>
      </w:r>
      <w:r w:rsidRPr="000F4785">
        <w:rPr>
          <w:rFonts w:asciiTheme="majorHAnsi" w:eastAsiaTheme="majorEastAsia" w:hAnsiTheme="majorHAnsi" w:cstheme="majorBidi"/>
          <w:b/>
          <w:bCs/>
          <w:sz w:val="26"/>
          <w:szCs w:val="22"/>
        </w:rPr>
        <w:t>Adam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 (Kingma &amp; Ba, 2014). Jest to adaptacyjna metoda pierwszego rzędu łącząca momentum z adaptacyjnym skalowaniem współczynnika uczenia:</w:t>
      </w:r>
    </w:p>
    <w:p w14:paraId="4181CFD4" w14:textId="72551FFA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1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m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t-1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+(1-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1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)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2C0EBC6D" w14:textId="26068939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2</m:t>
              </m:r>
            </m:sub>
          </m:sSub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v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t-1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+(1-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β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2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)</m:t>
          </m:r>
          <m:sSubSup>
            <m:sSubSup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eastAsiaTheme="majorEastAsia" w:hAnsi="Cambria Math" w:cstheme="majorBidi"/>
                  <w:sz w:val="22"/>
                  <w:szCs w:val="22"/>
                </w:rPr>
                <m:t>g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  <m:sup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2</m:t>
              </m:r>
            </m:sup>
          </m:sSubSup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4C5F7538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Po korekcie biasu:</w:t>
      </w:r>
    </w:p>
    <w:p w14:paraId="18E058C3" w14:textId="77777777" w:rsidR="0044013B" w:rsidRPr="0044013B" w:rsidRDefault="00793EAC" w:rsidP="000F4785">
      <w:pPr>
        <w:rPr>
          <w:rFonts w:asciiTheme="majorHAnsi" w:eastAsiaTheme="majorEastAsia" w:hAnsiTheme="majorHAnsi" w:cstheme="majorBidi"/>
          <w:sz w:val="22"/>
          <w:szCs w:val="22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acc>
                <m:acc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m</m:t>
                  </m:r>
                </m:e>
              </m:acc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m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t</m:t>
                  </m:r>
                </m:sub>
              </m:sSub>
            </m:num>
            <m:den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1-</m:t>
              </m:r>
              <m:sSubSup>
                <m:sSub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β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1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t</m:t>
                  </m:r>
                </m:sup>
              </m:sSubSup>
            </m:den>
          </m:f>
          <m:r>
            <w:rPr>
              <w:rFonts w:ascii="Cambria Math" w:eastAsiaTheme="majorEastAsia" w:hAnsi="Cambria Math" w:cstheme="majorBidi"/>
              <w:sz w:val="22"/>
              <w:szCs w:val="22"/>
            </w:rPr>
            <m:t>,</m:t>
          </m:r>
        </m:oMath>
      </m:oMathPara>
    </w:p>
    <w:p w14:paraId="0520B419" w14:textId="47300944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acc>
                <m:acc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v</m:t>
                  </m:r>
                </m:e>
              </m:acc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v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t</m:t>
                  </m:r>
                </m:sub>
              </m:sSub>
            </m:num>
            <m:den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1-</m:t>
              </m:r>
              <m:sSubSup>
                <m:sSubSup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SupPr>
                <m:e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β</m:t>
                  </m:r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2</m:t>
                  </m:r>
                </m:sub>
                <m:sup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t</m:t>
                  </m:r>
                </m:sup>
              </m:sSubSup>
            </m:den>
          </m:f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52A9D2E3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Ostateczna aktualizacja parametrów ma postać:</w:t>
      </w:r>
    </w:p>
    <w:p w14:paraId="580C23F5" w14:textId="399AD2F5" w:rsidR="000F4785" w:rsidRPr="000F4785" w:rsidRDefault="00793EAC" w:rsidP="000F4785">
      <w:pPr>
        <w:rPr>
          <w:rFonts w:asciiTheme="majorHAnsi" w:eastAsiaTheme="majorEastAsia" w:hAnsiTheme="majorHAnsi" w:cstheme="majorBidi"/>
          <w:sz w:val="26"/>
          <w:szCs w:val="22"/>
        </w:rPr>
      </w:pPr>
      <m:oMathPara>
        <m:oMath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=</m:t>
          </m:r>
          <m:sSub>
            <m:sSub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sSubPr>
            <m:e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t-1</m:t>
              </m:r>
            </m:sub>
          </m:sSub>
          <m:r>
            <w:rPr>
              <w:rFonts w:ascii="Cambria Math" w:eastAsiaTheme="majorEastAsia" w:hAnsi="Cambria Math" w:cstheme="majorBidi"/>
              <w:sz w:val="22"/>
              <w:szCs w:val="22"/>
            </w:rPr>
            <m:t>-η</m:t>
          </m:r>
          <m:f>
            <m:fPr>
              <m:ctrlPr>
                <w:rPr>
                  <w:rFonts w:ascii="Cambria Math" w:eastAsiaTheme="majorEastAsia" w:hAnsi="Cambria Math" w:cstheme="majorBidi"/>
                  <w:sz w:val="22"/>
                  <w:szCs w:val="22"/>
                </w:rPr>
              </m:ctrlPr>
            </m:fPr>
            <m:num>
              <m:sSub>
                <m:sSubPr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  <m:t>t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eastAsiaTheme="majorEastAsia" w:hAnsi="Cambria Math" w:cstheme="majorBidi"/>
                      <w:sz w:val="22"/>
                      <w:szCs w:val="22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</m:ctrlPr>
                        </m:acc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eastAsiaTheme="majorEastAsia" w:hAnsi="Cambria Math" w:cstheme="majorBidi"/>
                              <w:sz w:val="22"/>
                              <w:szCs w:val="22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theme="majorBidi"/>
                          <w:sz w:val="22"/>
                          <w:szCs w:val="22"/>
                        </w:rPr>
                        <m:t>t</m:t>
                      </m:r>
                    </m:sub>
                  </m:sSub>
                </m:e>
              </m:rad>
              <m:r>
                <w:rPr>
                  <w:rFonts w:ascii="Cambria Math" w:eastAsiaTheme="majorEastAsia" w:hAnsi="Cambria Math" w:cstheme="majorBidi"/>
                  <w:sz w:val="22"/>
                  <w:szCs w:val="22"/>
                </w:rPr>
                <m:t>+ε</m:t>
              </m:r>
            </m:den>
          </m:f>
          <m:r>
            <m:rPr>
              <m:sty m:val="p"/>
            </m:rPr>
            <w:rPr>
              <w:rFonts w:asciiTheme="majorHAnsi" w:eastAsiaTheme="majorEastAsia" w:hAnsiTheme="majorHAnsi" w:cstheme="majorBidi"/>
              <w:sz w:val="26"/>
              <w:szCs w:val="22"/>
            </w:rPr>
            <w:br/>
          </m:r>
        </m:oMath>
      </m:oMathPara>
    </w:p>
    <w:p w14:paraId="64CC5182" w14:textId="67C68FC0" w:rsid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gdzie </w:t>
      </w:r>
      <m:oMath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β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1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=0.9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, </w:t>
      </w:r>
      <m:oMath>
        <m:sSub>
          <m:sSub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b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β</m:t>
            </m:r>
          </m:e>
          <m:sub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2</m:t>
            </m:r>
          </m:sub>
        </m:sSub>
        <m:r>
          <w:rPr>
            <w:rFonts w:ascii="Cambria Math" w:eastAsiaTheme="majorEastAsia" w:hAnsi="Cambria Math" w:cstheme="majorBidi"/>
            <w:sz w:val="22"/>
            <w:szCs w:val="22"/>
          </w:rPr>
          <m:t>=0.999</m:t>
        </m:r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, </w:t>
      </w:r>
      <m:oMath>
        <m:r>
          <w:rPr>
            <w:rFonts w:ascii="Cambria Math" w:eastAsiaTheme="majorEastAsia" w:hAnsi="Cambria Math" w:cstheme="majorBidi"/>
            <w:sz w:val="22"/>
            <w:szCs w:val="22"/>
          </w:rPr>
          <m:t>ε=</m:t>
        </m:r>
        <m:sSup>
          <m:sSupPr>
            <m:ctrlPr>
              <w:rPr>
                <w:rFonts w:ascii="Cambria Math" w:eastAsiaTheme="majorEastAsia" w:hAnsi="Cambria Math" w:cstheme="majorBidi"/>
                <w:sz w:val="22"/>
                <w:szCs w:val="22"/>
              </w:rPr>
            </m:ctrlPr>
          </m:sSupPr>
          <m:e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10</m:t>
            </m:r>
          </m:e>
          <m:sup>
            <m:r>
              <w:rPr>
                <w:rFonts w:ascii="Cambria Math" w:eastAsiaTheme="majorEastAsia" w:hAnsi="Cambria Math" w:cstheme="majorBidi"/>
                <w:sz w:val="22"/>
                <w:szCs w:val="22"/>
              </w:rPr>
              <m:t>-8</m:t>
            </m:r>
          </m:sup>
        </m:sSup>
      </m:oMath>
      <w:r w:rsidRPr="000F4785">
        <w:rPr>
          <w:rFonts w:asciiTheme="majorHAnsi" w:eastAsiaTheme="majorEastAsia" w:hAnsiTheme="majorHAnsi" w:cstheme="majorBidi"/>
          <w:sz w:val="26"/>
          <w:szCs w:val="22"/>
        </w:rPr>
        <w:t>. Adam zapewnia szybką i stabilną zbieżność nawet przy szumnych gradientach (Kingma &amp; Ba, 2014).</w:t>
      </w:r>
    </w:p>
    <w:p w14:paraId="2B9218BA" w14:textId="77777777" w:rsidR="004E7D2C" w:rsidRPr="000F4785" w:rsidRDefault="004E7D2C" w:rsidP="000F4785">
      <w:pPr>
        <w:rPr>
          <w:rFonts w:asciiTheme="majorHAnsi" w:eastAsiaTheme="majorEastAsia" w:hAnsiTheme="majorHAnsi" w:cstheme="majorBidi"/>
          <w:sz w:val="26"/>
          <w:szCs w:val="22"/>
        </w:rPr>
      </w:pPr>
    </w:p>
    <w:p w14:paraId="0D5FCA76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0F4785">
        <w:rPr>
          <w:rFonts w:asciiTheme="majorHAnsi" w:eastAsiaTheme="majorEastAsia" w:hAnsiTheme="majorHAnsi" w:cstheme="majorBidi"/>
          <w:b/>
          <w:bCs/>
          <w:sz w:val="32"/>
          <w:szCs w:val="32"/>
        </w:rPr>
        <w:t>8. Cykl uczenia i wyzwania</w:t>
      </w:r>
    </w:p>
    <w:p w14:paraId="2EE6C95D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Uczenie przebiega w epokach. Dane dzieli się na batche. W każdej iteracji wykonuje się: propagację w przód, obliczenie straty, propagację wsteczną i 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lastRenderedPageBreak/>
        <w:t>aktualizację parametrów. Monitoruje się stratę i metryki (np. accuracy) zarówno na zbiorze treningowym, jak i walidacyjnym/testowym.</w:t>
      </w:r>
    </w:p>
    <w:p w14:paraId="66C7CCF9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>Główne wyzwania to zanikający gradient, eksplozja gradientu oraz przeuczenie (overfitting). Rozwiązania obejmują odpowiednie funkcje aktywacji, normalizację batchową, regularyzację (dropout, weight decay) oraz augmentację danych (Goodfellow et al., 2016, rozdz. 8–9).</w:t>
      </w:r>
    </w:p>
    <w:p w14:paraId="1A0F64A5" w14:textId="77777777" w:rsidR="000F4785" w:rsidRPr="000F4785" w:rsidRDefault="000F4785" w:rsidP="000F4785">
      <w:pPr>
        <w:rPr>
          <w:rFonts w:asciiTheme="majorHAnsi" w:eastAsiaTheme="majorEastAsia" w:hAnsiTheme="majorHAnsi" w:cstheme="majorBidi"/>
          <w:sz w:val="26"/>
          <w:szCs w:val="22"/>
        </w:rPr>
      </w:pPr>
      <w:r w:rsidRPr="000F4785">
        <w:rPr>
          <w:rFonts w:asciiTheme="majorHAnsi" w:eastAsiaTheme="majorEastAsia" w:hAnsiTheme="majorHAnsi" w:cstheme="majorBidi"/>
          <w:sz w:val="26"/>
          <w:szCs w:val="22"/>
        </w:rPr>
        <w:t xml:space="preserve">Podsumowując, sieci głębokie uczą się poprzez powtarzanie cyklu </w:t>
      </w:r>
      <w:r w:rsidRPr="000F4785">
        <w:rPr>
          <w:rFonts w:asciiTheme="majorHAnsi" w:eastAsiaTheme="majorEastAsia" w:hAnsiTheme="majorHAnsi" w:cstheme="majorBidi"/>
          <w:b/>
          <w:bCs/>
          <w:sz w:val="26"/>
          <w:szCs w:val="22"/>
        </w:rPr>
        <w:t>forward → loss → backward → update</w:t>
      </w:r>
      <w:r w:rsidRPr="000F4785">
        <w:rPr>
          <w:rFonts w:asciiTheme="majorHAnsi" w:eastAsiaTheme="majorEastAsia" w:hAnsiTheme="majorHAnsi" w:cstheme="majorBidi"/>
          <w:sz w:val="26"/>
          <w:szCs w:val="22"/>
        </w:rPr>
        <w:t>. Dzięki backpropagation i nowoczesnym optymalizatorom takim jak Adam możliwe jest efektywne trenowanie modeli z milionami parametrów, co czyni uczenie głębokie jedną z najbardziej potężnych technik współczesnej sztucznej inteligencji.</w:t>
      </w:r>
    </w:p>
    <w:p w14:paraId="19D3A927" w14:textId="77777777" w:rsidR="007B059B" w:rsidRPr="004E7D2C" w:rsidRDefault="007B059B" w:rsidP="00E25333"/>
    <w:p w14:paraId="68EE2EB1" w14:textId="04035556" w:rsidR="00E54595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 w:rsidRPr="004E7D2C">
        <w:rPr>
          <w:color w:val="auto"/>
          <w:sz w:val="44"/>
          <w:szCs w:val="44"/>
        </w:rPr>
        <w:t>Opis projektu</w:t>
      </w:r>
    </w:p>
    <w:p w14:paraId="35FE1953" w14:textId="77777777" w:rsidR="0044013B" w:rsidRDefault="0044013B" w:rsidP="0044013B">
      <w:pPr>
        <w:ind w:left="360"/>
        <w:rPr>
          <w:rFonts w:asciiTheme="majorHAnsi" w:eastAsiaTheme="majorEastAsia" w:hAnsiTheme="majorHAnsi" w:cstheme="majorBidi"/>
          <w:b/>
          <w:bCs/>
          <w:sz w:val="32"/>
          <w:szCs w:val="32"/>
        </w:rPr>
      </w:pPr>
    </w:p>
    <w:p w14:paraId="2DD6F94C" w14:textId="15DF102E" w:rsidR="0044013B" w:rsidRPr="0044013B" w:rsidRDefault="0044013B" w:rsidP="0044013B">
      <w:pPr>
        <w:pStyle w:val="ListParagraph"/>
        <w:numPr>
          <w:ilvl w:val="0"/>
          <w:numId w:val="9"/>
        </w:num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 w:rsidRPr="0044013B">
        <w:rPr>
          <w:rFonts w:asciiTheme="majorHAnsi" w:eastAsiaTheme="majorEastAsia" w:hAnsiTheme="majorHAnsi" w:cstheme="majorBidi"/>
          <w:b/>
          <w:bCs/>
          <w:sz w:val="32"/>
          <w:szCs w:val="32"/>
        </w:rPr>
        <w:t>Opis zbioru danyh</w:t>
      </w:r>
    </w:p>
    <w:p w14:paraId="3DB9A440" w14:textId="77777777" w:rsidR="0044013B" w:rsidRPr="0044013B" w:rsidRDefault="0044013B" w:rsidP="0044013B">
      <w:pPr>
        <w:pStyle w:val="ListParagraph"/>
        <w:rPr>
          <w:rFonts w:asciiTheme="majorHAnsi" w:eastAsiaTheme="majorEastAsia" w:hAnsiTheme="majorHAnsi" w:cstheme="majorBidi"/>
          <w:b/>
          <w:bCs/>
          <w:sz w:val="32"/>
          <w:szCs w:val="32"/>
        </w:rPr>
      </w:pPr>
    </w:p>
    <w:p w14:paraId="4CF495A8" w14:textId="47BE12BC" w:rsidR="0044013B" w:rsidRPr="0044013B" w:rsidRDefault="0044013B" w:rsidP="0044013B"/>
    <w:p w14:paraId="28A45667" w14:textId="76906A38" w:rsidR="00E54595" w:rsidRPr="004E7D2C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 w:rsidRPr="004E7D2C">
        <w:rPr>
          <w:color w:val="auto"/>
          <w:sz w:val="44"/>
          <w:szCs w:val="44"/>
        </w:rPr>
        <w:t>Eksperymenty</w:t>
      </w:r>
    </w:p>
    <w:p w14:paraId="3B149B23" w14:textId="28885D9E" w:rsidR="00E54595" w:rsidRPr="004E7D2C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 w:rsidRPr="004E7D2C">
        <w:rPr>
          <w:color w:val="auto"/>
          <w:sz w:val="44"/>
          <w:szCs w:val="44"/>
        </w:rPr>
        <w:t>Podsumowanie</w:t>
      </w:r>
    </w:p>
    <w:p w14:paraId="6F15EF7B" w14:textId="60A28236" w:rsidR="00E54595" w:rsidRPr="004E7D2C" w:rsidRDefault="00E54595" w:rsidP="00E54595">
      <w:pPr>
        <w:pStyle w:val="Heading1"/>
        <w:numPr>
          <w:ilvl w:val="0"/>
          <w:numId w:val="3"/>
        </w:numPr>
        <w:rPr>
          <w:color w:val="auto"/>
          <w:sz w:val="44"/>
          <w:szCs w:val="44"/>
        </w:rPr>
      </w:pPr>
      <w:r w:rsidRPr="004E7D2C">
        <w:rPr>
          <w:color w:val="auto"/>
          <w:sz w:val="44"/>
          <w:szCs w:val="44"/>
        </w:rPr>
        <w:t>Bibliografia</w:t>
      </w:r>
    </w:p>
    <w:p w14:paraId="40CF6301" w14:textId="77777777" w:rsidR="00E54595" w:rsidRPr="004E7D2C" w:rsidRDefault="00E54595" w:rsidP="00E54595"/>
    <w:p w14:paraId="7D4A22C5" w14:textId="77777777" w:rsidR="007B059B" w:rsidRPr="004E7D2C" w:rsidRDefault="007B059B" w:rsidP="007B059B">
      <w:r w:rsidRPr="004E7D2C">
        <w:t xml:space="preserve">Uczenie głębokie (deep learning) jest to podkategoria uczenia maszynowego, sztuczne sieci neuronowe których działanie przypomina działanie ludzkiego mózgu uczą się z dużych ilości danych. Sieci neuronowe składają się z wielu warstw, w skład każdej z takich wchodzą elementy zwane neuronami bądź węzłami. </w:t>
      </w:r>
    </w:p>
    <w:p w14:paraId="67DD97C7" w14:textId="77777777" w:rsidR="00E54595" w:rsidRPr="004E7D2C" w:rsidRDefault="00E54595" w:rsidP="00E54595"/>
    <w:p w14:paraId="460E2B6A" w14:textId="77777777" w:rsidR="00E54595" w:rsidRPr="004E7D2C" w:rsidRDefault="00E54595" w:rsidP="00E54595"/>
    <w:p w14:paraId="6943CBCC" w14:textId="4AA4EB63" w:rsidR="00E7529D" w:rsidRPr="004E7D2C" w:rsidRDefault="00E7529D" w:rsidP="00E54595"/>
    <w:p w14:paraId="33E72309" w14:textId="77777777" w:rsidR="00E7529D" w:rsidRPr="004E7D2C" w:rsidRDefault="00E7529D">
      <w:r w:rsidRPr="004E7D2C">
        <w:br w:type="page"/>
      </w:r>
    </w:p>
    <w:p w14:paraId="6791B9DB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lastRenderedPageBreak/>
        <w:t>1. Uczenie głębokie – definicja, geneza i zastosowania</w:t>
      </w:r>
    </w:p>
    <w:p w14:paraId="5C940483" w14:textId="77777777" w:rsidR="00E7529D" w:rsidRPr="004E7D2C" w:rsidRDefault="00E7529D" w:rsidP="00E7529D">
      <w:r w:rsidRPr="004E7D2C">
        <w:rPr>
          <w:b/>
          <w:bCs/>
        </w:rPr>
        <w:t>Uczenie głębokie</w:t>
      </w:r>
      <w:r w:rsidRPr="004E7D2C">
        <w:t xml:space="preserve"> (deep learning) jest poddziedziną uczenia maszynowego, w której modele reprezentowane są przez wielowarstwowe sztuczne sieci neuronowe. W odróżnieniu od klasycznych algorytmów uczenia maszynowego, które wymagają ręcznego projektowania cech (feature engineering), sieci głębokie automatycznie uczą się hierarchicznych, nieliniowych reprezentacji danych bezpośrednio z surowych danych wejściowych (Goodfellow et al., 2016).</w:t>
      </w:r>
    </w:p>
    <w:p w14:paraId="357DFC64" w14:textId="77777777" w:rsidR="00E7529D" w:rsidRPr="004E7D2C" w:rsidRDefault="00E7529D" w:rsidP="00E7529D">
      <w:r w:rsidRPr="004E7D2C">
        <w:t>Pojęcie „głębokie” odnosi się do liczby warstw ukrytych – im więcej warstw, tym sieć jest w stanie modelować coraz bardziej złożone zależności. Sieci głębokie osiągają to dzięki kompozycji wielu prostych przekształceń nieliniowych, co pozwala na budowanie abstrakcyjnych koncepcji: od krawędzi i tekstur w warstwach początkowych po semantyczne obiekty w warstwach głębszych.</w:t>
      </w:r>
    </w:p>
    <w:p w14:paraId="3D486A43" w14:textId="77777777" w:rsidR="00E7529D" w:rsidRPr="004E7D2C" w:rsidRDefault="00E7529D" w:rsidP="00E7529D">
      <w:r w:rsidRPr="004E7D2C">
        <w:t>Historia uczenia głębokiego sięga lat 40. XX wieku. W 1943 roku Warren McCulloch i Walter Pitts zaproponowali pierwszy model sztucznego neuronu. W 1958 roku Frank Rosenblatt skonstruował perceptron – prosty model klasyfikacji liniowej. Jednak perceptron nie radził sobie z problemami nieliniowymi (np. XOR). Kluczowym przełomem był rok 1986, kiedy David Rumelhart, Geoffrey Hinton i Ronald Williams opublikowali pracę „Learning representations by back-propagating errors” (Rumelhart et al., 1986), w której opisali efektywny algorytm propagacji wstecznej błędu (backpropagation). Algorytm ten umożliwił trenowanie wielowarstwowych sieci.</w:t>
      </w:r>
    </w:p>
    <w:p w14:paraId="1E214F54" w14:textId="77777777" w:rsidR="00E7529D" w:rsidRPr="004E7D2C" w:rsidRDefault="00E7529D" w:rsidP="00E7529D">
      <w:r w:rsidRPr="004E7D2C">
        <w:t>Przez wiele lat rozwój był powolny ze względu na brak mocy obliczeniowej i danych. Prawdziwy boom nastąpił po 2010 roku dzięki trzem czynnikom: dostępności dużych zbiorów danych, rozwojowi procesorów graficznych (GPU) oraz nowym funkcjom aktywacji (m.in. ReLU). Kamieniem milowym była sieć AlexNet (Krizhevsky et al., 2012), która w 2012 roku zdominowała konkurs ImageNet, obniżając błąd klasyfikacji o ponad 10 punktów procentowych w porównaniu z metodami klasycznymi. Od tego momentu uczenie głębokie stało się dominującą techniką w wielu dziedzinach.</w:t>
      </w:r>
    </w:p>
    <w:p w14:paraId="7EED0BD3" w14:textId="77777777" w:rsidR="00E7529D" w:rsidRPr="004E7D2C" w:rsidRDefault="00E7529D" w:rsidP="00E7529D">
      <w:r w:rsidRPr="004E7D2C">
        <w:t>Zastosowania uczenia głębokiego są obecnie bardzo szerokie. Obejmują:</w:t>
      </w:r>
    </w:p>
    <w:p w14:paraId="66EB9456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przetwarzanie obrazów i wideo (klasyfikacja, detekcja obiektów, segmentacja),</w:t>
      </w:r>
    </w:p>
    <w:p w14:paraId="76A69CA7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przetwarzanie języka naturalnego (tłumaczenie maszynowe, analiza sentymentu, generowanie tekstu),</w:t>
      </w:r>
    </w:p>
    <w:p w14:paraId="70D4A4B5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rozpoznawanie mowy,</w:t>
      </w:r>
    </w:p>
    <w:p w14:paraId="28BF9F47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medycynę (diagnozowanie chorób na podstawie obrazowania medycznego),</w:t>
      </w:r>
    </w:p>
    <w:p w14:paraId="5A4E3371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przemysł (wykrywanie wad produkcyjnych, predykcyjne utrzymanie maszyn),</w:t>
      </w:r>
    </w:p>
    <w:p w14:paraId="05186F4A" w14:textId="77777777" w:rsidR="00E7529D" w:rsidRPr="004E7D2C" w:rsidRDefault="00E7529D" w:rsidP="00E7529D">
      <w:pPr>
        <w:numPr>
          <w:ilvl w:val="0"/>
          <w:numId w:val="5"/>
        </w:numPr>
      </w:pPr>
      <w:r w:rsidRPr="004E7D2C">
        <w:t>autonomiczne pojazdy oraz systemy rekomendacyjne.</w:t>
      </w:r>
    </w:p>
    <w:p w14:paraId="15721951" w14:textId="77777777" w:rsidR="00E7529D" w:rsidRPr="004E7D2C" w:rsidRDefault="00E7529D" w:rsidP="00E7529D">
      <w:r w:rsidRPr="004E7D2C">
        <w:t>W kontekście niniejszego projektu uczenie głębokie zostało zastosowane do klasyfikacji wad płyt stalowych – zadania typowego dla kontroli jakości w przemyśle metalurgicznym, gdzie tradycyjne metody inspekcji są czasochłonne i podatne na błędy ludzkie.</w:t>
      </w:r>
    </w:p>
    <w:p w14:paraId="5541EB14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 Matematyczne podstawy uczenia modelu głębokiego</w:t>
      </w:r>
    </w:p>
    <w:p w14:paraId="5CE43003" w14:textId="4A03D7B5" w:rsidR="00E7529D" w:rsidRPr="004E7D2C" w:rsidRDefault="00E7529D" w:rsidP="00E7529D">
      <w:r w:rsidRPr="004E7D2C">
        <w:t xml:space="preserve">Proces uczenia sieci głębokiej sprowadza się do optymalizacji parametrów </w:t>
      </w:r>
      <m:oMath>
        <m:r>
          <w:rPr>
            <w:rFonts w:ascii="Cambria Math" w:hAnsi="Cambria Math"/>
          </w:rPr>
          <m:t>θ</m:t>
        </m:r>
      </m:oMath>
      <w:r w:rsidRPr="004E7D2C">
        <w:t>(macierzy wag i wektorów biasów) w celu minimalizacji oczekiwanej wartości funkcji straty. Formalnie problem formułuje się jako:</w:t>
      </w:r>
    </w:p>
    <w:p w14:paraId="3912C373" w14:textId="79CA18EB" w:rsidR="00E7529D" w:rsidRPr="004E7D2C" w:rsidRDefault="00793EAC" w:rsidP="00E7529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θ</m:t>
              </m:r>
            </m:lim>
          </m:limLow>
          <m:r>
            <m:rPr>
              <m:nor/>
            </m:rPr>
            <m:t xml:space="preserve"> 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E</m:t>
              </m:r>
            </m:e>
            <m:sub>
              <m:r>
                <w:rPr>
                  <w:rFonts w:ascii="Cambria Math" w:hAnsi="Cambria Math"/>
                </w:rPr>
                <m:t>(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,y)∼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m:rPr>
                      <m:nor/>
                    </m:rPr>
                    <m:t>data</m:t>
                  </m:r>
                </m:sub>
              </m:sSub>
            </m:sub>
          </m:sSub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cr m:val="script"/>
                </m:rPr>
                <w:rPr>
                  <w:rFonts w:ascii="Cambria Math" w:hAnsi="Cambria Math"/>
                </w:rPr>
                <m:t>L(</m:t>
              </m:r>
              <m:r>
                <w:rPr>
                  <w:rFonts w:ascii="Cambria Math" w:hAnsi="Cambria Math"/>
                </w:rPr>
                <m:t>f(</m:t>
              </m:r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  <m:r>
                <w:rPr>
                  <w:rFonts w:ascii="Cambria Math" w:hAnsi="Cambria Math"/>
                </w:rPr>
                <m:t>;θ),y)</m:t>
              </m:r>
            </m:e>
          </m:d>
          <m:r>
            <m:rPr>
              <m:sty m:val="p"/>
            </m:rPr>
            <w:br/>
          </m:r>
        </m:oMath>
      </m:oMathPara>
    </w:p>
    <w:p w14:paraId="1FE0DCE2" w14:textId="512C9C92" w:rsidR="00E7529D" w:rsidRPr="004E7D2C" w:rsidRDefault="00E7529D" w:rsidP="00E7529D">
      <w:r w:rsidRPr="004E7D2C">
        <w:t xml:space="preserve">W praktyce, ponieważ nie znamy prawdziwego rozkładu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m:rPr>
                <m:nor/>
              </m:rPr>
              <m:t>data</m:t>
            </m:r>
          </m:sub>
        </m:sSub>
      </m:oMath>
      <w:r w:rsidRPr="004E7D2C">
        <w:t xml:space="preserve">, stosujemy empiryczną aproksymację na skończonym zbiorze treningowym o rozmiarze </w:t>
      </w:r>
      <m:oMath>
        <m:r>
          <w:rPr>
            <w:rFonts w:ascii="Cambria Math" w:hAnsi="Cambria Math"/>
          </w:rPr>
          <m:t>N</m:t>
        </m:r>
      </m:oMath>
      <w:r w:rsidRPr="004E7D2C">
        <w:t>:</w:t>
      </w:r>
    </w:p>
    <w:p w14:paraId="1086963B" w14:textId="0433174D" w:rsidR="00E7529D" w:rsidRPr="004E7D2C" w:rsidRDefault="00793EAC" w:rsidP="00E7529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θ</m:t>
              </m:r>
            </m:e>
            <m:sup>
              <m:r>
                <w:rPr>
                  <w:rFonts w:ascii="Cambria Math" w:hAnsi="Cambria Math"/>
                </w:rPr>
                <m:t>*</m:t>
              </m:r>
            </m:sup>
          </m:sSup>
          <m:r>
            <w:rPr>
              <w:rFonts w:ascii="Cambria Math" w:hAnsi="Cambria Math"/>
            </w:rPr>
            <m:t>≈</m:t>
          </m:r>
          <m:r>
            <m:rPr>
              <m:sty m:val="p"/>
            </m:rPr>
            <w:rPr>
              <w:rFonts w:ascii="Cambria Math" w:hAnsi="Cambria Math"/>
            </w:rPr>
            <m:t>arg</m:t>
          </m:r>
          <m:r>
            <w:rPr>
              <w:rFonts w:ascii="Cambria Math" w:hAnsi="Cambria Math"/>
            </w:rPr>
            <m:t>⁡</m:t>
          </m:r>
          <m:limLow>
            <m:limLowPr>
              <m:ctrlPr>
                <w:rPr>
                  <w:rFonts w:ascii="Cambria Math" w:hAnsi="Cambria Math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hAnsi="Cambria Math"/>
                </w:rPr>
                <m:t>min</m:t>
              </m:r>
              <m:r>
                <w:rPr>
                  <w:rFonts w:ascii="Cambria Math" w:hAnsi="Cambria Math"/>
                </w:rPr>
                <m:t>⁡</m:t>
              </m:r>
            </m:e>
            <m:lim>
              <m:r>
                <w:rPr>
                  <w:rFonts w:ascii="Cambria Math" w:hAnsi="Cambria Math"/>
                </w:rPr>
                <m:t>θ</m:t>
              </m:r>
            </m:lim>
          </m:limLow>
          <m:r>
            <m:rPr>
              <m:nor/>
            </m:rPr>
            <m:t xml:space="preserve"> 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cr m:val="script"/>
                </m:rPr>
                <w:rPr>
                  <w:rFonts w:ascii="Cambria Math" w:hAnsi="Cambria Math"/>
                </w:rPr>
                <m:t>L(</m:t>
              </m:r>
              <m:r>
                <w:rPr>
                  <w:rFonts w:ascii="Cambria Math" w:hAnsi="Cambria Math"/>
                </w:rPr>
                <m:t>f(</m:t>
              </m:r>
            </m:e>
          </m:nary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;θ),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163E1DE4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2.1 Architektura wielowarstwowego perceptronu (MLP) i propagacja w przód</w:t>
      </w:r>
    </w:p>
    <w:p w14:paraId="680D801A" w14:textId="391DC4EF" w:rsidR="00E7529D" w:rsidRPr="004E7D2C" w:rsidRDefault="00E7529D" w:rsidP="00E7529D">
      <w:r w:rsidRPr="004E7D2C">
        <w:t xml:space="preserve">W projekcie zastosowano wielowarstwowy perceptron składający się z trzech warstw liniowych (fully connected). Każda warstwa wykonuje przekształcenie liniowe, po którym następuje nieliniowa funkcja aktywacji. Dla warstwy </w:t>
      </w:r>
      <m:oMath>
        <m:r>
          <w:rPr>
            <w:rFonts w:ascii="Cambria Math" w:hAnsi="Cambria Math"/>
          </w:rPr>
          <m:t>l</m:t>
        </m:r>
      </m:oMath>
      <w:r w:rsidRPr="004E7D2C">
        <w:t>propagacja w przód definiowana jest następująco:</w:t>
      </w:r>
    </w:p>
    <w:p w14:paraId="68F86233" w14:textId="6465FCA5" w:rsidR="00E7529D" w:rsidRPr="004E7D2C" w:rsidRDefault="00793EAC" w:rsidP="00E7529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W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h</m:t>
              </m:r>
            </m:e>
            <m:sup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d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b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br/>
          </m:r>
        </m:oMath>
      </m:oMathPara>
    </w:p>
    <w:p w14:paraId="1BDC28EE" w14:textId="33DB8AD0" w:rsidR="00E7529D" w:rsidRPr="004E7D2C" w:rsidRDefault="00793EAC" w:rsidP="00E7529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h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σ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r>
            <w:rPr>
              <w:rFonts w:ascii="Cambria Math" w:hAnsi="Cambria Math"/>
            </w:rPr>
            <m:t>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z</m:t>
              </m:r>
            </m:e>
            <m:sup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l</m:t>
                  </m:r>
                </m:e>
              </m:d>
            </m:sup>
          </m:sSup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681AE33D" w14:textId="31E02349" w:rsidR="00E7529D" w:rsidRPr="004E7D2C" w:rsidRDefault="00E7529D" w:rsidP="00E7529D">
      <w:r w:rsidRPr="004E7D2C">
        <w:t xml:space="preserve">gdzie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h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0</m:t>
                </m:r>
              </m:e>
            </m:d>
          </m:sup>
        </m:sSup>
        <m:r>
          <w:rPr>
            <w:rFonts w:ascii="Cambria Math" w:hAnsi="Cambria Math"/>
          </w:rPr>
          <m:t>=</m:t>
        </m:r>
        <m:r>
          <m:rPr>
            <m:sty m:val="b"/>
          </m:rPr>
          <w:rPr>
            <w:rFonts w:ascii="Cambria Math" w:hAnsi="Cambria Math"/>
          </w:rPr>
          <m:t>x</m:t>
        </m:r>
      </m:oMath>
      <w:r w:rsidRPr="004E7D2C">
        <w:t xml:space="preserve">(wektor cech wejściowych o wymiarze 27),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W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</m:oMath>
      <w:r w:rsidRPr="004E7D2C">
        <w:t xml:space="preserve">jest macierzą wag,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b"/>
              </m:rPr>
              <w:rPr>
                <w:rFonts w:ascii="Cambria Math" w:hAnsi="Cambria Math"/>
              </w:rPr>
              <m:t>b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</m:oMath>
      <w:r w:rsidRPr="004E7D2C">
        <w:t xml:space="preserve">wektorem biasów, a 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σ</m:t>
            </m:r>
          </m:e>
          <m:sup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/>
                  </w:rPr>
                  <m:t>l</m:t>
                </m:r>
              </m:e>
            </m:d>
          </m:sup>
        </m:sSup>
      </m:oMath>
      <w:r w:rsidRPr="004E7D2C">
        <w:t xml:space="preserve">– funkcją aktywacji warstwy </w:t>
      </w:r>
      <m:oMath>
        <m:r>
          <w:rPr>
            <w:rFonts w:ascii="Cambria Math" w:hAnsi="Cambria Math"/>
          </w:rPr>
          <m:t>l</m:t>
        </m:r>
      </m:oMath>
      <w:r w:rsidRPr="004E7D2C">
        <w:t>.</w:t>
      </w:r>
    </w:p>
    <w:p w14:paraId="6A8C7E83" w14:textId="77777777" w:rsidR="00E7529D" w:rsidRPr="004E7D2C" w:rsidRDefault="00E7529D" w:rsidP="00E7529D">
      <w:r w:rsidRPr="004E7D2C">
        <w:t xml:space="preserve">W warstwach ukrytych zastosowano funkcję </w:t>
      </w:r>
      <w:r w:rsidRPr="004E7D2C">
        <w:rPr>
          <w:b/>
          <w:bCs/>
        </w:rPr>
        <w:t>ReLU</w:t>
      </w:r>
      <w:r w:rsidRPr="004E7D2C">
        <w:t xml:space="preserve"> (Rectified Linear Unit):</w:t>
      </w:r>
    </w:p>
    <w:p w14:paraId="2ADE6240" w14:textId="22D8E932" w:rsidR="00E7529D" w:rsidRPr="004E7D2C" w:rsidRDefault="00E7529D" w:rsidP="00E7529D">
      <m:oMathPara>
        <m:oMath>
          <m:r>
            <m:rPr>
              <m:nor/>
            </m:rPr>
            <m:t>ReLU</m:t>
          </m:r>
          <m:r>
            <w:rPr>
              <w:rFonts w:ascii="Cambria Math" w:hAnsi="Cambria Math"/>
            </w:rPr>
            <m:t>(z)=</m:t>
          </m:r>
          <m:r>
            <m:rPr>
              <m:sty m:val="p"/>
            </m:rPr>
            <w:rPr>
              <w:rFonts w:ascii="Cambria Math" w:hAnsi="Cambria Math"/>
            </w:rPr>
            <m:t>max</m:t>
          </m:r>
          <m:r>
            <w:rPr>
              <w:rFonts w:ascii="Cambria Math" w:hAnsi="Cambria Math"/>
            </w:rPr>
            <m:t>⁡(0,z)</m:t>
          </m:r>
          <m:r>
            <m:rPr>
              <m:sty m:val="p"/>
            </m:rPr>
            <w:br/>
          </m:r>
        </m:oMath>
      </m:oMathPara>
    </w:p>
    <w:p w14:paraId="306BF1FD" w14:textId="77777777" w:rsidR="00E7529D" w:rsidRPr="004E7D2C" w:rsidRDefault="00E7529D" w:rsidP="00E7529D">
      <w:r w:rsidRPr="004E7D2C">
        <w:t>Pochodna ReLU wynosi:</w:t>
      </w:r>
    </w:p>
    <w:p w14:paraId="382F4E5A" w14:textId="1C079614" w:rsidR="00E7529D" w:rsidRPr="004E7D2C" w:rsidRDefault="00793EAC" w:rsidP="00E7529D"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nor/>
                </m:rPr>
                <m:t>ReLU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(z)=</m:t>
          </m:r>
          <m:d>
            <m:dPr>
              <m:begChr m:val="{"/>
              <m:endChr m:val=""/>
              <m:ctrlPr>
                <w:rPr>
                  <w:rFonts w:ascii="Cambria Math" w:hAnsi="Cambria Math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2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</m:t>
                    </m:r>
                  </m:e>
                  <m:e>
                    <m:r>
                      <m:rPr>
                        <m:nor/>
                      </m:rPr>
                      <m:t xml:space="preserve">gdy </m:t>
                    </m:r>
                    <m:r>
                      <w:rPr>
                        <w:rFonts w:ascii="Cambria Math" w:hAnsi="Cambria Math"/>
                      </w:rPr>
                      <m:t>z&gt;0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  <m:e>
                    <m:r>
                      <m:rPr>
                        <m:nor/>
                      </m:rPr>
                      <m:t xml:space="preserve">gdy </m:t>
                    </m:r>
                    <m:r>
                      <w:rPr>
                        <w:rFonts w:ascii="Cambria Math" w:hAnsi="Cambria Math"/>
                      </w:rPr>
                      <m:t>z≤0</m:t>
                    </m:r>
                  </m:e>
                </m:mr>
              </m:m>
            </m:e>
          </m:d>
          <m:r>
            <m:rPr>
              <m:sty m:val="p"/>
            </m:rPr>
            <w:br/>
          </m:r>
        </m:oMath>
      </m:oMathPara>
    </w:p>
    <w:p w14:paraId="09DDAB90" w14:textId="77777777" w:rsidR="00E7529D" w:rsidRPr="004E7D2C" w:rsidRDefault="00E7529D" w:rsidP="00E7529D">
      <w:r w:rsidRPr="004E7D2C">
        <w:t>Funkcja ta wprowadza nieliniowość i w praktyce znacznie łagodzi problem zanikającego gradientu (vanishing gradient), który występował przy sigmoidalnych funkcjach aktywacji (Goodfellow et al., 2016).</w:t>
      </w:r>
    </w:p>
    <w:p w14:paraId="180B7720" w14:textId="77777777" w:rsidR="00E7529D" w:rsidRPr="004E7D2C" w:rsidRDefault="00E7529D" w:rsidP="00E7529D">
      <w:r w:rsidRPr="004E7D2C">
        <w:t xml:space="preserve">Na ostatniej warstwie (wyjściowej) zastosowano funkcję </w:t>
      </w:r>
      <w:r w:rsidRPr="004E7D2C">
        <w:rPr>
          <w:b/>
          <w:bCs/>
        </w:rPr>
        <w:t>Softmax</w:t>
      </w:r>
      <w:r w:rsidRPr="004E7D2C">
        <w:t>, przekształcającą wektor 7 logitów w rozkład prawdopodobieństw:</w:t>
      </w:r>
    </w:p>
    <w:p w14:paraId="0AE5C8DD" w14:textId="4FD03B45" w:rsidR="00E7529D" w:rsidRPr="00E05A83" w:rsidRDefault="00E7529D" w:rsidP="00E7529D">
      <w:pPr>
        <w:rPr>
          <w:lang w:val="en-US"/>
        </w:rPr>
      </w:pPr>
      <w:proofErr w:type="spellStart"/>
      <m:oMathPara>
        <m:oMath>
          <m:r>
            <m:rPr>
              <m:nor/>
            </m:rPr>
            <w:rPr>
              <w:lang w:val="en-US"/>
            </w:rPr>
            <m:t>Softmax</m:t>
          </m:r>
          <w:proofErr w:type="spellEnd"/>
          <m:r>
            <w:rPr>
              <w:rFonts w:ascii="Cambria Math" w:hAnsi="Cambria Math"/>
              <w:lang w:val="en-US"/>
            </w:rPr>
            <m:t>(</m:t>
          </m:r>
          <m:r>
            <m:rPr>
              <m:sty m:val="b"/>
            </m:rPr>
            <w:rPr>
              <w:rFonts w:ascii="Cambria Math" w:hAnsi="Cambria Math"/>
            </w:rPr>
            <m:t>z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)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exp</m:t>
              </m:r>
              <m:r>
                <w:rPr>
                  <w:rFonts w:ascii="Cambria Math" w:hAnsi="Cambria Math"/>
                  <w:lang w:val="en-US"/>
                </w:rPr>
                <m:t>⁡(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num>
            <m:den>
              <m:nary>
                <m:naryPr>
                  <m:chr m:val="∑"/>
                  <m:limLoc m:val="undOvr"/>
                  <m:grow m:val="1"/>
                  <m:ctrlPr>
                    <w:rPr>
                      <w:rFonts w:ascii="Cambria Math" w:hAnsi="Cambria Math"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j</m:t>
                  </m:r>
                  <m:r>
                    <w:rPr>
                      <w:rFonts w:ascii="Cambria Math" w:hAnsi="Cambria Math"/>
                      <w:lang w:val="en-US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7</m:t>
                  </m:r>
                </m:sup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exp</m:t>
                  </m:r>
                  <m:r>
                    <w:rPr>
                      <w:rFonts w:ascii="Cambria Math" w:hAnsi="Cambria Math"/>
                      <w:lang w:val="en-US"/>
                    </w:rPr>
                    <m:t>⁡(</m:t>
                  </m:r>
                </m:e>
              </m:nary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)</m:t>
              </m:r>
            </m:den>
          </m:f>
          <m:r>
            <w:rPr>
              <w:rFonts w:ascii="Cambria Math" w:hAnsi="Cambria Math"/>
              <w:lang w:val="en-US"/>
            </w:rPr>
            <m:t>,</m:t>
          </m:r>
          <m:r>
            <w:rPr>
              <w:rFonts w:ascii="Cambria Math" w:hAnsi="Cambria Math"/>
            </w:rPr>
            <m:t>k</m:t>
          </m:r>
          <m:r>
            <w:rPr>
              <w:rFonts w:ascii="Cambria Math" w:hAnsi="Cambria Math"/>
              <w:lang w:val="en-US"/>
            </w:rPr>
            <m:t>=1,…,7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2C578FA4" w14:textId="56A9CC7C" w:rsidR="00E7529D" w:rsidRPr="004E7D2C" w:rsidRDefault="00E7529D" w:rsidP="00E7529D">
      <w:r w:rsidRPr="004E7D2C">
        <w:t xml:space="preserve">Dzięki temu </w:t>
      </w:r>
      <m:oMath>
        <m:nary>
          <m:naryPr>
            <m:chr m:val="∑"/>
            <m:limLoc m:val="subSup"/>
            <m:grow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hAnsi="Cambria Math"/>
              </w:rPr>
              <m:t>k=1</m:t>
            </m:r>
          </m:sub>
          <m:sup>
            <m:r>
              <w:rPr>
                <w:rFonts w:ascii="Cambria Math" w:hAnsi="Cambria Math"/>
              </w:rPr>
              <m:t>7</m:t>
            </m:r>
          </m:sup>
          <m:e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acc>
                  <m:accPr>
                    <m:ctrlPr>
                      <w:rPr>
                        <w:rFonts w:ascii="Cambria Math" w:hAnsi="Cambria Math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y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k</m:t>
                </m:r>
              </m:sub>
            </m:sSub>
          </m:e>
        </m:nary>
        <m:r>
          <w:rPr>
            <w:rFonts w:ascii="Cambria Math" w:hAnsi="Cambria Math"/>
          </w:rPr>
          <m:t>=1</m:t>
        </m:r>
      </m:oMath>
      <w:r w:rsidRPr="004E7D2C">
        <w:t xml:space="preserve">, 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acc>
              <m:accPr>
                <m:ctrlPr>
                  <w:rPr>
                    <w:rFonts w:ascii="Cambria Math" w:hAnsi="Cambria Math"/>
                  </w:rPr>
                </m:ctrlPr>
              </m:accPr>
              <m:e>
                <m:r>
                  <w:rPr>
                    <w:rFonts w:ascii="Cambria Math" w:hAnsi="Cambria Math"/>
                  </w:rPr>
                  <m:t>y</m:t>
                </m:r>
              </m:e>
            </m:acc>
          </m:e>
          <m:sub>
            <m:r>
              <w:rPr>
                <w:rFonts w:ascii="Cambria Math" w:hAnsi="Cambria Math"/>
              </w:rPr>
              <m:t>k</m:t>
            </m:r>
          </m:sub>
        </m:sSub>
      </m:oMath>
      <w:r w:rsidRPr="004E7D2C">
        <w:t xml:space="preserve">interpretujemy jako estymowane prawdopodobieństwo przynależności próbki do klasy </w:t>
      </w:r>
      <m:oMath>
        <m:r>
          <w:rPr>
            <w:rFonts w:ascii="Cambria Math" w:hAnsi="Cambria Math"/>
          </w:rPr>
          <m:t>k</m:t>
        </m:r>
      </m:oMath>
      <w:r w:rsidRPr="004E7D2C">
        <w:t>.</w:t>
      </w:r>
    </w:p>
    <w:p w14:paraId="362E59C0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2.2 Funkcja straty – entropia krzyżowa</w:t>
      </w:r>
    </w:p>
    <w:p w14:paraId="2B35E60E" w14:textId="77777777" w:rsidR="00E7529D" w:rsidRPr="004E7D2C" w:rsidRDefault="00E7529D" w:rsidP="00E7529D">
      <w:r w:rsidRPr="004E7D2C">
        <w:t xml:space="preserve">W zadaniu klasyfikacji wielo-klasowej standardową funkcją straty jest </w:t>
      </w:r>
      <w:r w:rsidRPr="004E7D2C">
        <w:rPr>
          <w:b/>
          <w:bCs/>
        </w:rPr>
        <w:t>entropia krzyżowa</w:t>
      </w:r>
      <w:r w:rsidRPr="004E7D2C">
        <w:t xml:space="preserve"> (cross-entropy). Dla etykiet w postaci one-hot oraz predykcji po softmax definiuje się ją jako:</w:t>
      </w:r>
    </w:p>
    <w:p w14:paraId="4DC76F9E" w14:textId="292A46C4" w:rsidR="00E7529D" w:rsidRPr="004E7D2C" w:rsidRDefault="00E7529D" w:rsidP="00E7529D">
      <m:oMathPara>
        <m:oMath>
          <m:r>
            <m:rPr>
              <m:scr m:val="script"/>
            </m:rPr>
            <w:rPr>
              <w:rFonts w:ascii="Cambria Math" w:hAnsi="Cambria Math"/>
            </w:rPr>
            <m:t>L(</m:t>
          </m:r>
          <m:r>
            <m:rPr>
              <m:sty m:val="b"/>
            </m:rPr>
            <w:rPr>
              <w:rFonts w:ascii="Cambria Math" w:hAnsi="Cambria Math"/>
            </w:rPr>
            <m:t>y</m:t>
          </m:r>
          <m:r>
            <w:rPr>
              <w:rFonts w:ascii="Cambria Math" w:hAnsi="Cambria Math"/>
            </w:rPr>
            <m:t>,</m:t>
          </m:r>
          <m:acc>
            <m:accPr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sty m:val="b"/>
                </m:rPr>
                <w:rPr>
                  <w:rFonts w:ascii="Cambria Math" w:hAnsi="Cambria Math"/>
                </w:rPr>
                <m:t>y</m:t>
              </m:r>
            </m:e>
          </m:acc>
          <m:r>
            <w:rPr>
              <w:rFonts w:ascii="Cambria Math" w:hAnsi="Cambria Math"/>
            </w:rPr>
            <m:t>)=-</m:t>
          </m:r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k=1</m:t>
              </m:r>
            </m:sub>
            <m:sup>
              <m:r>
                <w:rPr>
                  <w:rFonts w:ascii="Cambria Math" w:hAnsi="Cambria Math"/>
                </w:rPr>
                <m:t>7</m:t>
              </m:r>
            </m:sup>
            <m:e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7711D3A4" w14:textId="77777777" w:rsidR="00E7529D" w:rsidRPr="004E7D2C" w:rsidRDefault="00E7529D" w:rsidP="00E7529D">
      <w:r w:rsidRPr="004E7D2C">
        <w:t>Gdy etykiety są podane jako indeksy klas (jak w implementacji), wzór upraszcza się do:</w:t>
      </w:r>
    </w:p>
    <w:p w14:paraId="01F13338" w14:textId="2FE68825" w:rsidR="00E7529D" w:rsidRPr="004E7D2C" w:rsidRDefault="00E7529D" w:rsidP="00E7529D">
      <m:oMathPara>
        <m:oMath>
          <m:r>
            <m:rPr>
              <m:scr m:val="script"/>
            </m:rPr>
            <w:rPr>
              <w:rFonts w:ascii="Cambria Math" w:hAnsi="Cambria Math"/>
            </w:rPr>
            <m:t>L=-</m:t>
          </m:r>
          <m:r>
            <m:rPr>
              <m:sty m:val="p"/>
            </m:rPr>
            <w:rPr>
              <w:rFonts w:ascii="Cambria Math" w:hAnsi="Cambria Math"/>
            </w:rPr>
            <m:t>log</m:t>
          </m:r>
          <m:r>
            <w:rPr>
              <w:rFonts w:ascii="Cambria Math" w:hAnsi="Cambria Math"/>
            </w:rPr>
            <m:t>⁡(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y</m:t>
              </m:r>
            </m:sub>
          </m:sSub>
          <m:r>
            <w:rPr>
              <w:rFonts w:ascii="Cambria Math" w:hAnsi="Cambria Math"/>
            </w:rPr>
            <m:t>)</m:t>
          </m:r>
          <m:r>
            <m:rPr>
              <m:sty m:val="p"/>
            </m:rPr>
            <w:br/>
          </m:r>
        </m:oMath>
      </m:oMathPara>
    </w:p>
    <w:p w14:paraId="1D46898B" w14:textId="6E504150" w:rsidR="00E7529D" w:rsidRPr="004E7D2C" w:rsidRDefault="00E7529D" w:rsidP="00E7529D">
      <w:r w:rsidRPr="004E7D2C">
        <w:t xml:space="preserve">gdzie </w:t>
      </w:r>
      <m:oMath>
        <m:r>
          <w:rPr>
            <w:rFonts w:ascii="Cambria Math" w:hAnsi="Cambria Math"/>
          </w:rPr>
          <m:t>y</m:t>
        </m:r>
      </m:oMath>
      <w:r w:rsidRPr="004E7D2C">
        <w:t>jest indeksem poprawnej klasy.</w:t>
      </w:r>
    </w:p>
    <w:p w14:paraId="361754B1" w14:textId="77777777" w:rsidR="00E7529D" w:rsidRPr="004E7D2C" w:rsidRDefault="00E7529D" w:rsidP="00E7529D">
      <w:r w:rsidRPr="004E7D2C">
        <w:t>Entropia krzyżowa wynika bezpośrednio z maksymalizacji log-likelihoodu w modelu probabilistycznym. Łączenie softmax z cross-entropy daje szczególnie prosty gradient względem logitów:</w:t>
      </w:r>
    </w:p>
    <w:p w14:paraId="3818E7D0" w14:textId="37B06C08" w:rsidR="00E7529D" w:rsidRPr="004E7D2C" w:rsidRDefault="00793EAC" w:rsidP="00E7529D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</m:den>
          </m:f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k</m:t>
              </m:r>
            </m:sub>
          </m:sSub>
          <m:r>
            <m:rPr>
              <m:sty m:val="p"/>
            </m:rPr>
            <w:br/>
          </m:r>
        </m:oMath>
      </m:oMathPara>
    </w:p>
    <w:p w14:paraId="2E81E46A" w14:textId="77777777" w:rsidR="00E7529D" w:rsidRPr="004E7D2C" w:rsidRDefault="00E7529D" w:rsidP="00E7529D">
      <w:r w:rsidRPr="004E7D2C">
        <w:t>co znacznie ułatwia obliczenia podczas propagacji wstecznej (Goodfellow et al., 2016).</w:t>
      </w:r>
    </w:p>
    <w:p w14:paraId="482485C8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2.3 Propagacja wsteczna – backpropagation</w:t>
      </w:r>
    </w:p>
    <w:p w14:paraId="3C2D2A3D" w14:textId="77777777" w:rsidR="00E7529D" w:rsidRPr="004E7D2C" w:rsidRDefault="00E7529D" w:rsidP="00E7529D">
      <w:r w:rsidRPr="004E7D2C">
        <w:t xml:space="preserve">Mechanizmem umożliwiającym efektywne uczenie wielowarstwowych sieci jest algorytm </w:t>
      </w:r>
      <w:r w:rsidRPr="004E7D2C">
        <w:rPr>
          <w:b/>
          <w:bCs/>
        </w:rPr>
        <w:t>propagacji wstecznej błędu</w:t>
      </w:r>
      <w:r w:rsidRPr="004E7D2C">
        <w:t xml:space="preserve"> (backpropagation) (Rumelhart et al., 1986). Jest to zastosowanie reguły łańcuchowej rachunku różniczkowego do całej kompozycji funkcji sieci.</w:t>
      </w:r>
    </w:p>
    <w:p w14:paraId="2BBA452C" w14:textId="0E616632" w:rsidR="00E7529D" w:rsidRPr="004E7D2C" w:rsidRDefault="00E7529D" w:rsidP="00E7529D">
      <w:r w:rsidRPr="004E7D2C">
        <w:t xml:space="preserve">Dla uproszczenia rozważmy gradient funkcji straty względem wag warstwy </w:t>
      </w:r>
      <m:oMath>
        <m:r>
          <w:rPr>
            <w:rFonts w:ascii="Cambria Math" w:hAnsi="Cambria Math"/>
          </w:rPr>
          <m:t>l</m:t>
        </m:r>
      </m:oMath>
      <w:r w:rsidRPr="004E7D2C">
        <w:t>:</w:t>
      </w:r>
    </w:p>
    <w:p w14:paraId="23FC68C0" w14:textId="6A3AC4A6" w:rsidR="00E7529D" w:rsidRPr="004E7D2C" w:rsidRDefault="00793EAC" w:rsidP="00E7529D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</m:d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∂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z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</m:d>
                        </m:sup>
                      </m:sSup>
                    </m:den>
                  </m:f>
                </m:e>
              </m:d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w:rPr>
              <w:rFonts w:ascii="Cambria Math" w:hAnsi="Cambria Math"/>
            </w:rPr>
            <m:t>⋅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m:rPr>
                  <m:sty m:val="b"/>
                </m:rPr>
                <w:rPr>
                  <w:rFonts w:ascii="Cambria Math" w:hAnsi="Cambria Math"/>
                </w:rPr>
                <m:t>h</m:t>
              </m:r>
            </m:e>
            <m:sup>
              <m:r>
                <w:rPr>
                  <w:rFonts w:ascii="Cambria Math" w:hAnsi="Cambria Math"/>
                </w:rPr>
                <m:t>(l-1)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⊤</m:t>
              </m:r>
            </m:sup>
          </m:sSup>
          <m:r>
            <m:rPr>
              <m:sty m:val="p"/>
            </m:rPr>
            <w:br/>
          </m:r>
        </m:oMath>
      </m:oMathPara>
    </w:p>
    <w:p w14:paraId="254B5755" w14:textId="77777777" w:rsidR="00E7529D" w:rsidRPr="004E7D2C" w:rsidRDefault="00E7529D" w:rsidP="00E7529D">
      <w:r w:rsidRPr="004E7D2C">
        <w:t>Gradient względem biasów ma postać:</w:t>
      </w:r>
    </w:p>
    <w:p w14:paraId="56621997" w14:textId="105E5A72" w:rsidR="00E7529D" w:rsidRPr="004E7D2C" w:rsidRDefault="00793EAC" w:rsidP="00E7529D"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r>
                <m:rPr>
                  <m:scr m:val="script"/>
                </m:rPr>
                <w:rPr>
                  <w:rFonts w:ascii="Cambria Math" w:hAnsi="Cambria Math"/>
                </w:rPr>
                <m:t>L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den>
          </m:f>
          <m: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h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l</m:t>
                      </m:r>
                    </m:e>
                  </m:d>
                </m:sup>
              </m:sSup>
            </m:den>
          </m:f>
          <m:r>
            <m:rPr>
              <m:sty m:val="p"/>
            </m:rPr>
            <w:br/>
          </m:r>
        </m:oMath>
      </m:oMathPara>
    </w:p>
    <w:p w14:paraId="0C7C9B29" w14:textId="77777777" w:rsidR="00E7529D" w:rsidRPr="004E7D2C" w:rsidRDefault="00E7529D" w:rsidP="00E7529D">
      <w:r w:rsidRPr="004E7D2C">
        <w:t>Obliczenia gradientów wykonuje się rekurencyjnie od warstwy wyjściowej do wejściowej, wykorzystując przechowywane aktywacje z propagacji w przód. Dzięki temu czas obliczeń jest liniowy względem liczby parametrów, co czyni uczenie głębokich sieci praktycznym.</w:t>
      </w:r>
    </w:p>
    <w:p w14:paraId="23593D8D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2.4 Algorytm optymalizacji – Adam</w:t>
      </w:r>
    </w:p>
    <w:p w14:paraId="319B12E8" w14:textId="77777777" w:rsidR="00E7529D" w:rsidRPr="004E7D2C" w:rsidRDefault="00E7529D" w:rsidP="00E7529D">
      <w:r w:rsidRPr="004E7D2C">
        <w:t xml:space="preserve">Gradienty wskazują kierunek spadku funkcji straty. W projekcie do aktualizacji parametrów wykorzystano algorytm </w:t>
      </w:r>
      <w:r w:rsidRPr="004E7D2C">
        <w:rPr>
          <w:b/>
          <w:bCs/>
        </w:rPr>
        <w:t>Adam</w:t>
      </w:r>
      <w:r w:rsidRPr="004E7D2C">
        <w:t xml:space="preserve"> (Kingma &amp; Ba, 2014). Jest to metoda adaptacyjna, która łączy momentum z adaptacyjnym skalowaniem współczynnika uczenia dla każdego parametru.</w:t>
      </w:r>
    </w:p>
    <w:p w14:paraId="2531091A" w14:textId="77777777" w:rsidR="00E7529D" w:rsidRPr="004E7D2C" w:rsidRDefault="00E7529D" w:rsidP="00E7529D">
      <w:r w:rsidRPr="004E7D2C">
        <w:t>Algorytm utrzymuje dwa momenty gradientu:</w:t>
      </w:r>
    </w:p>
    <w:p w14:paraId="6536F479" w14:textId="77777777" w:rsidR="00E7529D" w:rsidRPr="004E7D2C" w:rsidRDefault="00E7529D" w:rsidP="00E7529D">
      <w:pPr>
        <w:numPr>
          <w:ilvl w:val="0"/>
          <w:numId w:val="6"/>
        </w:numPr>
      </w:pPr>
      <w:r w:rsidRPr="004E7D2C">
        <w:t>pierwszy moment (momentum):</w:t>
      </w:r>
    </w:p>
    <w:p w14:paraId="084DB17C" w14:textId="77926C1E" w:rsidR="00E7529D" w:rsidRPr="004E7D2C" w:rsidRDefault="00793EAC" w:rsidP="00E7529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)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m:rPr>
              <m:sty m:val="p"/>
            </m:rPr>
            <w:br/>
          </m:r>
        </m:oMath>
      </m:oMathPara>
    </w:p>
    <w:p w14:paraId="279E8843" w14:textId="77777777" w:rsidR="00E7529D" w:rsidRPr="004E7D2C" w:rsidRDefault="00E7529D" w:rsidP="00E7529D">
      <w:pPr>
        <w:numPr>
          <w:ilvl w:val="0"/>
          <w:numId w:val="7"/>
        </w:numPr>
      </w:pPr>
      <w:r w:rsidRPr="004E7D2C">
        <w:t>drugi moment (niecentrowana wariancja):</w:t>
      </w:r>
    </w:p>
    <w:p w14:paraId="07DE3E3F" w14:textId="37BC8850" w:rsidR="00E7529D" w:rsidRPr="004E7D2C" w:rsidRDefault="00793EAC" w:rsidP="00E7529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m:rPr>
                  <m:sty m:val="b"/>
                </m:rP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+(1-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)</m:t>
          </m:r>
          <m:sSubSup>
            <m:sSubSupPr>
              <m:ctrlPr>
                <w:rPr>
                  <w:rFonts w:ascii="Cambria Math" w:hAnsi="Cambria Math"/>
                </w:rPr>
              </m:ctrlPr>
            </m:sSubSupPr>
            <m:e>
              <m:r>
                <m:rPr>
                  <m:sty m:val="b"/>
                </m:rP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m:rPr>
              <m:sty m:val="p"/>
            </m:rPr>
            <w:br/>
          </m:r>
        </m:oMath>
      </m:oMathPara>
    </w:p>
    <w:p w14:paraId="7406AA6F" w14:textId="77777777" w:rsidR="00E7529D" w:rsidRPr="004E7D2C" w:rsidRDefault="00E7529D" w:rsidP="00E7529D">
      <w:r w:rsidRPr="004E7D2C">
        <w:t>Następnie stosuje korektę biasu wynikającą z zerowej inicjalizacji:</w:t>
      </w:r>
    </w:p>
    <w:p w14:paraId="3EC56354" w14:textId="53919E66" w:rsidR="00E7529D" w:rsidRPr="004E7D2C" w:rsidRDefault="00793EAC" w:rsidP="00E7529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m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</w:rPr>
                  </m:ctrlPr>
                </m:acc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v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m:rPr>
                      <m:sty m:val="b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1-</m:t>
              </m:r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bSup>
            </m:den>
          </m:f>
          <m:r>
            <m:rPr>
              <m:sty m:val="p"/>
            </m:rPr>
            <w:br/>
          </m:r>
        </m:oMath>
      </m:oMathPara>
    </w:p>
    <w:p w14:paraId="358062DC" w14:textId="77777777" w:rsidR="00E7529D" w:rsidRPr="004E7D2C" w:rsidRDefault="00E7529D" w:rsidP="00E7529D">
      <w:r w:rsidRPr="004E7D2C">
        <w:t>Ostateczna reguła aktualizacji parametrów ma postać:</w:t>
      </w:r>
    </w:p>
    <w:p w14:paraId="195D677E" w14:textId="286232C8" w:rsidR="00E7529D" w:rsidRPr="004E7D2C" w:rsidRDefault="00793EAC" w:rsidP="00E7529D"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-η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m:rPr>
                          <m:sty m:val="b"/>
                        </m:rPr>
                        <w:rPr>
                          <w:rFonts w:ascii="Cambria Math" w:hAnsi="Cambria Math"/>
                        </w:rPr>
                        <m:t>m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</w:rPr>
                  </m:ctrlPr>
                </m:radPr>
                <m:deg/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hAnsi="Cambria Math"/>
                            </w:rPr>
                          </m:ctrlPr>
                        </m:accPr>
                        <m:e>
                          <m:r>
                            <m:rPr>
                              <m:sty m:val="b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acc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rad>
              <m:r>
                <w:rPr>
                  <w:rFonts w:ascii="Cambria Math" w:hAnsi="Cambria Math"/>
                </w:rPr>
                <m:t>+ε</m:t>
              </m:r>
            </m:den>
          </m:f>
          <m:r>
            <m:rPr>
              <m:sty m:val="p"/>
            </m:rPr>
            <w:br/>
          </m:r>
        </m:oMath>
      </m:oMathPara>
    </w:p>
    <w:p w14:paraId="2F5810E2" w14:textId="250583DF" w:rsidR="00E7529D" w:rsidRPr="004E7D2C" w:rsidRDefault="00E7529D" w:rsidP="00E7529D">
      <w:r w:rsidRPr="004E7D2C">
        <w:t xml:space="preserve">gdzie </w:t>
      </w:r>
      <m:oMath>
        <m:r>
          <w:rPr>
            <w:rFonts w:ascii="Cambria Math" w:hAnsi="Cambria Math"/>
          </w:rPr>
          <m:t>η</m:t>
        </m:r>
      </m:oMath>
      <w:r w:rsidRPr="004E7D2C">
        <w:t xml:space="preserve">jest współczynnikiem uczenia,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=0.9</m:t>
        </m:r>
      </m:oMath>
      <w:r w:rsidRPr="004E7D2C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=0.999</m:t>
        </m:r>
      </m:oMath>
      <w:r w:rsidRPr="004E7D2C">
        <w:t xml:space="preserve">, </w:t>
      </w:r>
      <m:oMath>
        <m:r>
          <w:rPr>
            <w:rFonts w:ascii="Cambria Math" w:hAnsi="Cambria Math"/>
          </w:rPr>
          <m:t>ε=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-8</m:t>
            </m:r>
          </m:sup>
        </m:sSup>
      </m:oMath>
      <w:r w:rsidRPr="004E7D2C">
        <w:t xml:space="preserve">, a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b"/>
              </m:rP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m:rPr>
            <m:scr m:val="script"/>
          </m:rPr>
          <w:rPr>
            <w:rFonts w:ascii="Cambria Math" w:hAnsi="Cambria Math"/>
          </w:rPr>
          <m:t>L</m:t>
        </m:r>
      </m:oMath>
      <w:r w:rsidRPr="004E7D2C">
        <w:t>.</w:t>
      </w:r>
    </w:p>
    <w:p w14:paraId="608C8C36" w14:textId="77777777" w:rsidR="00E7529D" w:rsidRPr="004E7D2C" w:rsidRDefault="00E7529D" w:rsidP="00E7529D">
      <w:r w:rsidRPr="004E7D2C">
        <w:t>Adam jest szczególnie skuteczny w problemach o szumnych gradientach i różnych skalach parametrów, co jest typowe dla uczenia sieci na małych batchach.</w:t>
      </w:r>
    </w:p>
    <w:p w14:paraId="0AEBD2DB" w14:textId="77777777" w:rsidR="00E7529D" w:rsidRPr="004E7D2C" w:rsidRDefault="00E7529D" w:rsidP="00E7529D">
      <w:pPr>
        <w:rPr>
          <w:b/>
          <w:bCs/>
        </w:rPr>
      </w:pPr>
      <w:r w:rsidRPr="004E7D2C">
        <w:rPr>
          <w:b/>
          <w:bCs/>
        </w:rPr>
        <w:t>2.5 Cykl uczenia i ewaluacja</w:t>
      </w:r>
    </w:p>
    <w:p w14:paraId="1404C9DE" w14:textId="77777777" w:rsidR="00E7529D" w:rsidRPr="004E7D2C" w:rsidRDefault="00E7529D" w:rsidP="00E7529D">
      <w:r w:rsidRPr="004E7D2C">
        <w:t>Uczenie realizowane jest w epokach. W każdej epoce dane treningowe są dzielone na batche. Dla każdego batcha wykonuje się:</w:t>
      </w:r>
    </w:p>
    <w:p w14:paraId="16C106DE" w14:textId="77777777" w:rsidR="00E7529D" w:rsidRPr="004E7D2C" w:rsidRDefault="00E7529D" w:rsidP="00E7529D">
      <w:pPr>
        <w:numPr>
          <w:ilvl w:val="0"/>
          <w:numId w:val="8"/>
        </w:numPr>
      </w:pPr>
      <w:r w:rsidRPr="004E7D2C">
        <w:t>propagację w przód (obliczenie predykcji i straty),</w:t>
      </w:r>
    </w:p>
    <w:p w14:paraId="0631357D" w14:textId="77777777" w:rsidR="00E7529D" w:rsidRPr="004E7D2C" w:rsidRDefault="00E7529D" w:rsidP="00E7529D">
      <w:pPr>
        <w:numPr>
          <w:ilvl w:val="0"/>
          <w:numId w:val="8"/>
        </w:numPr>
      </w:pPr>
      <w:r w:rsidRPr="004E7D2C">
        <w:t>propagację wsteczną (obliczenie gradientów),</w:t>
      </w:r>
    </w:p>
    <w:p w14:paraId="28DDB0C9" w14:textId="77777777" w:rsidR="00E7529D" w:rsidRPr="004E7D2C" w:rsidRDefault="00E7529D" w:rsidP="00E7529D">
      <w:pPr>
        <w:numPr>
          <w:ilvl w:val="0"/>
          <w:numId w:val="8"/>
        </w:numPr>
      </w:pPr>
      <w:r w:rsidRPr="004E7D2C">
        <w:t>aktualizację parametrów za pomocą algorytmu Adam.</w:t>
      </w:r>
    </w:p>
    <w:p w14:paraId="5BD3E795" w14:textId="77777777" w:rsidR="00E7529D" w:rsidRPr="004E7D2C" w:rsidRDefault="00E7529D" w:rsidP="00E7529D">
      <w:r w:rsidRPr="004E7D2C">
        <w:t>Dokładność modelu mierzy się jako:</w:t>
      </w:r>
    </w:p>
    <w:p w14:paraId="6B6833CA" w14:textId="6D7D8025" w:rsidR="00E7529D" w:rsidRPr="00E05A83" w:rsidRDefault="00E7529D" w:rsidP="00E7529D">
      <w:pPr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Accuracy</m:t>
          </m:r>
          <m:r>
            <w:rPr>
              <w:rFonts w:ascii="Cambria Math" w:hAnsi="Cambria Math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limLoc m:val="undOvr"/>
              <m:grow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</m:t>
              </m:r>
              <m:r>
                <w:rPr>
                  <w:rFonts w:ascii="Cambria Math" w:hAnsi="Cambria Math"/>
                  <w:lang w:val="en-US"/>
                </w:rPr>
                <m:t>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r>
                <m:rPr>
                  <m:scr m:val="double-struck"/>
                  <m:sty m:val="p"/>
                </m:rPr>
                <w:rPr>
                  <w:rFonts w:ascii="Cambria Math" w:hAnsi="Cambria Math"/>
                </w:rPr>
                <m:t>I</m:t>
              </m:r>
            </m:e>
          </m:nary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arg</m:t>
              </m:r>
              <m:r>
                <w:rPr>
                  <w:rFonts w:ascii="Cambria Math" w:hAnsi="Cambria Math"/>
                  <w:lang w:val="en-US"/>
                </w:rPr>
                <m:t>⁡</m:t>
              </m:r>
              <m:limLow>
                <m:limLowPr>
                  <m:ctrlPr>
                    <w:rPr>
                      <w:rFonts w:ascii="Cambria Math" w:hAnsi="Cambria Math"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lang w:val="en-US"/>
                    </w:rPr>
                    <m:t>max</m:t>
                  </m:r>
                  <m:r>
                    <w:rPr>
                      <w:rFonts w:ascii="Cambria Math" w:hAnsi="Cambria Math"/>
                      <w:lang w:val="en-US"/>
                    </w:rPr>
                    <m:t>⁡</m:t>
                  </m:r>
                </m:e>
                <m:lim>
                  <m:r>
                    <w:rPr>
                      <w:rFonts w:ascii="Cambria Math" w:hAnsi="Cambria Math"/>
                    </w:rPr>
                    <m:t>k</m:t>
                  </m:r>
                </m:lim>
              </m:limLow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acc>
                    <m:accPr>
                      <m:ctrlPr>
                        <w:rPr>
                          <w:rFonts w:ascii="Cambria Math" w:hAnsi="Cambria Math"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  <w:lang w:val="en-US"/>
                    </w:rPr>
                    <m:t>,</m:t>
                  </m:r>
                  <m:r>
                    <w:rPr>
                      <w:rFonts w:ascii="Cambria Math" w:hAnsi="Cambria Math"/>
                    </w:rPr>
                    <m:t>k</m:t>
                  </m:r>
                </m:sub>
              </m:sSub>
              <m:r>
                <w:rPr>
                  <w:rFonts w:ascii="Cambria Math" w:hAnsi="Cambria Math"/>
                  <w:lang w:val="en-US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e>
          </m:d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1797C578" w14:textId="77777777" w:rsidR="00E7529D" w:rsidRPr="004E7D2C" w:rsidRDefault="00E7529D" w:rsidP="00E7529D">
      <w:r w:rsidRPr="004E7D2C">
        <w:t>Różnica między dokładnością na zbiorze treningowym a testowym wynika z generalizacji modelu. Nieznaczna przewaga dokładności treningowej (rzędu 1–4 punktów procentowych) jest oczekiwana i świadczy o prawidłowym uczeniu bez silnego przeuczenia.</w:t>
      </w:r>
    </w:p>
    <w:p w14:paraId="32D258C9" w14:textId="77777777" w:rsidR="00E54595" w:rsidRPr="00E54595" w:rsidRDefault="00E54595" w:rsidP="00E54595"/>
    <w:sectPr w:rsidR="00E54595" w:rsidRPr="00E54595">
      <w:headerReference w:type="default" r:id="rId10"/>
      <w:footerReference w:type="default" r:id="rId11"/>
      <w:pgSz w:w="11906" w:h="16838"/>
      <w:pgMar w:top="1134" w:right="1134" w:bottom="1134" w:left="1134" w:header="709" w:footer="85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65C24" w14:textId="77777777" w:rsidR="008A1B99" w:rsidRPr="004E7D2C" w:rsidRDefault="008A1B99">
      <w:r w:rsidRPr="004E7D2C">
        <w:separator/>
      </w:r>
    </w:p>
  </w:endnote>
  <w:endnote w:type="continuationSeparator" w:id="0">
    <w:p w14:paraId="1333B94A" w14:textId="77777777" w:rsidR="008A1B99" w:rsidRPr="004E7D2C" w:rsidRDefault="008A1B99">
      <w:r w:rsidRPr="004E7D2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Helvetica Neue">
    <w:altName w:val="Arial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2D8B6" w14:textId="77777777" w:rsidR="004D3F21" w:rsidRPr="004E7D2C" w:rsidRDefault="004D3F21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875943" w14:textId="77777777" w:rsidR="008A1B99" w:rsidRPr="004E7D2C" w:rsidRDefault="008A1B99">
      <w:r w:rsidRPr="004E7D2C">
        <w:separator/>
      </w:r>
    </w:p>
  </w:footnote>
  <w:footnote w:type="continuationSeparator" w:id="0">
    <w:p w14:paraId="7C431B6F" w14:textId="77777777" w:rsidR="008A1B99" w:rsidRPr="004E7D2C" w:rsidRDefault="008A1B99">
      <w:r w:rsidRPr="004E7D2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61D779" w14:textId="77777777" w:rsidR="004D3F21" w:rsidRPr="004E7D2C" w:rsidRDefault="004D3F2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E42436"/>
    <w:multiLevelType w:val="hybridMultilevel"/>
    <w:tmpl w:val="A6BA9F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1D468B"/>
    <w:multiLevelType w:val="hybridMultilevel"/>
    <w:tmpl w:val="FB940F66"/>
    <w:lvl w:ilvl="0" w:tplc="27786DA0">
      <w:start w:val="1"/>
      <w:numFmt w:val="decimal"/>
      <w:lvlText w:val="%1."/>
      <w:lvlJc w:val="left"/>
      <w:pPr>
        <w:ind w:left="850" w:hanging="49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E5811C3"/>
    <w:multiLevelType w:val="multilevel"/>
    <w:tmpl w:val="3F24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062279"/>
    <w:multiLevelType w:val="hybridMultilevel"/>
    <w:tmpl w:val="FB940F66"/>
    <w:lvl w:ilvl="0" w:tplc="FFFFFFFF">
      <w:start w:val="1"/>
      <w:numFmt w:val="decimal"/>
      <w:lvlText w:val="%1."/>
      <w:lvlJc w:val="left"/>
      <w:pPr>
        <w:ind w:left="850" w:hanging="49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1C75E7D"/>
    <w:multiLevelType w:val="multilevel"/>
    <w:tmpl w:val="6FD01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F43B12"/>
    <w:multiLevelType w:val="multilevel"/>
    <w:tmpl w:val="D70EC4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5580E59"/>
    <w:multiLevelType w:val="multilevel"/>
    <w:tmpl w:val="1B5A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4604BE"/>
    <w:multiLevelType w:val="hybridMultilevel"/>
    <w:tmpl w:val="883E3D0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E2B0B6A"/>
    <w:multiLevelType w:val="multilevel"/>
    <w:tmpl w:val="450AF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74363668">
    <w:abstractNumId w:val="0"/>
  </w:num>
  <w:num w:numId="2" w16cid:durableId="871726689">
    <w:abstractNumId w:val="6"/>
  </w:num>
  <w:num w:numId="3" w16cid:durableId="1882934971">
    <w:abstractNumId w:val="1"/>
  </w:num>
  <w:num w:numId="4" w16cid:durableId="660542425">
    <w:abstractNumId w:val="3"/>
  </w:num>
  <w:num w:numId="5" w16cid:durableId="2086341367">
    <w:abstractNumId w:val="8"/>
  </w:num>
  <w:num w:numId="6" w16cid:durableId="1232153342">
    <w:abstractNumId w:val="2"/>
  </w:num>
  <w:num w:numId="7" w16cid:durableId="694771775">
    <w:abstractNumId w:val="4"/>
  </w:num>
  <w:num w:numId="8" w16cid:durableId="1691301877">
    <w:abstractNumId w:val="5"/>
  </w:num>
  <w:num w:numId="9" w16cid:durableId="96214887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2454E3"/>
    <w:rsid w:val="00097FEB"/>
    <w:rsid w:val="000D4BB6"/>
    <w:rsid w:val="000F4785"/>
    <w:rsid w:val="00143AA3"/>
    <w:rsid w:val="00197100"/>
    <w:rsid w:val="001B60D0"/>
    <w:rsid w:val="001D4501"/>
    <w:rsid w:val="001D5678"/>
    <w:rsid w:val="001F1938"/>
    <w:rsid w:val="00225B2F"/>
    <w:rsid w:val="002260FF"/>
    <w:rsid w:val="002C1441"/>
    <w:rsid w:val="002E0378"/>
    <w:rsid w:val="003E1B1D"/>
    <w:rsid w:val="004032D6"/>
    <w:rsid w:val="00406EB8"/>
    <w:rsid w:val="004138A0"/>
    <w:rsid w:val="004205E5"/>
    <w:rsid w:val="0044013B"/>
    <w:rsid w:val="00464AC9"/>
    <w:rsid w:val="004B27CC"/>
    <w:rsid w:val="004B7B2E"/>
    <w:rsid w:val="004D34FF"/>
    <w:rsid w:val="004D3F21"/>
    <w:rsid w:val="004E7D2C"/>
    <w:rsid w:val="00540FDB"/>
    <w:rsid w:val="005D3A48"/>
    <w:rsid w:val="005E23A0"/>
    <w:rsid w:val="00600F76"/>
    <w:rsid w:val="00661472"/>
    <w:rsid w:val="00686AF6"/>
    <w:rsid w:val="006B1A6A"/>
    <w:rsid w:val="006F5C23"/>
    <w:rsid w:val="00793EAC"/>
    <w:rsid w:val="007B059B"/>
    <w:rsid w:val="007E36CF"/>
    <w:rsid w:val="00835D9A"/>
    <w:rsid w:val="008745B5"/>
    <w:rsid w:val="008A1B99"/>
    <w:rsid w:val="008E0541"/>
    <w:rsid w:val="008E59A9"/>
    <w:rsid w:val="009C5EC6"/>
    <w:rsid w:val="009E604C"/>
    <w:rsid w:val="009E7187"/>
    <w:rsid w:val="00A05F5F"/>
    <w:rsid w:val="00AB1CAC"/>
    <w:rsid w:val="00AB54AC"/>
    <w:rsid w:val="00AE7C3D"/>
    <w:rsid w:val="00B66232"/>
    <w:rsid w:val="00B66649"/>
    <w:rsid w:val="00B95559"/>
    <w:rsid w:val="00BF0EBD"/>
    <w:rsid w:val="00C55926"/>
    <w:rsid w:val="00C65E66"/>
    <w:rsid w:val="00D04EB4"/>
    <w:rsid w:val="00D21C09"/>
    <w:rsid w:val="00D32F39"/>
    <w:rsid w:val="00D361B8"/>
    <w:rsid w:val="00DA1856"/>
    <w:rsid w:val="00E05A83"/>
    <w:rsid w:val="00E25333"/>
    <w:rsid w:val="00E54595"/>
    <w:rsid w:val="00E7529D"/>
    <w:rsid w:val="00ED1574"/>
    <w:rsid w:val="00ED7B9A"/>
    <w:rsid w:val="00F42C8F"/>
    <w:rsid w:val="00FE2BA2"/>
    <w:rsid w:val="0B2454E3"/>
    <w:rsid w:val="38EE3451"/>
    <w:rsid w:val="518B3644"/>
    <w:rsid w:val="5A464CD3"/>
    <w:rsid w:val="5D8ED97B"/>
    <w:rsid w:val="7D3994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83E66"/>
  <w15:docId w15:val="{AE9F54E6-5895-4BB6-A0EE-9FA8DC28A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pl-PL" w:eastAsia="pl-PL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518B3644"/>
    <w:rPr>
      <w:sz w:val="24"/>
      <w:szCs w:val="24"/>
      <w:lang w:eastAsia="en-US"/>
    </w:rPr>
  </w:style>
  <w:style w:type="paragraph" w:styleId="Heading1">
    <w:name w:val="heading 1"/>
    <w:basedOn w:val="Normal"/>
    <w:next w:val="Normal"/>
    <w:uiPriority w:val="9"/>
    <w:qFormat/>
    <w:rsid w:val="518B364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79BF" w:themeColor="accent1" w:themeShade="BF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79BF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507F"/>
    </w:rPr>
  </w:style>
  <w:style w:type="paragraph" w:styleId="Heading4">
    <w:name w:val="heading 4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79BF" w:themeColor="accent1" w:themeShade="BF"/>
    </w:rPr>
  </w:style>
  <w:style w:type="paragraph" w:styleId="Heading5">
    <w:name w:val="heading 5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0079BF" w:themeColor="accent1" w:themeShade="BF"/>
    </w:rPr>
  </w:style>
  <w:style w:type="paragraph" w:styleId="Heading6">
    <w:name w:val="heading 6"/>
    <w:basedOn w:val="Normal"/>
    <w:next w:val="Normal"/>
    <w:uiPriority w:val="9"/>
    <w:semiHidden/>
    <w:unhideWhenUsed/>
    <w:qFormat/>
    <w:rsid w:val="518B364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00507F"/>
    </w:rPr>
  </w:style>
  <w:style w:type="paragraph" w:styleId="Heading7">
    <w:name w:val="heading 7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00507F"/>
    </w:rPr>
  </w:style>
  <w:style w:type="paragraph" w:styleId="Heading8">
    <w:name w:val="heading 8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/>
      <w:sz w:val="21"/>
      <w:szCs w:val="21"/>
    </w:rPr>
  </w:style>
  <w:style w:type="paragraph" w:styleId="Heading9">
    <w:name w:val="heading 9"/>
    <w:basedOn w:val="Normal"/>
    <w:next w:val="Normal"/>
    <w:uiPriority w:val="9"/>
    <w:unhideWhenUsed/>
    <w:qFormat/>
    <w:rsid w:val="518B3644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Pr>
      <w:u w:val="single"/>
    </w:rPr>
  </w:style>
  <w:style w:type="paragraph" w:customStyle="1" w:styleId="Tre">
    <w:name w:val="Treść"/>
    <w:rPr>
      <w:rFonts w:ascii="Helvetica Neue" w:hAnsi="Helvetica Neue" w:cs="Arial Unicode MS"/>
      <w:color w:val="000000"/>
      <w:sz w:val="22"/>
      <w:szCs w:val="22"/>
      <w14:textOutline w14:w="0" w14:cap="flat" w14:cmpd="sng" w14:algn="ctr">
        <w14:noFill/>
        <w14:prstDash w14:val="solid"/>
        <w14:bevel/>
      </w14:textOutline>
    </w:rPr>
  </w:style>
  <w:style w:type="paragraph" w:customStyle="1" w:styleId="Tytu">
    <w:name w:val="Tytuł"/>
    <w:next w:val="Tre"/>
    <w:pPr>
      <w:keepNext/>
    </w:pPr>
    <w:rPr>
      <w:rFonts w:ascii="Helvetica Neue" w:hAnsi="Helvetica Neue" w:cs="Arial Unicode MS"/>
      <w:b/>
      <w:bCs/>
      <w:color w:val="000000"/>
      <w:sz w:val="60"/>
      <w:szCs w:val="60"/>
      <w14:textOutline w14:w="0" w14:cap="flat" w14:cmpd="sng" w14:algn="ctr">
        <w14:noFill/>
        <w14:prstDash w14:val="solid"/>
        <w14:bevel/>
      </w14:textOutline>
    </w:rPr>
  </w:style>
  <w:style w:type="paragraph" w:customStyle="1" w:styleId="Nagwek">
    <w:name w:val="Nagłówek"/>
    <w:next w:val="Tre"/>
    <w:pPr>
      <w:keepNext/>
      <w:outlineLvl w:val="0"/>
    </w:pPr>
    <w:rPr>
      <w:rFonts w:ascii="Helvetica Neue" w:hAnsi="Helvetica Neue" w:cs="Arial Unicode MS"/>
      <w:b/>
      <w:bCs/>
      <w:color w:val="000000"/>
      <w:sz w:val="36"/>
      <w:szCs w:val="36"/>
      <w14:textOutline w14:w="0" w14:cap="flat" w14:cmpd="sng" w14:algn="ctr">
        <w14:noFill/>
        <w14:prstDash w14:val="solid"/>
        <w14:bevel/>
      </w14:textOutline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itle">
    <w:name w:val="Title"/>
    <w:basedOn w:val="Normal"/>
    <w:next w:val="Normal"/>
    <w:uiPriority w:val="10"/>
    <w:qFormat/>
    <w:rsid w:val="518B3644"/>
    <w:pPr>
      <w:contextualSpacing/>
    </w:pPr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sid w:val="518B3644"/>
    <w:rPr>
      <w:rFonts w:eastAsiaTheme="minorEastAsia"/>
      <w:color w:val="5A5A5A"/>
    </w:rPr>
  </w:style>
  <w:style w:type="paragraph" w:styleId="Quote">
    <w:name w:val="Quote"/>
    <w:basedOn w:val="Normal"/>
    <w:next w:val="Normal"/>
    <w:uiPriority w:val="29"/>
    <w:qFormat/>
    <w:rsid w:val="518B3644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uiPriority w:val="30"/>
    <w:qFormat/>
    <w:rsid w:val="518B3644"/>
    <w:pPr>
      <w:spacing w:before="360" w:after="360"/>
      <w:ind w:left="864" w:right="864"/>
      <w:jc w:val="center"/>
    </w:pPr>
    <w:rPr>
      <w:i/>
      <w:iCs/>
      <w:color w:val="00A2FF" w:themeColor="accent1"/>
    </w:rPr>
  </w:style>
  <w:style w:type="paragraph" w:styleId="ListParagraph">
    <w:name w:val="List Paragraph"/>
    <w:basedOn w:val="Normal"/>
    <w:uiPriority w:val="34"/>
    <w:qFormat/>
    <w:rsid w:val="518B3644"/>
    <w:pPr>
      <w:ind w:left="720"/>
      <w:contextualSpacing/>
    </w:pPr>
  </w:style>
  <w:style w:type="paragraph" w:styleId="TOC1">
    <w:name w:val="toc 1"/>
    <w:basedOn w:val="Normal"/>
    <w:next w:val="Normal"/>
    <w:uiPriority w:val="39"/>
    <w:unhideWhenUsed/>
    <w:rsid w:val="518B3644"/>
    <w:pPr>
      <w:spacing w:after="100"/>
    </w:pPr>
  </w:style>
  <w:style w:type="paragraph" w:styleId="TOC2">
    <w:name w:val="toc 2"/>
    <w:basedOn w:val="Normal"/>
    <w:next w:val="Normal"/>
    <w:uiPriority w:val="39"/>
    <w:unhideWhenUsed/>
    <w:rsid w:val="518B3644"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rsid w:val="518B3644"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rsid w:val="518B3644"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rsid w:val="518B3644"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rsid w:val="518B3644"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rsid w:val="518B3644"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rsid w:val="518B3644"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rsid w:val="518B3644"/>
    <w:pPr>
      <w:spacing w:after="100"/>
      <w:ind w:left="1760"/>
    </w:pPr>
  </w:style>
  <w:style w:type="paragraph" w:styleId="EndnoteText">
    <w:name w:val="endnote text"/>
    <w:basedOn w:val="Normal"/>
    <w:uiPriority w:val="99"/>
    <w:semiHidden/>
    <w:unhideWhenUsed/>
    <w:rsid w:val="518B3644"/>
    <w:rPr>
      <w:sz w:val="20"/>
      <w:szCs w:val="20"/>
    </w:rPr>
  </w:style>
  <w:style w:type="paragraph" w:styleId="Footer">
    <w:name w:val="footer"/>
    <w:basedOn w:val="Normal"/>
    <w:uiPriority w:val="99"/>
    <w:unhideWhenUsed/>
    <w:rsid w:val="518B3644"/>
    <w:pPr>
      <w:tabs>
        <w:tab w:val="center" w:pos="4680"/>
        <w:tab w:val="right" w:pos="9360"/>
      </w:tabs>
    </w:pPr>
  </w:style>
  <w:style w:type="paragraph" w:styleId="FootnoteText">
    <w:name w:val="footnote text"/>
    <w:basedOn w:val="Normal"/>
    <w:uiPriority w:val="99"/>
    <w:semiHidden/>
    <w:unhideWhenUsed/>
    <w:rsid w:val="518B3644"/>
    <w:rPr>
      <w:sz w:val="20"/>
      <w:szCs w:val="20"/>
    </w:rPr>
  </w:style>
  <w:style w:type="paragraph" w:styleId="Header">
    <w:name w:val="header"/>
    <w:basedOn w:val="Normal"/>
    <w:uiPriority w:val="99"/>
    <w:unhideWhenUsed/>
    <w:rsid w:val="518B3644"/>
    <w:pPr>
      <w:tabs>
        <w:tab w:val="center" w:pos="4680"/>
        <w:tab w:val="right" w:pos="9360"/>
      </w:tabs>
    </w:pPr>
  </w:style>
  <w:style w:type="paragraph" w:styleId="TOCHeading">
    <w:name w:val="TOC Heading"/>
    <w:basedOn w:val="Heading1"/>
    <w:next w:val="Normal"/>
    <w:uiPriority w:val="39"/>
    <w:unhideWhenUsed/>
    <w:qFormat/>
    <w:rsid w:val="007E36C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line="259" w:lineRule="auto"/>
      <w:outlineLvl w:val="9"/>
    </w:pPr>
    <w:rPr>
      <w:bdr w:val="none" w:sz="0" w:space="0" w:color="auto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7E36CF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C5592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E7C3D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E7C3D"/>
    <w:rPr>
      <w:rFonts w:ascii="Consolas" w:hAnsi="Consolas"/>
      <w:lang w:eastAsia="en-US"/>
    </w:rPr>
  </w:style>
  <w:style w:type="character" w:styleId="PlaceholderText">
    <w:name w:val="Placeholder Text"/>
    <w:basedOn w:val="DefaultParagraphFont"/>
    <w:uiPriority w:val="99"/>
    <w:semiHidden/>
    <w:rsid w:val="004E7D2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Blank">
  <a:themeElements>
    <a:clrScheme name="Blank">
      <a:dk1>
        <a:srgbClr val="000000"/>
      </a:dk1>
      <a:lt1>
        <a:srgbClr val="FFFFFF"/>
      </a:lt1>
      <a:dk2>
        <a:srgbClr val="5E5E5E"/>
      </a:dk2>
      <a:lt2>
        <a:srgbClr val="D5D5D5"/>
      </a:lt2>
      <a:accent1>
        <a:srgbClr val="00A2FF"/>
      </a:accent1>
      <a:accent2>
        <a:srgbClr val="16E7CF"/>
      </a:accent2>
      <a:accent3>
        <a:srgbClr val="61D836"/>
      </a:accent3>
      <a:accent4>
        <a:srgbClr val="FFD932"/>
      </a:accent4>
      <a:accent5>
        <a:srgbClr val="FF644E"/>
      </a:accent5>
      <a:accent6>
        <a:srgbClr val="FF42A1"/>
      </a:accent6>
      <a:hlink>
        <a:srgbClr val="0000FF"/>
      </a:hlink>
      <a:folHlink>
        <a:srgbClr val="FF00FF"/>
      </a:folHlink>
    </a:clrScheme>
    <a:fontScheme name="Blank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Blank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000000"/>
        </a:solidFill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ctr">
        <a:spAutoFit/>
      </a:bodyPr>
      <a:lstStyle>
        <a:defPPr marL="0" marR="0" indent="0" algn="ctr" defTabSz="584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200" b="0" i="0" u="none" strike="noStrike" cap="none" spc="0" normalizeH="0" baseline="0">
            <a:ln>
              <a:noFill/>
            </a:ln>
            <a:solidFill>
              <a:srgbClr val="FFFFFF"/>
            </a:solidFill>
            <a:effectLst/>
            <a:uFillTx/>
            <a:latin typeface="Helvetica Neue Medium"/>
            <a:ea typeface="Helvetica Neue Medium"/>
            <a:cs typeface="Helvetica Neue Medium"/>
            <a:sym typeface="Helvetica Neue Medium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rgbClr val="000000"/>
          </a:solidFill>
          <a:prstDash val="solid"/>
          <a:miter lim="4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50800" tIns="50800" rIns="50800" bIns="50800" numCol="1" spcCol="38100" rtlCol="0" anchor="t">
        <a:spAutoFit/>
      </a:bodyPr>
      <a:lstStyle>
        <a:defPPr marL="0" marR="0" indent="0" algn="l" defTabSz="4572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1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CD5721-AEA5-4BCA-BEAC-6730EE1272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654</TotalTime>
  <Pages>9</Pages>
  <Words>2582</Words>
  <Characters>15492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</dc:creator>
  <cp:keywords/>
  <dc:description/>
  <cp:lastModifiedBy>Michał Cwynar</cp:lastModifiedBy>
  <cp:revision>1</cp:revision>
  <cp:lastPrinted>2025-12-09T21:40:00Z</cp:lastPrinted>
  <dcterms:created xsi:type="dcterms:W3CDTF">2025-10-22T16:57:00Z</dcterms:created>
  <dcterms:modified xsi:type="dcterms:W3CDTF">2026-05-04T17:12:00Z</dcterms:modified>
</cp:coreProperties>
</file>