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2971"/>
        <w:gridCol w:w="1115"/>
        <w:gridCol w:w="3157"/>
        <w:gridCol w:w="619"/>
      </w:tblGrid>
      <w:tr w:rsidR="00312030" w:rsidRPr="004A46D2" w:rsidTr="00FD0058">
        <w:trPr>
          <w:trHeight w:val="281"/>
          <w:jc w:val="right"/>
        </w:trPr>
        <w:tc>
          <w:tcPr>
            <w:tcW w:w="5000" w:type="pct"/>
            <w:gridSpan w:val="5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jc w:val="center"/>
              <w:rPr>
                <w:sz w:val="21"/>
                <w:szCs w:val="28"/>
              </w:rPr>
            </w:pPr>
            <w:r w:rsidRPr="00312030">
              <w:rPr>
                <w:kern w:val="0"/>
                <w:sz w:val="21"/>
                <w:szCs w:val="28"/>
                <w:fitText w:val="8222" w:id="1676347648"/>
              </w:rPr>
              <w:t>任现职以来正式发表的论（译）著、教材、及其它成果（如获准专利、转让技术等</w:t>
            </w:r>
            <w:r w:rsidRPr="00312030">
              <w:rPr>
                <w:spacing w:val="225"/>
                <w:kern w:val="0"/>
                <w:sz w:val="21"/>
                <w:szCs w:val="28"/>
                <w:fitText w:val="8222" w:id="1676347648"/>
              </w:rPr>
              <w:t>）</w:t>
            </w:r>
          </w:p>
        </w:tc>
      </w:tr>
      <w:tr w:rsidR="00312030" w:rsidRPr="004A46D2" w:rsidTr="00312030">
        <w:trPr>
          <w:trHeight w:val="273"/>
          <w:jc w:val="right"/>
        </w:trPr>
        <w:tc>
          <w:tcPr>
            <w:tcW w:w="388" w:type="pct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rPr>
                <w:sz w:val="21"/>
                <w:szCs w:val="28"/>
              </w:rPr>
            </w:pPr>
            <w:r w:rsidRPr="004A46D2">
              <w:rPr>
                <w:sz w:val="21"/>
                <w:szCs w:val="28"/>
              </w:rPr>
              <w:t>序号</w:t>
            </w:r>
          </w:p>
        </w:tc>
        <w:tc>
          <w:tcPr>
            <w:tcW w:w="1743" w:type="pct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jc w:val="center"/>
              <w:rPr>
                <w:sz w:val="21"/>
                <w:szCs w:val="28"/>
              </w:rPr>
            </w:pPr>
            <w:r w:rsidRPr="004A46D2">
              <w:rPr>
                <w:sz w:val="21"/>
                <w:szCs w:val="28"/>
              </w:rPr>
              <w:t>题</w:t>
            </w:r>
            <w:r w:rsidRPr="004A46D2">
              <w:rPr>
                <w:sz w:val="21"/>
                <w:szCs w:val="28"/>
              </w:rPr>
              <w:t xml:space="preserve">    </w:t>
            </w:r>
            <w:r w:rsidRPr="004A46D2">
              <w:rPr>
                <w:sz w:val="21"/>
                <w:szCs w:val="28"/>
              </w:rPr>
              <w:t>目</w:t>
            </w:r>
          </w:p>
        </w:tc>
        <w:tc>
          <w:tcPr>
            <w:tcW w:w="654" w:type="pct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jc w:val="center"/>
              <w:rPr>
                <w:sz w:val="21"/>
                <w:szCs w:val="28"/>
              </w:rPr>
            </w:pPr>
            <w:r w:rsidRPr="004A46D2">
              <w:rPr>
                <w:sz w:val="21"/>
                <w:szCs w:val="28"/>
              </w:rPr>
              <w:t>刊物性质</w:t>
            </w:r>
          </w:p>
        </w:tc>
        <w:tc>
          <w:tcPr>
            <w:tcW w:w="1852" w:type="pct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jc w:val="center"/>
              <w:rPr>
                <w:sz w:val="21"/>
                <w:szCs w:val="28"/>
              </w:rPr>
            </w:pPr>
            <w:r w:rsidRPr="004A46D2">
              <w:rPr>
                <w:sz w:val="21"/>
                <w:szCs w:val="28"/>
              </w:rPr>
              <w:t>何时在何刊物发表或出版社出版</w:t>
            </w:r>
          </w:p>
        </w:tc>
        <w:tc>
          <w:tcPr>
            <w:tcW w:w="362" w:type="pct"/>
            <w:vAlign w:val="center"/>
          </w:tcPr>
          <w:p w:rsidR="00312030" w:rsidRPr="004A46D2" w:rsidRDefault="00312030" w:rsidP="00FD0058">
            <w:pPr>
              <w:adjustRightInd w:val="0"/>
              <w:snapToGrid w:val="0"/>
              <w:jc w:val="center"/>
              <w:rPr>
                <w:sz w:val="21"/>
                <w:szCs w:val="28"/>
              </w:rPr>
            </w:pPr>
            <w:r w:rsidRPr="004A46D2">
              <w:rPr>
                <w:sz w:val="21"/>
                <w:szCs w:val="28"/>
              </w:rPr>
              <w:t>排名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bookmarkStart w:id="0" w:name="_GoBack" w:colFirst="0" w:colLast="4"/>
            <w:r w:rsidRPr="00312030">
              <w:rPr>
                <w:color w:val="FF0000"/>
                <w:sz w:val="21"/>
                <w:szCs w:val="32"/>
              </w:rPr>
              <w:t>1</w:t>
            </w:r>
          </w:p>
        </w:tc>
        <w:tc>
          <w:tcPr>
            <w:tcW w:w="1743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Bayesian Testing for Leverage Effect in Stochastic Volatility Models</w:t>
            </w:r>
          </w:p>
        </w:tc>
        <w:tc>
          <w:tcPr>
            <w:tcW w:w="654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SCI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/SSCI;</w:t>
            </w:r>
          </w:p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JCR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二区</w:t>
            </w:r>
          </w:p>
        </w:tc>
        <w:tc>
          <w:tcPr>
            <w:tcW w:w="1852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201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8</w:t>
            </w:r>
            <w:r w:rsidRPr="00312030">
              <w:rPr>
                <w:color w:val="FF0000"/>
                <w:sz w:val="21"/>
                <w:szCs w:val="32"/>
              </w:rPr>
              <w:t>/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02</w:t>
            </w:r>
            <w:r w:rsidRPr="00312030">
              <w:rPr>
                <w:color w:val="FF0000"/>
                <w:sz w:val="21"/>
                <w:szCs w:val="32"/>
              </w:rPr>
              <w:t xml:space="preserve">  Computational Economics</w:t>
            </w:r>
          </w:p>
        </w:tc>
        <w:tc>
          <w:tcPr>
            <w:tcW w:w="362" w:type="pct"/>
          </w:tcPr>
          <w:p w:rsidR="00312030" w:rsidRPr="00312030" w:rsidRDefault="00312030" w:rsidP="00FD0058">
            <w:pPr>
              <w:adjustRightInd w:val="0"/>
              <w:snapToGrid w:val="0"/>
              <w:jc w:val="center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1</w:t>
            </w:r>
            <w:r w:rsidRPr="00312030">
              <w:rPr>
                <w:color w:val="FF0000"/>
                <w:sz w:val="21"/>
                <w:szCs w:val="32"/>
              </w:rPr>
              <w:t>/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2</w:t>
            </w:r>
          </w:p>
        </w:tc>
        <w:tc>
          <w:tcPr>
            <w:tcW w:w="1743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Unit Root Hypothesis in the Presence of Stochastic Volatility</w:t>
            </w:r>
          </w:p>
        </w:tc>
        <w:tc>
          <w:tcPr>
            <w:tcW w:w="654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SCI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/SSCI;</w:t>
            </w:r>
          </w:p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JCR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二区</w:t>
            </w:r>
          </w:p>
        </w:tc>
        <w:tc>
          <w:tcPr>
            <w:tcW w:w="1852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2013/01  Computational Economics</w:t>
            </w:r>
          </w:p>
        </w:tc>
        <w:tc>
          <w:tcPr>
            <w:tcW w:w="362" w:type="pct"/>
          </w:tcPr>
          <w:p w:rsidR="00312030" w:rsidRPr="00312030" w:rsidRDefault="00312030" w:rsidP="00FD0058">
            <w:pPr>
              <w:adjustRightInd w:val="0"/>
              <w:snapToGrid w:val="0"/>
              <w:jc w:val="center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1/3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3</w:t>
            </w:r>
          </w:p>
        </w:tc>
        <w:tc>
          <w:tcPr>
            <w:tcW w:w="1743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A Multi-Agent-Based Decision Support System for Bankruptcy Contagion Effects</w:t>
            </w:r>
          </w:p>
        </w:tc>
        <w:tc>
          <w:tcPr>
            <w:tcW w:w="654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SCI/EI;</w:t>
            </w:r>
          </w:p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JCR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一区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;</w:t>
            </w:r>
          </w:p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rFonts w:hint="eastAsia"/>
                <w:color w:val="FF0000"/>
                <w:sz w:val="21"/>
                <w:szCs w:val="32"/>
              </w:rPr>
              <w:t>CCF C</w:t>
            </w:r>
            <w:r w:rsidRPr="00312030">
              <w:rPr>
                <w:rFonts w:hint="eastAsia"/>
                <w:color w:val="FF0000"/>
                <w:sz w:val="21"/>
                <w:szCs w:val="32"/>
              </w:rPr>
              <w:t>类</w:t>
            </w:r>
          </w:p>
        </w:tc>
        <w:tc>
          <w:tcPr>
            <w:tcW w:w="1852" w:type="pct"/>
          </w:tcPr>
          <w:p w:rsidR="00312030" w:rsidRPr="00312030" w:rsidRDefault="00312030" w:rsidP="00FD0058">
            <w:pPr>
              <w:adjustRightInd w:val="0"/>
              <w:snapToGrid w:val="0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2012/06 Expert Systems with Applications</w:t>
            </w:r>
          </w:p>
        </w:tc>
        <w:tc>
          <w:tcPr>
            <w:tcW w:w="362" w:type="pct"/>
          </w:tcPr>
          <w:p w:rsidR="00312030" w:rsidRPr="00312030" w:rsidRDefault="00312030" w:rsidP="00FD0058">
            <w:pPr>
              <w:adjustRightInd w:val="0"/>
              <w:snapToGrid w:val="0"/>
              <w:jc w:val="center"/>
              <w:rPr>
                <w:color w:val="FF0000"/>
                <w:sz w:val="21"/>
                <w:szCs w:val="32"/>
              </w:rPr>
            </w:pPr>
            <w:r w:rsidRPr="00312030">
              <w:rPr>
                <w:color w:val="FF0000"/>
                <w:sz w:val="21"/>
                <w:szCs w:val="32"/>
              </w:rPr>
              <w:t>1/3</w:t>
            </w:r>
          </w:p>
        </w:tc>
      </w:tr>
      <w:bookmarkEnd w:id="0"/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4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proofErr w:type="spellStart"/>
            <w:r w:rsidRPr="00DA0027">
              <w:rPr>
                <w:sz w:val="21"/>
                <w:szCs w:val="32"/>
              </w:rPr>
              <w:t>Multiagent</w:t>
            </w:r>
            <w:proofErr w:type="spellEnd"/>
            <w:r w:rsidRPr="00DA0027">
              <w:rPr>
                <w:sz w:val="21"/>
                <w:szCs w:val="32"/>
              </w:rPr>
              <w:t>-Based Two-Way Negotiation for Intelligent Hotel Reservation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A0027">
              <w:rPr>
                <w:rFonts w:hint="eastAsia"/>
                <w:sz w:val="21"/>
                <w:szCs w:val="32"/>
              </w:rPr>
              <w:t>CCF C</w:t>
            </w:r>
            <w:r w:rsidRPr="00DA0027">
              <w:rPr>
                <w:rFonts w:hint="eastAsia"/>
                <w:sz w:val="21"/>
                <w:szCs w:val="32"/>
              </w:rPr>
              <w:t>类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9B4798">
              <w:rPr>
                <w:sz w:val="21"/>
                <w:szCs w:val="32"/>
              </w:rPr>
              <w:t>201</w:t>
            </w:r>
            <w:r>
              <w:rPr>
                <w:rFonts w:hint="eastAsia"/>
                <w:sz w:val="21"/>
                <w:szCs w:val="32"/>
              </w:rPr>
              <w:t>8/05  CSCWD2018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1/6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5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FE5A03">
              <w:rPr>
                <w:sz w:val="21"/>
                <w:szCs w:val="32"/>
              </w:rPr>
              <w:t xml:space="preserve">A Comparative Testing on Performance of </w:t>
            </w:r>
            <w:proofErr w:type="spellStart"/>
            <w:r w:rsidRPr="00FE5A03">
              <w:rPr>
                <w:sz w:val="21"/>
                <w:szCs w:val="32"/>
              </w:rPr>
              <w:t>Blockchain</w:t>
            </w:r>
            <w:proofErr w:type="spellEnd"/>
            <w:r w:rsidRPr="00FE5A03">
              <w:rPr>
                <w:sz w:val="21"/>
                <w:szCs w:val="32"/>
              </w:rPr>
              <w:t xml:space="preserve"> and Relational Database: Foundation for Applying </w:t>
            </w:r>
            <w:proofErr w:type="spellStart"/>
            <w:r w:rsidRPr="00FE5A03">
              <w:rPr>
                <w:sz w:val="21"/>
                <w:szCs w:val="32"/>
              </w:rPr>
              <w:t>Blockchain</w:t>
            </w:r>
            <w:proofErr w:type="spellEnd"/>
            <w:r w:rsidRPr="00FE5A03">
              <w:rPr>
                <w:sz w:val="21"/>
                <w:szCs w:val="32"/>
              </w:rPr>
              <w:t xml:space="preserve"> into Current Business Systems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2018/07  HCII-2018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2/4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6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FE5A03">
              <w:rPr>
                <w:sz w:val="21"/>
                <w:szCs w:val="32"/>
              </w:rPr>
              <w:t>An Agent-Mediated Tendering Mechanism for Intelligent Hotel Reservation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EI/ISTP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2017/12  ICEBE-17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DA0027">
              <w:rPr>
                <w:sz w:val="21"/>
                <w:szCs w:val="32"/>
              </w:rPr>
              <w:t>1/6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7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 xml:space="preserve">A </w:t>
            </w:r>
            <w:proofErr w:type="spellStart"/>
            <w:r w:rsidRPr="0001531C">
              <w:rPr>
                <w:sz w:val="21"/>
                <w:szCs w:val="32"/>
              </w:rPr>
              <w:t>Blockchain</w:t>
            </w:r>
            <w:proofErr w:type="spellEnd"/>
            <w:r w:rsidRPr="0001531C">
              <w:rPr>
                <w:sz w:val="21"/>
                <w:szCs w:val="32"/>
              </w:rPr>
              <w:t>-Based Supply Chain Quality Management Framework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EI/ISTP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2017/12  ICEBE-17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6/6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8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FE5A03">
              <w:rPr>
                <w:sz w:val="21"/>
                <w:szCs w:val="32"/>
              </w:rPr>
              <w:t>Accessory-Based Multi-agent Simulating Platform on the Web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9B4798">
              <w:rPr>
                <w:rFonts w:hint="eastAsia"/>
                <w:sz w:val="21"/>
                <w:szCs w:val="32"/>
              </w:rPr>
              <w:t>I</w:t>
            </w:r>
            <w:r>
              <w:rPr>
                <w:rFonts w:hint="eastAsia"/>
                <w:sz w:val="21"/>
                <w:szCs w:val="32"/>
              </w:rPr>
              <w:t>STP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FE5A03">
              <w:rPr>
                <w:sz w:val="21"/>
                <w:szCs w:val="32"/>
              </w:rPr>
              <w:t>2014/05</w:t>
            </w:r>
            <w:r>
              <w:rPr>
                <w:rFonts w:hint="eastAsia"/>
                <w:sz w:val="21"/>
                <w:szCs w:val="32"/>
              </w:rPr>
              <w:t xml:space="preserve">  </w:t>
            </w:r>
            <w:r w:rsidRPr="00FE5A03">
              <w:rPr>
                <w:sz w:val="21"/>
                <w:szCs w:val="32"/>
              </w:rPr>
              <w:t>ADMI 2014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</w:t>
            </w:r>
            <w:r w:rsidRPr="009B4798">
              <w:rPr>
                <w:sz w:val="21"/>
                <w:szCs w:val="32"/>
              </w:rPr>
              <w:t>/</w:t>
            </w:r>
            <w:r>
              <w:rPr>
                <w:rFonts w:hint="eastAsia"/>
                <w:sz w:val="21"/>
                <w:szCs w:val="32"/>
              </w:rPr>
              <w:t>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9B4798">
              <w:rPr>
                <w:rFonts w:hint="eastAsia"/>
                <w:sz w:val="21"/>
                <w:szCs w:val="32"/>
              </w:rPr>
              <w:t>9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18137F">
              <w:rPr>
                <w:rFonts w:hint="eastAsia"/>
                <w:sz w:val="21"/>
                <w:szCs w:val="32"/>
              </w:rPr>
              <w:t>软件工程与计算</w:t>
            </w:r>
            <w:r w:rsidRPr="0018137F">
              <w:rPr>
                <w:rFonts w:hint="eastAsia"/>
                <w:sz w:val="21"/>
                <w:szCs w:val="32"/>
              </w:rPr>
              <w:t>(</w:t>
            </w:r>
            <w:r w:rsidRPr="0018137F">
              <w:rPr>
                <w:rFonts w:hint="eastAsia"/>
                <w:sz w:val="21"/>
                <w:szCs w:val="32"/>
              </w:rPr>
              <w:t>卷三</w:t>
            </w:r>
            <w:r w:rsidRPr="0018137F">
              <w:rPr>
                <w:rFonts w:hint="eastAsia"/>
                <w:sz w:val="21"/>
                <w:szCs w:val="32"/>
              </w:rPr>
              <w:t xml:space="preserve">): </w:t>
            </w:r>
            <w:r w:rsidRPr="0018137F">
              <w:rPr>
                <w:rFonts w:hint="eastAsia"/>
                <w:sz w:val="21"/>
                <w:szCs w:val="32"/>
              </w:rPr>
              <w:t>团队与软件开发实践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教材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 xml:space="preserve">2013/01  </w:t>
            </w:r>
            <w:r w:rsidRPr="0018137F">
              <w:rPr>
                <w:rFonts w:hint="eastAsia"/>
                <w:sz w:val="21"/>
                <w:szCs w:val="32"/>
              </w:rPr>
              <w:t>机械工业出版社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2/3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10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18137F">
              <w:rPr>
                <w:sz w:val="21"/>
                <w:szCs w:val="32"/>
              </w:rPr>
              <w:t>Teaching Software Testing Methods Based on Diversity Principles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EI/ISTP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 xml:space="preserve">2011/05  </w:t>
            </w:r>
            <w:r w:rsidRPr="0018137F">
              <w:rPr>
                <w:sz w:val="21"/>
                <w:szCs w:val="32"/>
              </w:rPr>
              <w:t>CSEE&amp;T 2011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2/3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11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proofErr w:type="spellStart"/>
            <w:r w:rsidRPr="0001531C">
              <w:rPr>
                <w:sz w:val="21"/>
                <w:szCs w:val="32"/>
              </w:rPr>
              <w:t>HeartPlayer</w:t>
            </w:r>
            <w:proofErr w:type="spellEnd"/>
            <w:r w:rsidRPr="0001531C">
              <w:rPr>
                <w:sz w:val="21"/>
                <w:szCs w:val="32"/>
              </w:rPr>
              <w:t>: A Smart Music Player Involving Emotion Recognition</w:t>
            </w:r>
          </w:p>
        </w:tc>
        <w:tc>
          <w:tcPr>
            <w:tcW w:w="654" w:type="pct"/>
          </w:tcPr>
          <w:p w:rsidR="00312030" w:rsidRPr="0001531C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EI/ISTP;</w:t>
            </w:r>
          </w:p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rFonts w:hint="eastAsia"/>
                <w:sz w:val="21"/>
                <w:szCs w:val="32"/>
              </w:rPr>
              <w:t>CCF C</w:t>
            </w:r>
            <w:r w:rsidRPr="0001531C">
              <w:rPr>
                <w:rFonts w:hint="eastAsia"/>
                <w:sz w:val="21"/>
                <w:szCs w:val="32"/>
              </w:rPr>
              <w:t>类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2011/01  MMM 2011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5/5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12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18137F">
              <w:rPr>
                <w:sz w:val="21"/>
                <w:szCs w:val="32"/>
              </w:rPr>
              <w:t>A Fully Bayesian Approach for Unit Root Testing in Chinese Financial Market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EI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2011/05  ICEE 2011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 w:rsidRPr="0001531C">
              <w:rPr>
                <w:sz w:val="21"/>
                <w:szCs w:val="32"/>
              </w:rPr>
              <w:t>1/2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13</w:t>
            </w:r>
          </w:p>
        </w:tc>
        <w:tc>
          <w:tcPr>
            <w:tcW w:w="1743" w:type="pct"/>
          </w:tcPr>
          <w:p w:rsidR="00312030" w:rsidRPr="0096307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94FB7">
              <w:rPr>
                <w:rFonts w:eastAsia="仿宋_GB2312"/>
                <w:sz w:val="21"/>
                <w:szCs w:val="28"/>
              </w:rPr>
              <w:t>The Research of Artificial Neural Network Based on Nonparametric Regression Theory</w:t>
            </w:r>
          </w:p>
        </w:tc>
        <w:tc>
          <w:tcPr>
            <w:tcW w:w="654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EI</w:t>
            </w:r>
          </w:p>
        </w:tc>
        <w:tc>
          <w:tcPr>
            <w:tcW w:w="1852" w:type="pct"/>
          </w:tcPr>
          <w:p w:rsidR="00312030" w:rsidRPr="009B479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2010/08  ITA10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sz w:val="21"/>
                <w:szCs w:val="32"/>
              </w:rPr>
            </w:pPr>
            <w:r>
              <w:rPr>
                <w:rFonts w:eastAsia="仿宋_GB2312" w:hint="eastAsia"/>
                <w:sz w:val="21"/>
                <w:szCs w:val="28"/>
              </w:rPr>
              <w:t>1</w:t>
            </w:r>
            <w:r w:rsidRPr="004A46D2">
              <w:rPr>
                <w:rFonts w:eastAsia="仿宋_GB2312"/>
                <w:sz w:val="21"/>
                <w:szCs w:val="28"/>
              </w:rPr>
              <w:t>/</w:t>
            </w:r>
            <w:r>
              <w:rPr>
                <w:rFonts w:eastAsia="仿宋_GB2312" w:hint="eastAsia"/>
                <w:sz w:val="21"/>
                <w:szCs w:val="28"/>
              </w:rPr>
              <w:t>1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14</w:t>
            </w:r>
          </w:p>
        </w:tc>
        <w:tc>
          <w:tcPr>
            <w:tcW w:w="1743" w:type="pct"/>
          </w:tcPr>
          <w:p w:rsidR="00312030" w:rsidRPr="00D94FB7" w:rsidRDefault="00312030" w:rsidP="00FD0058">
            <w:pPr>
              <w:adjustRightInd w:val="0"/>
              <w:snapToGrid w:val="0"/>
              <w:rPr>
                <w:rFonts w:eastAsia="仿宋_GB2312"/>
                <w:sz w:val="21"/>
                <w:szCs w:val="28"/>
              </w:rPr>
            </w:pPr>
            <w:r w:rsidRPr="0018137F">
              <w:rPr>
                <w:sz w:val="21"/>
                <w:szCs w:val="32"/>
              </w:rPr>
              <w:t>A Software Engineering Project Course for Undergraduate Students</w:t>
            </w:r>
          </w:p>
        </w:tc>
        <w:tc>
          <w:tcPr>
            <w:tcW w:w="654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</w:p>
        </w:tc>
        <w:tc>
          <w:tcPr>
            <w:tcW w:w="1852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A2216A">
              <w:rPr>
                <w:sz w:val="21"/>
                <w:szCs w:val="32"/>
              </w:rPr>
              <w:t>2012/10  CEISEE 2012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rFonts w:eastAsia="仿宋_GB2312"/>
                <w:sz w:val="21"/>
                <w:szCs w:val="28"/>
              </w:rPr>
            </w:pPr>
            <w:r>
              <w:rPr>
                <w:rFonts w:eastAsia="仿宋_GB2312" w:hint="eastAsia"/>
                <w:sz w:val="21"/>
                <w:szCs w:val="28"/>
              </w:rPr>
              <w:t>2</w:t>
            </w:r>
            <w:r w:rsidRPr="004A46D2">
              <w:rPr>
                <w:rFonts w:eastAsia="仿宋_GB2312"/>
                <w:sz w:val="21"/>
                <w:szCs w:val="28"/>
              </w:rPr>
              <w:t>/</w:t>
            </w:r>
            <w:r>
              <w:rPr>
                <w:rFonts w:eastAsia="仿宋_GB2312" w:hint="eastAsia"/>
                <w:sz w:val="21"/>
                <w:szCs w:val="28"/>
              </w:rPr>
              <w:t>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15</w:t>
            </w:r>
          </w:p>
        </w:tc>
        <w:tc>
          <w:tcPr>
            <w:tcW w:w="1743" w:type="pct"/>
          </w:tcPr>
          <w:p w:rsidR="00312030" w:rsidRPr="0018137F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D94FB7">
              <w:rPr>
                <w:rFonts w:eastAsia="仿宋_GB2312"/>
                <w:sz w:val="21"/>
                <w:szCs w:val="28"/>
              </w:rPr>
              <w:t>An Improved Regression Test Selection Technique by Clustering Execution Profiles</w:t>
            </w:r>
          </w:p>
        </w:tc>
        <w:tc>
          <w:tcPr>
            <w:tcW w:w="654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EI</w:t>
            </w:r>
          </w:p>
        </w:tc>
        <w:tc>
          <w:tcPr>
            <w:tcW w:w="1852" w:type="pct"/>
          </w:tcPr>
          <w:p w:rsidR="00312030" w:rsidRPr="00A2216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 xml:space="preserve">2010/07 </w:t>
            </w:r>
            <w:r w:rsidRPr="005332FB">
              <w:rPr>
                <w:sz w:val="21"/>
                <w:szCs w:val="32"/>
              </w:rPr>
              <w:t>10th International Conference on Quality Software</w:t>
            </w:r>
          </w:p>
        </w:tc>
        <w:tc>
          <w:tcPr>
            <w:tcW w:w="362" w:type="pct"/>
          </w:tcPr>
          <w:p w:rsidR="00312030" w:rsidRDefault="00312030" w:rsidP="00FD0058">
            <w:pPr>
              <w:adjustRightInd w:val="0"/>
              <w:snapToGrid w:val="0"/>
              <w:jc w:val="center"/>
              <w:rPr>
                <w:rFonts w:eastAsia="仿宋_GB2312"/>
                <w:sz w:val="21"/>
                <w:szCs w:val="28"/>
              </w:rPr>
            </w:pPr>
            <w:r w:rsidRPr="00DA0027">
              <w:rPr>
                <w:rFonts w:eastAsia="仿宋_GB2312"/>
                <w:sz w:val="21"/>
                <w:szCs w:val="28"/>
              </w:rPr>
              <w:t>5/6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16</w:t>
            </w:r>
          </w:p>
        </w:tc>
        <w:tc>
          <w:tcPr>
            <w:tcW w:w="1743" w:type="pct"/>
          </w:tcPr>
          <w:p w:rsidR="00312030" w:rsidRPr="00B632A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B632A8">
              <w:rPr>
                <w:rFonts w:hint="eastAsia"/>
                <w:sz w:val="21"/>
                <w:szCs w:val="32"/>
              </w:rPr>
              <w:t>软件工程优先的实践课程——“计算与软件工程实际”的教学研究</w:t>
            </w:r>
          </w:p>
        </w:tc>
        <w:tc>
          <w:tcPr>
            <w:tcW w:w="654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</w:p>
        </w:tc>
        <w:tc>
          <w:tcPr>
            <w:tcW w:w="1852" w:type="pct"/>
          </w:tcPr>
          <w:p w:rsidR="00312030" w:rsidRPr="00A2216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 xml:space="preserve">2010/04  </w:t>
            </w:r>
            <w:r w:rsidRPr="005332FB">
              <w:rPr>
                <w:rFonts w:hint="eastAsia"/>
                <w:sz w:val="21"/>
                <w:szCs w:val="32"/>
              </w:rPr>
              <w:t>中国计算机教育与发展学术研讨会会议论文集</w:t>
            </w:r>
          </w:p>
        </w:tc>
        <w:tc>
          <w:tcPr>
            <w:tcW w:w="362" w:type="pct"/>
          </w:tcPr>
          <w:p w:rsidR="00312030" w:rsidRPr="00DA0027" w:rsidRDefault="00312030" w:rsidP="00FD0058">
            <w:pPr>
              <w:adjustRightInd w:val="0"/>
              <w:snapToGrid w:val="0"/>
              <w:jc w:val="center"/>
              <w:rPr>
                <w:rFonts w:eastAsia="仿宋_GB2312"/>
                <w:sz w:val="21"/>
                <w:szCs w:val="28"/>
              </w:rPr>
            </w:pPr>
            <w:r>
              <w:rPr>
                <w:rFonts w:eastAsia="仿宋_GB2312" w:hint="eastAsia"/>
                <w:sz w:val="21"/>
                <w:szCs w:val="28"/>
              </w:rPr>
              <w:t>1/3</w:t>
            </w:r>
          </w:p>
        </w:tc>
      </w:tr>
      <w:tr w:rsidR="00312030" w:rsidRPr="004A46D2" w:rsidTr="00312030">
        <w:trPr>
          <w:jc w:val="right"/>
        </w:trPr>
        <w:tc>
          <w:tcPr>
            <w:tcW w:w="388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>17</w:t>
            </w:r>
          </w:p>
        </w:tc>
        <w:tc>
          <w:tcPr>
            <w:tcW w:w="1743" w:type="pct"/>
          </w:tcPr>
          <w:p w:rsidR="00312030" w:rsidRPr="00B632A8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 w:rsidRPr="00B632A8">
              <w:rPr>
                <w:rFonts w:hint="eastAsia"/>
                <w:sz w:val="21"/>
                <w:szCs w:val="32"/>
              </w:rPr>
              <w:t>产学研联合设计的软件测试与质量实验室</w:t>
            </w:r>
          </w:p>
        </w:tc>
        <w:tc>
          <w:tcPr>
            <w:tcW w:w="654" w:type="pct"/>
          </w:tcPr>
          <w:p w:rsidR="00312030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</w:p>
        </w:tc>
        <w:tc>
          <w:tcPr>
            <w:tcW w:w="1852" w:type="pct"/>
          </w:tcPr>
          <w:p w:rsidR="00312030" w:rsidRPr="00A2216A" w:rsidRDefault="00312030" w:rsidP="00FD0058">
            <w:pPr>
              <w:adjustRightInd w:val="0"/>
              <w:snapToGrid w:val="0"/>
              <w:rPr>
                <w:sz w:val="21"/>
                <w:szCs w:val="32"/>
              </w:rPr>
            </w:pPr>
            <w:r>
              <w:rPr>
                <w:rFonts w:hint="eastAsia"/>
                <w:sz w:val="21"/>
                <w:szCs w:val="32"/>
              </w:rPr>
              <w:t xml:space="preserve">2010/04  </w:t>
            </w:r>
            <w:r w:rsidRPr="005332FB">
              <w:rPr>
                <w:rFonts w:hint="eastAsia"/>
                <w:sz w:val="21"/>
                <w:szCs w:val="32"/>
              </w:rPr>
              <w:t>中国计算机教育与发展学术研讨会会议论文集</w:t>
            </w:r>
          </w:p>
        </w:tc>
        <w:tc>
          <w:tcPr>
            <w:tcW w:w="362" w:type="pct"/>
          </w:tcPr>
          <w:p w:rsidR="00312030" w:rsidRPr="00DA0027" w:rsidRDefault="00312030" w:rsidP="00FD0058">
            <w:pPr>
              <w:adjustRightInd w:val="0"/>
              <w:snapToGrid w:val="0"/>
              <w:jc w:val="center"/>
              <w:rPr>
                <w:rFonts w:eastAsia="仿宋_GB2312"/>
                <w:sz w:val="21"/>
                <w:szCs w:val="28"/>
              </w:rPr>
            </w:pPr>
            <w:r>
              <w:rPr>
                <w:rFonts w:eastAsia="仿宋_GB2312" w:hint="eastAsia"/>
                <w:sz w:val="21"/>
                <w:szCs w:val="28"/>
              </w:rPr>
              <w:t>1/2</w:t>
            </w:r>
          </w:p>
        </w:tc>
      </w:tr>
    </w:tbl>
    <w:p w:rsidR="00B74B4E" w:rsidRDefault="00B74B4E"/>
    <w:sectPr w:rsidR="00B7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30"/>
    <w:rsid w:val="00312030"/>
    <w:rsid w:val="00B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030"/>
    <w:pPr>
      <w:widowControl w:val="0"/>
      <w:jc w:val="both"/>
    </w:pPr>
    <w:rPr>
      <w:rFonts w:ascii="Times New Roman" w:eastAsia="宋体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030"/>
    <w:pPr>
      <w:widowControl w:val="0"/>
      <w:jc w:val="both"/>
    </w:pPr>
    <w:rPr>
      <w:rFonts w:ascii="Times New Roman" w:eastAsia="宋体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zjy</cp:lastModifiedBy>
  <cp:revision>1</cp:revision>
  <dcterms:created xsi:type="dcterms:W3CDTF">2018-03-29T04:09:00Z</dcterms:created>
  <dcterms:modified xsi:type="dcterms:W3CDTF">2018-03-29T04:10:00Z</dcterms:modified>
</cp:coreProperties>
</file>