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设</w:t>
        <w:drawing>
          <wp:inline xmlns:a="http://schemas.openxmlformats.org/drawingml/2006/main" xmlns:pic="http://schemas.openxmlformats.org/drawingml/2006/picture">
            <wp:extent cx="2133600" cy="64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47700"/>
                    </a:xfrm>
                    <a:prstGeom prst="rect"/>
                  </pic:spPr>
                </pic:pic>
              </a:graphicData>
            </a:graphic>
          </wp:inline>
        </w:drawing>
        <w:t>，则</w:t>
        <w:drawing>
          <wp:inline xmlns:a="http://schemas.openxmlformats.org/drawingml/2006/main" xmlns:pic="http://schemas.openxmlformats.org/drawingml/2006/picture">
            <wp:extent cx="520700" cy="34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42900"/>
                    </a:xfrm>
                    <a:prstGeom prst="rect"/>
                  </pic:spPr>
                </pic:pic>
              </a:graphicData>
            </a:graphic>
          </wp:inline>
        </w:drawing>
        <w:t>=()。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2</w:t>
      </w:r>
    </w:p>
    <w:p>
      <w:pPr>
        <w:spacing w:line="360" w:lineRule="auto"/>
      </w:pPr>
      <w:r>
        <w:t>C,</w:t>
      </w:r>
      <w:r>
        <w:t>4</w:t>
      </w:r>
    </w:p>
    <w:p>
      <w:pPr>
        <w:spacing w:line="360" w:lineRule="auto"/>
      </w:pPr>
      <w:r>
        <w:t>D,</w:t>
      </w:r>
      <w:r>
        <w:t>3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2,</w:t>
      </w:r>
      <w:r>
        <w:t>设</w:t>
        <w:drawing>
          <wp:inline xmlns:a="http://schemas.openxmlformats.org/drawingml/2006/main" xmlns:pic="http://schemas.openxmlformats.org/drawingml/2006/picture">
            <wp:extent cx="2451100" cy="64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647700"/>
                    </a:xfrm>
                    <a:prstGeom prst="rect"/>
                  </pic:spPr>
                </pic:pic>
              </a:graphicData>
            </a:graphic>
          </wp:inline>
        </w:drawing>
        <w:t>，则</w:t>
        <w:drawing>
          <wp:inline xmlns:a="http://schemas.openxmlformats.org/drawingml/2006/main" xmlns:pic="http://schemas.openxmlformats.org/drawingml/2006/picture">
            <wp:extent cx="685800" cy="342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/>
                  </pic:spPr>
                </pic:pic>
              </a:graphicData>
            </a:graphic>
          </wp:inline>
        </w:drawing>
        <w:t>=()。</w:t>
      </w:r>
    </w:p>
    <w:p>
      <w:pPr>
        <w:spacing w:line="360" w:lineRule="auto"/>
      </w:pPr>
      <w:r>
        <w:t>A,</w:t>
      </w:r>
      <w:r>
        <w:t>2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3</w:t>
      </w:r>
    </w:p>
    <w:p>
      <w:pPr>
        <w:spacing w:line="360" w:lineRule="auto"/>
      </w:pPr>
      <w:r>
        <w:t>D,</w:t>
      </w:r>
      <w:r>
        <w:t>1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3,</w:t>
      </w:r>
      <w:r>
        <w:t>设X为有穷集合，S={f|f为从X到X的双射}，则S上的映射的合成运算满足交换律。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t>设，+表示整数的加法运算，则（Z, +）与(2Z，+）同构。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5,</w:t>
      </w:r>
      <w:r>
        <w:t>设S为集合，*为定义在S上的一个二元运算，如果代数系（S，*）存在单位元，则代数系（S，*）只能存在一个唯一的单位元。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设R为实数集，C为复数集，*为通常的乘法运算，则代数系（R，*）与代数系（C，*）同构。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