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Robertson's Remedial and Painting Pty Ltd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Document No: RPD-PR-MPL-001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MOBILE PLANT PROCEDURE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Version: 1.0  |  Date: Feb 2025  |  Review: Feb 2027</w:t>
            </w:r>
          </w:p>
        </w:tc>
      </w:tr>
      <w:tr>
        <w:tc>
          <w:tcPr>
            <w:tcW w:type="dxa" w:w="54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Approved: Leslie Robertson (Director)</w:t>
            </w:r>
          </w:p>
        </w:tc>
        <w:tc>
          <w:tcPr>
            <w:tcW w:type="dxa" w:w="423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2"/>
                <w:szCs w:val="12"/>
              </w:rPr>
              <w:t xml:space="preserve">Ed.6 Ref: Checklist 5, 7  |  WHS Reg 2017 Ch.5 Pt.3</w:t>
            </w:r>
          </w:p>
        </w:tc>
      </w:tr>
    </w:tbl>
    <w:p>
      <w:pPr>
        <w:spacing w:after="50"/>
      </w:pP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1. Purpose</w:t>
      </w:r>
    </w:p>
    <w:p>
      <w:pPr>
        <w:spacing w:after="50"/>
      </w:pPr>
      <w:r>
        <w:rPr>
          <w:rFonts w:ascii="Arial" w:cs="Arial" w:eastAsia="Arial" w:hAnsi="Arial"/>
          <w:sz w:val="14"/>
          <w:szCs w:val="14"/>
        </w:rPr>
        <w:t xml:space="preserve">This procedure sets out how RPD manages mobile plant and equipment on construction sites to prevent crush, collision and rollover incidents. It complies with WHS Regulation 2017 Chapter 5 Part 3 and SafeWork NSW Code of Practice: Managing the Risks of Plant in the Workplace.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2. Scope</w:t>
      </w:r>
    </w:p>
    <w:p>
      <w:pPr>
        <w:spacing w:after="50"/>
      </w:pPr>
      <w:r>
        <w:rPr>
          <w:rFonts w:ascii="Arial" w:cs="Arial" w:eastAsia="Arial" w:hAnsi="Arial"/>
          <w:sz w:val="14"/>
          <w:szCs w:val="14"/>
        </w:rPr>
        <w:t xml:space="preserve">All mobile plant operated on or delivered to RPD sites including: EWPs (boom lifts, scissor lifts), forklifts, excavators, skid steers, truck-mounted cranes, concrete pumps and delivery vehicles. Covers RPD-owned and hired plant.</w:t>
      </w:r>
    </w:p>
    <w:p>
      <w:pPr>
        <w:spacing w:after="35"/>
      </w:pPr>
      <w:r>
        <w:rPr>
          <w:rFonts w:ascii="Arial" w:cs="Arial" w:eastAsia="Arial" w:hAnsi="Arial"/>
          <w:b/>
          <w:bCs/>
          <w:color w:val="1F3864"/>
          <w:sz w:val="16"/>
          <w:szCs w:val="16"/>
        </w:rPr>
        <w:t xml:space="preserve">3. Procedure — Before, During, After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Action</w:t>
            </w:r>
          </w:p>
        </w:tc>
        <w:tc>
          <w:tcPr>
            <w:tcW w:type="dxa" w:w="11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Who</w:t>
            </w:r>
          </w:p>
        </w:tc>
        <w:tc>
          <w:tcPr>
            <w:tcW w:type="dxa" w:w="138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Record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BEFORE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Confirm plant is suitable for site conditions: ground bearing capacity, overhead clearances, proximity to edges/excavations, power lines.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Plant selection record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Verify operator holds correct High-Risk Work Licence (e.g. WP for boom, LF for forklift) or competency for non-HRWL plant. Check licence expiry.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Licence register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Pre-start inspection by operator: fluid levels, tyres/tracks, guards, emergency stops, SWL markings, lights, horn, seatbelt, fire extinguisher. Log defects.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Operator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Pre-start checklist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Establish exclusion zones and traffic management: separate pedestrians from plant operating areas. Spotter required for reversing in congested areas.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plan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Prepare SWMS addressing: crush/collision, rollover, falling loads, contact with overhead services, and pedestrian interaction.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SWMS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DURING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Toolbox talk: brief all site workers on plant movements, exclusion zones, communication signals, emergency stops. All sign on.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Site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Toolbox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Operate within manufacturer’s rated capacity. No modification of plant or safety devices. Maintain safe distance from edges (1.5x depth of excavation).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Operator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Maintain 4m clearance from overhead powerlines (or approach distances per Table of No Go Zones). If closer work needed, isolate or use insulated plant.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Operator / Supervisor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Permit (if req’d)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2EFDA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Shut down plant when unattended: lower attachments, engage park brake, remove key. No passengers unless plant designed for them.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Operator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—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AFTER</w:t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End-of-day inspection: log any faults. Tag out defective plant — do not operate until repaired. Record in plant register.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Operator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Plant register (Breadcrumb)</w:t>
            </w:r>
          </w:p>
        </w:tc>
      </w:tr>
      <w:tr>
        <w:tc>
          <w:tcPr>
            <w:tcW w:type="dxa" w:w="10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2CC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/>
            </w:r>
          </w:p>
        </w:tc>
        <w:tc>
          <w:tcPr>
            <w:tcW w:type="dxa" w:w="3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570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4"/>
                <w:szCs w:val="14"/>
              </w:rPr>
              <w:t xml:space="preserve">Scheduled servicing per manufacturer intervals. Maintain service records. Annual or periodic inspection for registered plant.</w:t>
            </w:r>
          </w:p>
        </w:tc>
        <w:tc>
          <w:tcPr>
            <w:tcW w:type="dxa" w:w="1150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Project Manager</w:t>
            </w:r>
          </w:p>
        </w:tc>
        <w:tc>
          <w:tcPr>
            <w:tcW w:type="dxa" w:w="1389"/>
            <w:gridSpan w:val="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 w:val="false"/>
                <w:bCs w:val="false"/>
                <w:sz w:val="13"/>
                <w:szCs w:val="13"/>
              </w:rPr>
              <w:t xml:space="preserve">Service records</w:t>
            </w:r>
          </w:p>
        </w:tc>
      </w:tr>
    </w:tbl>
    <w:p>
      <w:pPr>
        <w:spacing w:after="50"/>
      </w:pPr>
    </w:p>
    <w:p>
      <w:pPr>
        <w:spacing w:after="30"/>
      </w:pPr>
      <w:r>
        <w:rPr>
          <w:rFonts w:ascii="Arial" w:cs="Arial" w:eastAsia="Arial" w:hAnsi="Arial"/>
          <w:b/>
          <w:bCs/>
          <w:color w:val="C00000"/>
          <w:sz w:val="16"/>
          <w:szCs w:val="16"/>
        </w:rPr>
        <w:t xml:space="preserve">4. Stop Work Triggers  </w:t>
      </w:r>
      <w:r>
        <w:rPr>
          <w:rFonts w:ascii="Arial" w:cs="Arial" w:eastAsia="Arial" w:hAnsi="Arial"/>
          <w:b/>
          <w:bCs/>
          <w:sz w:val="14"/>
          <w:szCs w:val="14"/>
        </w:rPr>
        <w:t xml:space="preserve">Plant defect affecting safety (brakes, steering, SIS)  •  Operator not licensed/competent  •  Ground conditions unstable  •  Overhead powerlines within approach distance  •  Exclusion zones not maintained  •  Visibility inadequate (fog, dust, lighting).</w:t>
      </w:r>
    </w:p>
    <w:p>
      <w:pPr>
        <w:spacing w:before="50" w:after="25"/>
      </w:pPr>
      <w:r>
        <w:rPr>
          <w:rFonts w:ascii="Arial" w:cs="Arial" w:eastAsia="Arial" w:hAnsi="Arial"/>
          <w:b/>
          <w:bCs/>
          <w:color w:val="1F3864"/>
          <w:sz w:val="14"/>
          <w:szCs w:val="14"/>
        </w:rPr>
        <w:t xml:space="preserve">5. References:  </w:t>
      </w:r>
      <w:r>
        <w:rPr>
          <w:rFonts w:ascii="Arial" w:cs="Arial" w:eastAsia="Arial" w:hAnsi="Arial"/>
          <w:sz w:val="13"/>
          <w:szCs w:val="13"/>
        </w:rPr>
        <w:t xml:space="preserve">WHS Act 2011  •  WHS Reg 2017 Ch.5 Pt.3  •  SafeWork NSW COP: Managing the Risks of Plant  •  RPD WHSMS V7 s.4.20  •  HY Standard: Mobile Plant rev8</w:t>
      </w:r>
    </w:p>
    <w:p>
      <w:pPr>
        <w:spacing w:before="30"/>
      </w:pPr>
      <w:r>
        <w:rPr>
          <w:rFonts w:ascii="Arial" w:cs="Arial" w:eastAsia="Arial" w:hAnsi="Arial"/>
          <w:i/>
          <w:iCs/>
          <w:color w:val="888888"/>
          <w:sz w:val="11"/>
          <w:szCs w:val="11"/>
        </w:rPr>
        <w:t xml:space="preserve">Generated by Gatekeeper WHS Advisor  •  Benchmarked against Hansen Yuncken Mobile Plant Standard rev8 and SafeWork NSW COP</w:t>
      </w:r>
    </w:p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2026-02-23T13:07:04.284Z</dcterms:created>
  <dcterms:modified xsi:type="dcterms:W3CDTF">2026-02-23T13:07:04.284Z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