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40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9"/>
                <w:szCs w:val="19"/>
              </w:rPr>
              <w:t xml:space="preserve">Robertson's Remedial and Painting Pty Ltd</w:t>
            </w:r>
          </w:p>
        </w:tc>
        <w:tc>
          <w:tcPr>
            <w:tcW w:type="dxa" w:w="4239"/>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Document No: RPD-PR-TMP-001</w:t>
            </w:r>
          </w:p>
        </w:tc>
      </w:tr>
      <w:tr>
        <w:tc>
          <w:tcPr>
            <w:tcW w:type="dxa" w:w="54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bCs/>
                <w:sz w:val="21"/>
                <w:szCs w:val="21"/>
              </w:rPr>
              <w:t xml:space="preserve">TEMPORARY WORKS PROCEDURE</w:t>
            </w:r>
          </w:p>
        </w:tc>
        <w:tc>
          <w:tcPr>
            <w:tcW w:type="dxa" w:w="423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2"/>
                <w:szCs w:val="12"/>
              </w:rPr>
              <w:t xml:space="preserve">Version: 1.0  |  Date: Feb 2025  |  Review: Feb 2027</w:t>
            </w:r>
          </w:p>
        </w:tc>
      </w:tr>
      <w:tr>
        <w:tc>
          <w:tcPr>
            <w:tcW w:type="dxa" w:w="5400"/>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3"/>
                <w:szCs w:val="13"/>
              </w:rPr>
              <w:t xml:space="preserve">Approved: Leslie Robertson (Director)</w:t>
            </w:r>
          </w:p>
        </w:tc>
        <w:tc>
          <w:tcPr>
            <w:tcW w:type="dxa" w:w="4239"/>
            <w:gridSpan w:val="1"/>
            <w:tcBorders>
              <w:top w:val="single" w:color="999999" w:sz="1"/>
              <w:left w:val="single" w:color="999999" w:sz="1"/>
              <w:bottom w:val="single" w:color="999999" w:sz="1"/>
              <w:right w:val="single" w:color="999999" w:sz="1"/>
            </w:tcBorders>
            <w:shd w:fill="F2F2F2" w:val="clear"/>
            <w:tcMar>
              <w:top w:type="dxa" w:w="40"/>
              <w:left w:type="dxa" w:w="60"/>
              <w:bottom w:type="dxa" w:w="40"/>
              <w:right w:type="dxa" w:w="60"/>
            </w:tcMar>
          </w:tcPr>
          <w:p>
            <w:pPr>
              <w:spacing w:after="15"/>
            </w:pPr>
            <w:r>
              <w:rPr>
                <w:rFonts w:ascii="Arial" w:cs="Arial" w:eastAsia="Arial" w:hAnsi="Arial"/>
                <w:b w:val="false"/>
                <w:bCs w:val="false"/>
                <w:sz w:val="12"/>
                <w:szCs w:val="12"/>
              </w:rPr>
              <w:t xml:space="preserve">Ed.6 Ref: Checklist 5, 7  |  WHS Reg 2017 Ch.6 Pt.4</w:t>
            </w:r>
          </w:p>
        </w:tc>
      </w:tr>
    </w:tbl>
    <w:p>
      <w:pPr>
        <w:spacing w:after="50"/>
      </w:pPr>
    </w:p>
    <w:p>
      <w:pPr>
        <w:spacing w:after="35"/>
      </w:pPr>
      <w:r>
        <w:rPr>
          <w:rFonts w:ascii="Arial" w:cs="Arial" w:eastAsia="Arial" w:hAnsi="Arial"/>
          <w:b/>
          <w:bCs/>
          <w:color w:val="1F3864"/>
          <w:sz w:val="16"/>
          <w:szCs w:val="16"/>
        </w:rPr>
        <w:t xml:space="preserve">1. Purpose</w:t>
      </w:r>
    </w:p>
    <w:p>
      <w:pPr>
        <w:spacing w:after="50"/>
      </w:pPr>
      <w:r>
        <w:rPr>
          <w:rFonts w:ascii="Arial" w:cs="Arial" w:eastAsia="Arial" w:hAnsi="Arial"/>
          <w:sz w:val="14"/>
          <w:szCs w:val="14"/>
        </w:rPr>
        <w:t xml:space="preserve">This procedure sets out how RPD designs, installs, maintains and removes temporary works including scaffolding, propping, shoring, formwork, temporary edge protection and temporary structures. It complies with WHS Regulation 2017 and SafeWork NSW Code of Practice: Construction Work.</w:t>
      </w:r>
    </w:p>
    <w:p>
      <w:pPr>
        <w:spacing w:after="35"/>
      </w:pPr>
      <w:r>
        <w:rPr>
          <w:rFonts w:ascii="Arial" w:cs="Arial" w:eastAsia="Arial" w:hAnsi="Arial"/>
          <w:b/>
          <w:bCs/>
          <w:color w:val="1F3864"/>
          <w:sz w:val="16"/>
          <w:szCs w:val="16"/>
        </w:rPr>
        <w:t xml:space="preserve">2. Scope</w:t>
      </w:r>
    </w:p>
    <w:p>
      <w:pPr>
        <w:spacing w:after="50"/>
      </w:pPr>
      <w:r>
        <w:rPr>
          <w:rFonts w:ascii="Arial" w:cs="Arial" w:eastAsia="Arial" w:hAnsi="Arial"/>
          <w:sz w:val="14"/>
          <w:szCs w:val="14"/>
        </w:rPr>
        <w:t xml:space="preserve">All temporary structures on RPD sites that provide access, support loads, or provide protection during remedial works. Includes scaffolding (tube &amp; coupler, modular, mobile), propping systems, temporary hoarding and edge protection.</w:t>
      </w:r>
    </w:p>
    <w:p>
      <w:pPr>
        <w:spacing w:after="35"/>
      </w:pPr>
      <w:r>
        <w:rPr>
          <w:rFonts w:ascii="Arial" w:cs="Arial" w:eastAsia="Arial" w:hAnsi="Arial"/>
          <w:b/>
          <w:bCs/>
          <w:color w:val="1F3864"/>
          <w:sz w:val="16"/>
          <w:szCs w:val="16"/>
        </w:rPr>
        <w:t xml:space="preserve">3. Procedure — Before, During, After</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Phase</w:t>
            </w:r>
          </w:p>
        </w:tc>
        <w:tc>
          <w:tcPr>
            <w:tcW w:type="dxa" w:w="3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t>
            </w:r>
          </w:p>
        </w:tc>
        <w:tc>
          <w:tcPr>
            <w:tcW w:type="dxa" w:w="570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Action</w:t>
            </w:r>
          </w:p>
        </w:tc>
        <w:tc>
          <w:tcPr>
            <w:tcW w:type="dxa" w:w="1150"/>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Who</w:t>
            </w:r>
          </w:p>
        </w:tc>
        <w:tc>
          <w:tcPr>
            <w:tcW w:type="dxa" w:w="1389"/>
            <w:tcBorders>
              <w:top w:val="single" w:color="999999" w:sz="1"/>
              <w:left w:val="single" w:color="999999" w:sz="1"/>
              <w:bottom w:val="single" w:color="999999" w:sz="1"/>
              <w:right w:val="single" w:color="999999" w:sz="1"/>
            </w:tcBorders>
            <w:shd w:fill="1F3864" w:val="clear"/>
            <w:tcMar>
              <w:top w:type="dxa" w:w="40"/>
              <w:left w:type="dxa" w:w="60"/>
              <w:bottom w:type="dxa" w:w="40"/>
              <w:right w:type="dxa" w:w="60"/>
            </w:tcMar>
          </w:tcPr>
          <w:p>
            <w:r>
              <w:rPr>
                <w:rFonts w:ascii="Arial" w:cs="Arial" w:eastAsia="Arial" w:hAnsi="Arial"/>
                <w:b/>
                <w:bCs/>
                <w:color w:val="FFFFFF"/>
                <w:sz w:val="15"/>
                <w:szCs w:val="15"/>
              </w:rPr>
              <w:t xml:space="preserve">Record</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bCs/>
                <w:sz w:val="14"/>
                <w:szCs w:val="14"/>
              </w:rPr>
              <w:t xml:space="preserve">BEFORE</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Determine temporary works requirement from scope drawings. Identify loads, duration, access requirements and site constraints.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file</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2</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Engage competent designer where required: scaffold &gt;4m needs scaffold design or manufacturer’s specifications. Propping needs engineer certification.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Design / spec</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3</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Prepare SWMS for erection, use and dismantling of temporary works. Address: collapse, falling objects, manual handling, working at heights during erection.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SWMS (Breadcrumb)</w:t>
            </w:r>
          </w:p>
        </w:tc>
      </w:tr>
      <w:tr>
        <w:tc>
          <w:tcPr>
            <w:tcW w:type="dxa" w:w="1050"/>
            <w:gridSpan w:val="1"/>
            <w:tcBorders>
              <w:top w:val="single" w:color="999999" w:sz="1"/>
              <w:left w:val="single" w:color="999999" w:sz="1"/>
              <w:bottom w:val="single" w:color="999999" w:sz="1"/>
              <w:right w:val="single" w:color="999999" w:sz="1"/>
            </w:tcBorders>
            <w:shd w:fill="D6E4F0"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4</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Verify competency: scaffolders hold correct HRWL (SB — basic, SI — intermediate, SA — advanced). Riggers for structural temp works.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Licence register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bCs/>
                <w:sz w:val="14"/>
                <w:szCs w:val="14"/>
              </w:rPr>
              <w:t xml:space="preserve">DURING</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5</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Toolbox talk before erection: brief crew on design, sequence, exclusion zone below work area, wind limits, emergency plan. All sign 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Toolbox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6</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Erect to design/specification. Scaffold: ensure sole plates on firm ground, all standards plumb, ledgers and bracing complete before platform boards.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Scaffolder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7</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Handover inspection before use: scaffold tag system (green = safe, red = do not use). Complete scaffold register. Confirm guardrails, toeboards, access ladders.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Scaffold register / tag</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8</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Ongoing inspections: after erection, weekly, after adverse weather, after any modification. Record on Breadcrumb inspection module. Re-tag after each inspection.</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Site Supervisor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Inspection (Breadcrumb)</w:t>
            </w:r>
          </w:p>
        </w:tc>
      </w:tr>
      <w:tr>
        <w:tc>
          <w:tcPr>
            <w:tcW w:type="dxa" w:w="1050"/>
            <w:gridSpan w:val="1"/>
            <w:tcBorders>
              <w:top w:val="single" w:color="999999" w:sz="1"/>
              <w:left w:val="single" w:color="999999" w:sz="1"/>
              <w:bottom w:val="single" w:color="999999" w:sz="1"/>
              <w:right w:val="single" w:color="999999" w:sz="1"/>
            </w:tcBorders>
            <w:shd w:fill="E2EFDA"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9</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No modification by unqualified persons. No loading beyond design capacity. No removal of guardrails, planks or bracing without re-assessment.</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All workers</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bCs/>
                <w:sz w:val="14"/>
                <w:szCs w:val="14"/>
              </w:rPr>
              <w:t xml:space="preserve">AFTER</w:t>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10</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Dismantle in reverse order of erection. Exclusion zone below. Inspect components for damage — quarantine defective items.</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Scaffolder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Scaffold register</w:t>
            </w:r>
          </w:p>
        </w:tc>
      </w:tr>
      <w:tr>
        <w:tc>
          <w:tcPr>
            <w:tcW w:type="dxa" w:w="1050"/>
            <w:gridSpan w:val="1"/>
            <w:tcBorders>
              <w:top w:val="single" w:color="999999" w:sz="1"/>
              <w:left w:val="single" w:color="999999" w:sz="1"/>
              <w:bottom w:val="single" w:color="999999" w:sz="1"/>
              <w:right w:val="single" w:color="999999" w:sz="1"/>
            </w:tcBorders>
            <w:shd w:fill="FFF2CC" w:val="clear"/>
            <w:tcMar>
              <w:top w:type="dxa" w:w="40"/>
              <w:left w:type="dxa" w:w="60"/>
              <w:bottom w:type="dxa" w:w="40"/>
              <w:right w:type="dxa" w:w="60"/>
            </w:tcMar>
          </w:tcPr>
          <w:p>
            <w:pPr>
              <w:spacing w:after="15"/>
            </w:pPr>
            <w:r>
              <w:rPr>
                <w:rFonts w:ascii="Arial" w:cs="Arial" w:eastAsia="Arial" w:hAnsi="Arial"/>
                <w:b w:val="false"/>
                <w:bCs w:val="false"/>
                <w:sz w:val="14"/>
                <w:szCs w:val="14"/>
              </w:rPr>
              <w:t xml:space="preserve"/>
            </w:r>
          </w:p>
        </w:tc>
        <w:tc>
          <w:tcPr>
            <w:tcW w:type="dxa" w:w="3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11</w:t>
            </w:r>
          </w:p>
        </w:tc>
        <w:tc>
          <w:tcPr>
            <w:tcW w:type="dxa" w:w="570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4"/>
                <w:szCs w:val="14"/>
              </w:rPr>
              <w:t xml:space="preserve">File design, inspection records and handover certificates in Breadcrumb project folder.</w:t>
            </w:r>
          </w:p>
        </w:tc>
        <w:tc>
          <w:tcPr>
            <w:tcW w:type="dxa" w:w="1150"/>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Manager</w:t>
            </w:r>
          </w:p>
        </w:tc>
        <w:tc>
          <w:tcPr>
            <w:tcW w:type="dxa" w:w="1389"/>
            <w:gridSpan w:val="1"/>
            <w:tcBorders>
              <w:top w:val="single" w:color="999999" w:sz="1"/>
              <w:left w:val="single" w:color="999999" w:sz="1"/>
              <w:bottom w:val="single" w:color="999999" w:sz="1"/>
              <w:right w:val="single" w:color="999999" w:sz="1"/>
            </w:tcBorders>
            <w:tcMar>
              <w:top w:type="dxa" w:w="40"/>
              <w:left w:type="dxa" w:w="60"/>
              <w:bottom w:type="dxa" w:w="40"/>
              <w:right w:type="dxa" w:w="60"/>
            </w:tcMar>
          </w:tcPr>
          <w:p>
            <w:pPr>
              <w:spacing w:after="15"/>
            </w:pPr>
            <w:r>
              <w:rPr>
                <w:rFonts w:ascii="Arial" w:cs="Arial" w:eastAsia="Arial" w:hAnsi="Arial"/>
                <w:b w:val="false"/>
                <w:bCs w:val="false"/>
                <w:sz w:val="13"/>
                <w:szCs w:val="13"/>
              </w:rPr>
              <w:t xml:space="preserve">Project file</w:t>
            </w:r>
          </w:p>
        </w:tc>
      </w:tr>
    </w:tbl>
    <w:p>
      <w:pPr>
        <w:spacing w:after="50"/>
      </w:pPr>
    </w:p>
    <w:p>
      <w:pPr>
        <w:spacing w:after="30"/>
      </w:pPr>
      <w:r>
        <w:rPr>
          <w:rFonts w:ascii="Arial" w:cs="Arial" w:eastAsia="Arial" w:hAnsi="Arial"/>
          <w:b/>
          <w:bCs/>
          <w:color w:val="C00000"/>
          <w:sz w:val="16"/>
          <w:szCs w:val="16"/>
        </w:rPr>
        <w:t xml:space="preserve">4. Stop Work Triggers  </w:t>
      </w:r>
      <w:r>
        <w:rPr>
          <w:rFonts w:ascii="Arial" w:cs="Arial" w:eastAsia="Arial" w:hAnsi="Arial"/>
          <w:b/>
          <w:bCs/>
          <w:sz w:val="14"/>
          <w:szCs w:val="14"/>
        </w:rPr>
        <w:t xml:space="preserve">Temporary works not erected to design  •  Missing guardrails, toeboards or bracing  •  Red scaffold tag or no tag  •  Wind exceeds design limit  •  Ground settlement or movement at base  •  Unauthorised modification discovered.</w:t>
      </w:r>
    </w:p>
    <w:p>
      <w:pPr>
        <w:spacing w:before="50" w:after="25"/>
      </w:pPr>
      <w:r>
        <w:rPr>
          <w:rFonts w:ascii="Arial" w:cs="Arial" w:eastAsia="Arial" w:hAnsi="Arial"/>
          <w:b/>
          <w:bCs/>
          <w:color w:val="1F3864"/>
          <w:sz w:val="14"/>
          <w:szCs w:val="14"/>
        </w:rPr>
        <w:t xml:space="preserve">5. References:  </w:t>
      </w:r>
      <w:r>
        <w:rPr>
          <w:rFonts w:ascii="Arial" w:cs="Arial" w:eastAsia="Arial" w:hAnsi="Arial"/>
          <w:sz w:val="13"/>
          <w:szCs w:val="13"/>
        </w:rPr>
        <w:t xml:space="preserve">WHS Act 2011  •  WHS Reg 2017 Ch.6 Pt.4  •  SafeWork NSW COP: Construction Work  •  AS/NZS 1576 Scaffolding  •  AS 3610 Formwork  •  HY Standard: Temporary Works Rev9</w:t>
      </w:r>
    </w:p>
    <w:p>
      <w:pPr>
        <w:spacing w:before="30"/>
      </w:pPr>
      <w:r>
        <w:rPr>
          <w:rFonts w:ascii="Arial" w:cs="Arial" w:eastAsia="Arial" w:hAnsi="Arial"/>
          <w:i/>
          <w:iCs/>
          <w:color w:val="888888"/>
          <w:sz w:val="11"/>
          <w:szCs w:val="11"/>
        </w:rPr>
        <w:t xml:space="preserve">Generated by Gatekeeper WHS Advisor  •  Benchmarked against Hansen Yuncken Temporary Works Standard Rev9 and AS/NZS 1576</w:t>
      </w:r>
    </w:p>
    <w:sectPr>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2026-02-23T13:07:04.311Z</dcterms:created>
  <dcterms:modified xsi:type="dcterms:W3CDTF">2026-02-23T13:07:04.311Z</dcterms:modified>
</cp:coreProperties>
</file>

<file path=docProps/custom.xml><?xml version="1.0" encoding="utf-8"?>
<Properties xmlns="http://schemas.openxmlformats.org/officeDocument/2006/custom-properties" xmlns:vt="http://schemas.openxmlformats.org/officeDocument/2006/docPropsVTypes"/>
</file>