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36"/>
          <w:szCs w:val="36"/>
        </w:rPr>
        <w:t xml:space="preserve">RPD COMMON CONTROLS LIBRARY</w:t>
      </w:r>
    </w:p>
    <w:p>
      <w:pPr>
        <w:spacing w:after="60"/>
        <w:jc w:val="center"/>
      </w:pPr>
      <w:r>
        <w:rPr>
          <w:rFonts w:ascii="Arial" w:cs="Arial" w:eastAsia="Arial" w:hAnsi="Arial"/>
          <w:color w:val="666666"/>
          <w:sz w:val="20"/>
          <w:szCs w:val="20"/>
        </w:rPr>
        <w:t xml:space="preserve">Robertson’s Remedial and Painting Pty Ltd</w:t>
      </w:r>
    </w:p>
    <w:p>
      <w:pPr>
        <w:spacing w:after="300"/>
        <w:jc w:val="center"/>
      </w:pPr>
      <w:r>
        <w:rPr>
          <w:rFonts w:ascii="Arial" w:cs="Arial" w:eastAsia="Arial" w:hAnsi="Arial"/>
          <w:i/>
          <w:iCs/>
          <w:color w:val="888888"/>
          <w:sz w:val="18"/>
          <w:szCs w:val="18"/>
        </w:rPr>
        <w:t xml:space="preserve">12 reusable task controls shared across Master and Standalone SWMS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4306"/>
        <w:gridCol w:w="1400"/>
        <w:gridCol w:w="1400"/>
      </w:tblGrid>
      <w:tr>
        <w:tc>
          <w:tcPr>
            <w:tcW w:type="dxa" w:w="2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Document:</w:t>
            </w:r>
          </w:p>
        </w:tc>
        <w:tc>
          <w:tcPr>
            <w:tcW w:type="dxa" w:w="43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RPD Common Controls Library</w:t>
            </w:r>
          </w:p>
        </w:tc>
        <w:tc>
          <w:tcPr>
            <w:tcW w:type="dxa" w:w="1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Ref:</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RPD-CCL-001</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Version:</w:t>
            </w:r>
          </w:p>
        </w:tc>
        <w:tc>
          <w:tcPr>
            <w:tcW w:type="dxa" w:w="43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1.0</w:t>
            </w:r>
          </w:p>
        </w:tc>
        <w:tc>
          <w:tcPr>
            <w:tcW w:type="dxa" w:w="1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Date: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25 Feb 2026</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Governed by:</w:t>
            </w:r>
          </w:p>
        </w:tc>
        <w:tc>
          <w:tcPr>
            <w:tcW w:type="dxa" w:w="43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RPD-GOV-001 Architecture Governance Layer v1.0</w:t>
            </w:r>
          </w:p>
        </w:tc>
        <w:tc>
          <w:tcPr>
            <w:tcW w:type="dxa" w:w="1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Status: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color w:val="C00000"/>
                <w:sz w:val="18"/>
                <w:szCs w:val="18"/>
              </w:rPr>
              <w:t xml:space="preserve">DRAFT</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Author:</w:t>
            </w:r>
          </w:p>
        </w:tc>
        <w:tc>
          <w:tcPr>
            <w:tcW w:type="dxa" w:w="43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Alan Richardson — WHS Consultant</w:t>
            </w:r>
          </w:p>
        </w:tc>
        <w:tc>
          <w:tcPr>
            <w:tcW w:type="dxa" w:w="1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Next Review:</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Feb 2027</w:t>
            </w:r>
          </w:p>
        </w:tc>
      </w:tr>
    </w:tbl>
    <w:p>
      <w:pPr>
        <w:pStyle w:val="Heading1"/>
        <w:spacing w:before="300" w:after="200"/>
      </w:pPr>
      <w:r>
        <w:rPr>
          <w:rFonts w:ascii="Arial" w:cs="Arial" w:eastAsia="Arial" w:hAnsi="Arial"/>
          <w:b/>
          <w:bCs/>
          <w:color w:val="1F3864"/>
          <w:sz w:val="28"/>
          <w:szCs w:val="28"/>
        </w:rPr>
        <w:t xml:space="preserve">Summary Matrix</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550"/>
        <w:gridCol w:w="550"/>
        <w:gridCol w:w="660"/>
        <w:gridCol w:w="660"/>
        <w:gridCol w:w="660"/>
        <w:gridCol w:w="660"/>
        <w:gridCol w:w="660"/>
        <w:gridCol w:w="660"/>
      </w:tblGrid>
      <w:tr>
        <w:trPr>
          <w:tblHeader/>
        </w:trPr>
        <w:tc>
          <w:tcPr>
            <w:tcW w:type="dxa" w:w="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t>
            </w:r>
          </w:p>
        </w:tc>
        <w:tc>
          <w:tcPr>
            <w:tcW w:type="dxa" w:w="2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55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Code</w:t>
            </w:r>
          </w:p>
        </w:tc>
        <w:tc>
          <w:tcPr>
            <w:tcW w:type="dxa" w:w="55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Risk</w:t>
            </w:r>
          </w:p>
        </w:tc>
        <w:tc>
          <w:tcPr>
            <w:tcW w:type="dxa" w:w="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Rem</w:t>
            </w:r>
          </w:p>
        </w:tc>
        <w:tc>
          <w:tcPr>
            <w:tcW w:type="dxa" w:w="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Paint</w:t>
            </w:r>
          </w:p>
        </w:tc>
        <w:tc>
          <w:tcPr>
            <w:tcW w:type="dxa" w:w="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Spray</w:t>
            </w:r>
          </w:p>
        </w:tc>
        <w:tc>
          <w:tcPr>
            <w:tcW w:type="dxa" w:w="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Gnd</w:t>
            </w:r>
          </w:p>
        </w:tc>
        <w:tc>
          <w:tcPr>
            <w:tcW w:type="dxa" w:w="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Clad</w:t>
            </w:r>
          </w:p>
        </w:tc>
        <w:tc>
          <w:tcPr>
            <w:tcW w:type="dxa" w:w="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Demo</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Site Induction and Daily Sign-In</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8"/>
                <w:szCs w:val="18"/>
              </w:rPr>
              <w:t xml:space="preserve">SYS</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Low</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2</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Residents and Public Interface</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8"/>
                <w:szCs w:val="18"/>
              </w:rPr>
              <w:t xml:space="preserve">SYS</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Med</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3</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Scaffold</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8"/>
                <w:szCs w:val="18"/>
              </w:rPr>
              <w:t xml:space="preserve">WAH</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High</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18"/>
                <w:szCs w:val="18"/>
              </w:rPr>
              <w:t xml:space="preserve">—</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4</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Fall Restraint — Harness</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8"/>
                <w:szCs w:val="18"/>
              </w:rPr>
              <w:t xml:space="preserve">WAH</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High</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5</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Drilling/Cutting/Grinding — Silica</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8"/>
                <w:szCs w:val="18"/>
              </w:rPr>
              <w:t xml:space="preserve">SIL</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High</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6</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Surface Preparation (no silica)</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8"/>
                <w:szCs w:val="18"/>
              </w:rPr>
              <w:t xml:space="preserve">PRE</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Med</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18"/>
                <w:szCs w:val="18"/>
              </w:rPr>
              <w:t xml:space="preserve">—</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7</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Electrical Tools and Leads</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8"/>
                <w:szCs w:val="18"/>
              </w:rPr>
              <w:t xml:space="preserve">ELE</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Med</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18"/>
                <w:szCs w:val="18"/>
              </w:rPr>
              <w:t xml:space="preserve">—</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8</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Manual Handling</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8"/>
                <w:szCs w:val="18"/>
              </w:rPr>
              <w:t xml:space="preserve">PRE</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Med</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9</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Housekeeping and Waste</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8"/>
                <w:szCs w:val="18"/>
              </w:rPr>
              <w:t xml:space="preserve">PRE</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Low</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10</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Heat / Adverse Weather</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8"/>
                <w:szCs w:val="18"/>
              </w:rPr>
              <w:t xml:space="preserve">SYS</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Med</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11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Hazardous Chemicals</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8"/>
                <w:szCs w:val="18"/>
              </w:rPr>
              <w:t xml:space="preserve">HAZ</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Med</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pPr>
              <w:spacing w:after="40"/>
            </w:pPr>
            <w:r>
              <w:rPr>
                <w:rFonts w:ascii="Arial" w:cs="Arial" w:eastAsia="Arial" w:hAnsi="Arial"/>
                <w:sz w:val="18"/>
                <w:szCs w:val="18"/>
              </w:rPr>
              <w:t xml:space="preserve">—</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12</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Emergency Response</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8"/>
                <w:szCs w:val="18"/>
              </w:rPr>
              <w:t xml:space="preserve">SYS</w:t>
            </w:r>
          </w:p>
        </w:tc>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High</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6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t>
            </w:r>
          </w:p>
        </w:tc>
      </w:tr>
    </w:tbl>
    <w:p>
      <w:pPr>
        <w:spacing w:before="120" w:after="60"/>
      </w:pPr>
      <w:r>
        <w:rPr>
          <w:rFonts w:ascii="Arial" w:cs="Arial" w:eastAsia="Arial" w:hAnsi="Arial"/>
          <w:b/>
          <w:bCs/>
          <w:sz w:val="18"/>
          <w:szCs w:val="18"/>
        </w:rPr>
        <w:t xml:space="preserve">Rule: </w:t>
      </w:r>
      <w:r>
        <w:rPr>
          <w:rFonts w:ascii="Arial" w:cs="Arial" w:eastAsia="Arial" w:hAnsi="Arial"/>
          <w:sz w:val="18"/>
          <w:szCs w:val="18"/>
        </w:rPr>
        <w:t xml:space="preserve">If a control appears in 2 or more SWMS, it must be sourced from this library. No manual duplication.</w:t>
      </w:r>
    </w:p>
    <w:p>
      <w:pPr>
        <w:spacing w:after="60"/>
      </w:pPr>
      <w:r>
        <w:rPr>
          <w:rFonts w:ascii="Arial" w:cs="Arial" w:eastAsia="Arial" w:hAnsi="Arial"/>
          <w:b/>
          <w:bCs/>
          <w:sz w:val="18"/>
          <w:szCs w:val="18"/>
        </w:rPr>
        <w:t xml:space="preserve">Rule: </w:t>
      </w:r>
      <w:r>
        <w:rPr>
          <w:rFonts w:ascii="Arial" w:cs="Arial" w:eastAsia="Arial" w:hAnsi="Arial"/>
          <w:sz w:val="18"/>
          <w:szCs w:val="18"/>
        </w:rPr>
        <w:t xml:space="preserve">Task 1 (Site Induction) is always the first task. Task 12 (Emergency Response) is always the last task. Other tasks numbered per Master SWMS.</w:t>
      </w:r>
    </w:p>
    <w:p>
      <w:r>
        <w:br w:type="page"/>
      </w:r>
    </w:p>
    <w:p>
      <w:pPr>
        <w:pStyle w:val="Heading1"/>
        <w:spacing w:before="200" w:after="300"/>
      </w:pPr>
      <w:r>
        <w:rPr>
          <w:rFonts w:ascii="Arial" w:cs="Arial" w:eastAsia="Arial" w:hAnsi="Arial"/>
          <w:b/>
          <w:bCs/>
          <w:color w:val="1F3864"/>
          <w:sz w:val="28"/>
          <w:szCs w:val="28"/>
        </w:rPr>
        <w:t xml:space="preserve">Common Control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c>
          <w:tcPr>
            <w:tcW w:type="dxa" w:w="9506"/>
            <w:gridSpan w:val="2"/>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2"/>
                <w:szCs w:val="22"/>
              </w:rPr>
              <w:t xml:space="preserve">1. Site Induction and Daily Sign-In</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Code / Risk</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20"/>
                <w:szCs w:val="20"/>
              </w:rPr>
              <w:t xml:space="preserve">SYS</w:t>
            </w:r>
            <w:r>
              <w:rPr>
                <w:rFonts w:ascii="Arial" w:cs="Arial" w:eastAsia="Arial" w:hAnsi="Arial"/>
                <w:sz w:val="18"/>
                <w:szCs w:val="18"/>
              </w:rPr>
              <w:t xml:space="preserve"> — Low</w:t>
            </w:r>
            <w:r>
              <w:rPr>
                <w:rFonts w:ascii="Arial" w:cs="Arial" w:eastAsia="Arial" w:hAnsi="Arial"/>
                <w:b w:val="false"/>
                <w:bCs w:val="false"/>
                <w:color w:val="666666"/>
                <w:sz w:val="18"/>
                <w:szCs w:val="18"/>
              </w:rPr>
              <w:t xml:space="preserve">  |  Standard controls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Applies to</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All Masters + all Standalones. ALWAYS TASK 1.</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Scope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PC site induction completed by all workers on first day. Toolbox talk conducted weekly. All workers complete daily sign-in before commencing work each day.</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Engineering</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Emergency assembly point and contacts briefed at induction and updated as required.</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Admin</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PC site induction completed by all workers on first day — recorded in Breadcrumb. Toolbox talk conducted weekly — covers tasks, hazards, controls, weather, site changes — recorded in Breadcrumb. All workers complete daily sign-in before commencing work each day. No signature — no start. Emergency assembly point and contacts briefed at induction and updated as required and communicated at toolbox talk. Any site changes, new tasks, or changed conditions — SWMS reviewed and re-signed before work recommences.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PPE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As required by site — minimum hi-vis and safety boots in all work areas.</w:t>
            </w:r>
          </w:p>
        </w:tc>
      </w:tr>
    </w:tbl>
    <w:p>
      <w:pPr>
        <w:spacing w:after="3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c>
          <w:tcPr>
            <w:tcW w:type="dxa" w:w="9506"/>
            <w:gridSpan w:val="2"/>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2"/>
                <w:szCs w:val="22"/>
              </w:rPr>
              <w:t xml:space="preserve">2. Residents and Public Interface — Occupied Residential Premises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Code / Risk</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20"/>
                <w:szCs w:val="20"/>
              </w:rPr>
              <w:t xml:space="preserve">SYS</w:t>
            </w:r>
            <w:r>
              <w:rPr>
                <w:rFonts w:ascii="Arial" w:cs="Arial" w:eastAsia="Arial" w:hAnsi="Arial"/>
                <w:sz w:val="18"/>
                <w:szCs w:val="18"/>
              </w:rPr>
              <w:t xml:space="preserve"> — Medium</w:t>
            </w:r>
            <w:r>
              <w:rPr>
                <w:rFonts w:ascii="Arial" w:cs="Arial" w:eastAsia="Arial" w:hAnsi="Arial"/>
                <w:b w:val="false"/>
                <w:bCs w:val="false"/>
                <w:color w:val="666666"/>
                <w:sz w:val="18"/>
                <w:szCs w:val="18"/>
              </w:rPr>
              <w:t xml:space="preserve">  |  Standard controls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Applies to</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All Masters + Demolition LBS.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Scope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Prepare work area; establish exclusion zones; deliver materials; set up barricades and signage for interior and exterior work areas.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Engineering</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Hoarding, barriers, or screens to fully separate residents and public from all active work zones always. Debris catch netting on scaffold above all pedestrian areas. Overhead catch protection above common area entry and exit points.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Admin</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Traffic/pedestrian controller or spotter where required. Keep plant and materials within site boundary. Schedule deliveries off-peak. Coordinate all work hours with Strata Manager or Authorised Person — minimum 7 days’ written notice before commencing each new work package. Work zone inspected and fully secured at end of each shift — no exposed hazards accessible to residents or public overnight. Emergency egress maintained at all times — no blocking of fire exits or corridors.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PPE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Hi-vis, safety boots, hard hat in all common areas.</w:t>
            </w:r>
          </w:p>
        </w:tc>
      </w:tr>
      <w:tr>
        <w:tc>
          <w:tcPr>
            <w:tcW w:type="dxa" w:w="20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r>
              <w:rPr>
                <w:rFonts w:ascii="Arial" w:cs="Arial" w:eastAsia="Arial" w:hAnsi="Arial"/>
                <w:b/>
                <w:bCs/>
                <w:sz w:val="18"/>
                <w:szCs w:val="18"/>
              </w:rPr>
              <w:t xml:space="preserve">HOLD POINT</w:t>
            </w:r>
          </w:p>
        </w:tc>
        <w:tc>
          <w:tcPr>
            <w:tcW w:type="dxa" w:w="7506"/>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If exclusion zone cannot be maintained without encroaching on footpath or roadway — STOP and implement approved Traffic/Pedestrian Management Plan before continuing.</w:t>
            </w:r>
          </w:p>
        </w:tc>
      </w:tr>
    </w:tbl>
    <w:p>
      <w:pPr>
        <w:spacing w:after="3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c>
          <w:tcPr>
            <w:tcW w:type="dxa" w:w="9506"/>
            <w:gridSpan w:val="2"/>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2"/>
                <w:szCs w:val="22"/>
              </w:rPr>
              <w:t xml:space="preserve">3. Scaffold — Erection, Use, and Dismantling</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Code / Risk</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20"/>
                <w:szCs w:val="20"/>
              </w:rPr>
              <w:t xml:space="preserve">WAH</w:t>
            </w:r>
            <w:r>
              <w:rPr>
                <w:rFonts w:ascii="Arial" w:cs="Arial" w:eastAsia="Arial" w:hAnsi="Arial"/>
                <w:sz w:val="18"/>
                <w:szCs w:val="18"/>
              </w:rPr>
              <w:t xml:space="preserve"> — High</w:t>
            </w:r>
            <w:r>
              <w:rPr>
                <w:rFonts w:ascii="Arial" w:cs="Arial" w:eastAsia="Arial" w:hAnsi="Arial"/>
                <w:b/>
                <w:bCs/>
                <w:color w:val="1F6B1F"/>
                <w:sz w:val="18"/>
                <w:szCs w:val="18"/>
              </w:rPr>
              <w:t xml:space="preserve">  |  CCVS: HOLD POINT REQUIRED</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Applies to</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Remedial Works, Painting Works, Spray Painting, Cladding Works.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Scope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Scaffolding may be used for work at height. Scaffold is erected/altered/dismantled by a competent person (licensed scaffolder where required) and used as per design/manufacturer requirements. Access via scaffold stairs/secured ladders only — no climbing frames/braces.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Engineering</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Stable footing. Inspected and handed over/tagged before use and re-inspected at least every 30 days and after any alteration/impact/severe weather. Fully decked platforms, clear of trip hazards. Edge protection (top/mid rails + toe-boards) to open edges. Safe access/egress maintained; prevent inadvertent public entry. Falling object controls (toe-boards/mesh/screens) as required. SWL displayed and not exceeded.</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Admin</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No unauthorised modifications. Do not use unless handed over/tagged and confirmed safe. Exclusion zone/barricades below during erection/dismantling and overhead work. Daily pre-use visual check — defects reported and scaffold isolated until rectified and re-inspected. Housekeeping maintained; use designated access only.</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PPE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Helmet, safety boots, hi-vis. Harness during erection/dismantling where required.</w:t>
            </w:r>
          </w:p>
        </w:tc>
      </w:tr>
      <w:tr>
        <w:tc>
          <w:tcPr>
            <w:tcW w:type="dxa" w:w="20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r>
              <w:rPr>
                <w:rFonts w:ascii="Arial" w:cs="Arial" w:eastAsia="Arial" w:hAnsi="Arial"/>
                <w:b/>
                <w:bCs/>
                <w:sz w:val="18"/>
                <w:szCs w:val="18"/>
              </w:rPr>
              <w:t xml:space="preserve">HOLD POINT</w:t>
            </w:r>
          </w:p>
        </w:tc>
        <w:tc>
          <w:tcPr>
            <w:tcW w:type="dxa" w:w="7506"/>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No handover certificate/tag = STOP. No worker access until sighted/confirmed.</w:t>
            </w:r>
          </w:p>
        </w:tc>
      </w:tr>
    </w:tbl>
    <w:p>
      <w:pPr>
        <w:spacing w:after="300"/>
      </w:pP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c>
          <w:tcPr>
            <w:tcW w:type="dxa" w:w="9506"/>
            <w:gridSpan w:val="2"/>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2"/>
                <w:szCs w:val="22"/>
              </w:rPr>
              <w:t xml:space="preserve">4. Fall Restraint — Harness and Lanyard</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Code / Risk</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20"/>
                <w:szCs w:val="20"/>
              </w:rPr>
              <w:t xml:space="preserve">WAH</w:t>
            </w:r>
            <w:r>
              <w:rPr>
                <w:rFonts w:ascii="Arial" w:cs="Arial" w:eastAsia="Arial" w:hAnsi="Arial"/>
                <w:sz w:val="18"/>
                <w:szCs w:val="18"/>
              </w:rPr>
              <w:t xml:space="preserve"> — High</w:t>
            </w:r>
            <w:r>
              <w:rPr>
                <w:rFonts w:ascii="Arial" w:cs="Arial" w:eastAsia="Arial" w:hAnsi="Arial"/>
                <w:b/>
                <w:bCs/>
                <w:color w:val="1F6B1F"/>
                <w:sz w:val="18"/>
                <w:szCs w:val="18"/>
              </w:rPr>
              <w:t xml:space="preserve">  |  CCVS: HOLD POINT REQUIRED</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Applies to</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All Masters + Demolition LBS.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Scope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Fall restraint prevents reaching an edge. Trained/certified workers only RIIWHS204E — Work safely at heights. Use to manufacturer instructions; lanyard set so the worker cannot reach the fall edge.</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Engineering</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Use rated anchor points/lines only. Approved harness + restraint lanyard; connectors locked; protect from sharp edges. Anchor positioned to minimise swing and maintain restraint.</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Admin</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Pre-use check each day; tag-out if damaged/expired/shock-loaded. Fit and adjust for restraint and 100% tie-off in the work zone. Rescue/emergency plan in place; supervisor verifies anchor suitability.</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PPE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Safety boots, hi-vis, harness + restraint lanyard.</w:t>
            </w:r>
          </w:p>
        </w:tc>
      </w:tr>
      <w:tr>
        <w:tc>
          <w:tcPr>
            <w:tcW w:type="dxa" w:w="20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r>
              <w:rPr>
                <w:rFonts w:ascii="Arial" w:cs="Arial" w:eastAsia="Arial" w:hAnsi="Arial"/>
                <w:b/>
                <w:bCs/>
                <w:sz w:val="18"/>
                <w:szCs w:val="18"/>
              </w:rPr>
              <w:t xml:space="preserve">HOLD POINT</w:t>
            </w:r>
          </w:p>
        </w:tc>
        <w:tc>
          <w:tcPr>
            <w:tcW w:type="dxa" w:w="7506"/>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If rescue/emergency plan and kit not located near work area, or rated anchor not confirmed, or restraint cannot be achieved — STOP.</w:t>
            </w:r>
          </w:p>
        </w:tc>
      </w:tr>
    </w:tbl>
    <w:p>
      <w:pPr>
        <w:spacing w:after="3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c>
          <w:tcPr>
            <w:tcW w:type="dxa" w:w="9506"/>
            <w:gridSpan w:val="2"/>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2"/>
                <w:szCs w:val="22"/>
              </w:rPr>
              <w:t xml:space="preserve">5. Drilling, Cutting or Grinding — Silica Containing Materials (concrete, masonry, tile)</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Code / Risk</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20"/>
                <w:szCs w:val="20"/>
              </w:rPr>
              <w:t xml:space="preserve">SIL</w:t>
            </w:r>
            <w:r>
              <w:rPr>
                <w:rFonts w:ascii="Arial" w:cs="Arial" w:eastAsia="Arial" w:hAnsi="Arial"/>
                <w:sz w:val="18"/>
                <w:szCs w:val="18"/>
              </w:rPr>
              <w:t xml:space="preserve"> — High</w:t>
            </w:r>
            <w:r>
              <w:rPr>
                <w:rFonts w:ascii="Arial" w:cs="Arial" w:eastAsia="Arial" w:hAnsi="Arial"/>
                <w:b/>
                <w:bCs/>
                <w:color w:val="1F6B1F"/>
                <w:sz w:val="18"/>
                <w:szCs w:val="18"/>
              </w:rPr>
              <w:t xml:space="preserve">  |  CCVS: HOLD POINT REQUIRED</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Applies to</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Remedial Works, Painting Works, Cladding Works, Groundworks, Demolition LBS.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Scope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Concrete scanning with Ground Penetrating Radar (GPR) or as-built drawings referenced before operations to confirm no reinforcement or embedded services in drill/cut path. Location of services marked with paint before tool use. Wet suppression or HEPA vacuum shroud confirmed before commencing each operation. Clean-up HEPA vacuum or heavy wet suppression and sweep.</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Engineering</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Wet suppression or HEPA vacuum shroud confirmed before commencing each operation.</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Admin</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P2 respirator for all operations. Safety glasses and hearing protection mandatory. Depth stop set to prevent over-penetration through slab. Vibration exposure managed — task rotation, tool maintenance current. Exclusion zone below drilling point — no persons below during core drilling.</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PPE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P2 respirator, safety glasses, hearing protection, gloves, steel-cap boots.</w:t>
            </w:r>
          </w:p>
        </w:tc>
      </w:tr>
      <w:tr>
        <w:tc>
          <w:tcPr>
            <w:tcW w:type="dxa" w:w="20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r>
              <w:rPr>
                <w:rFonts w:ascii="Arial" w:cs="Arial" w:eastAsia="Arial" w:hAnsi="Arial"/>
                <w:b/>
                <w:bCs/>
                <w:sz w:val="18"/>
                <w:szCs w:val="18"/>
              </w:rPr>
              <w:t xml:space="preserve">HOLD POINT</w:t>
            </w:r>
          </w:p>
        </w:tc>
        <w:tc>
          <w:tcPr>
            <w:tcW w:type="dxa" w:w="7506"/>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sz w:val="18"/>
                <w:szCs w:val="18"/>
              </w:rPr>
              <w:t xml:space="preserve">Wet suppression or HEPA extraction confirmed operational before commencing. GPR scan or as-built drawings sighted.</w:t>
            </w:r>
          </w:p>
        </w:tc>
      </w:tr>
      <w:tr>
        <w:tc>
          <w:tcPr>
            <w:tcW w:type="dxa" w:w="20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r>
              <w:rPr>
                <w:rFonts w:ascii="Arial" w:cs="Arial" w:eastAsia="Arial" w:hAnsi="Arial"/>
                <w:b/>
                <w:bCs/>
                <w:sz w:val="18"/>
                <w:szCs w:val="18"/>
              </w:rPr>
              <w:t xml:space="preserve">STOP WORK</w:t>
            </w:r>
          </w:p>
        </w:tc>
        <w:tc>
          <w:tcPr>
            <w:tcW w:type="dxa" w:w="7506"/>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color w:val="C00000"/>
                <w:sz w:val="18"/>
                <w:szCs w:val="18"/>
              </w:rPr>
              <w:t xml:space="preserve">Wet suppression or HEPA extraction system unavailable or fails — stop operation immediately.</w:t>
            </w:r>
          </w:p>
        </w:tc>
      </w:tr>
    </w:tbl>
    <w:p>
      <w:pPr>
        <w:spacing w:after="3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c>
          <w:tcPr>
            <w:tcW w:type="dxa" w:w="9506"/>
            <w:gridSpan w:val="2"/>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2"/>
                <w:szCs w:val="22"/>
              </w:rPr>
              <w:t xml:space="preserve">6. Surface Preparation (no silica)</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Code / Risk</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20"/>
                <w:szCs w:val="20"/>
              </w:rPr>
              <w:t xml:space="preserve">PRE</w:t>
            </w:r>
            <w:r>
              <w:rPr>
                <w:rFonts w:ascii="Arial" w:cs="Arial" w:eastAsia="Arial" w:hAnsi="Arial"/>
                <w:sz w:val="18"/>
                <w:szCs w:val="18"/>
              </w:rPr>
              <w:t xml:space="preserve"> — Medium</w:t>
            </w:r>
            <w:r>
              <w:rPr>
                <w:rFonts w:ascii="Arial" w:cs="Arial" w:eastAsia="Arial" w:hAnsi="Arial"/>
                <w:b w:val="false"/>
                <w:bCs w:val="false"/>
                <w:color w:val="666666"/>
                <w:sz w:val="18"/>
                <w:szCs w:val="18"/>
              </w:rPr>
              <w:t xml:space="preserve">  |  Standard controls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Applies to</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Remedial Works, Painting Works.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Scope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Scrape, sand, spot-fill and prepare interior and exterior areas prior to painting or coating. High pressure wash external surfaces only. Rendering, patching, crack filling, sealant application. No grinding silica-containing materials — if cutting/grinding concrete, masonry or tile, use Task 5 (SIL).</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Engineering</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High pressure washer — rated tip only, trigger lock when not in use, never point at persons. Drop sheets and catch bags to contain debris and wash-off. All dry sanding with P2 respirator fitted and fit-checked. If wet methods appropriate — wet sanding or damp sponge technique to be considered. Use battery tools where possible. All 240V tools RCD-protected and test-tagged before use. No 240V tools in wet areas.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Admin</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SDS reviewed for all cleaning products before use — on site. Eye and face protection during pressure washing and scraping. Keep public and residents clear of prep area — barricades maintained. Debris and wash-off collected — not to stormwater.</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PPE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P2 respirator (dry sanding or powered sanding only), face shield or safety glasses, chemical-resistant gloves, waterproof footwear (pressure washing), hearing protection (powered tools).</w:t>
            </w:r>
          </w:p>
        </w:tc>
      </w:tr>
      <w:tr>
        <w:tc>
          <w:tcPr>
            <w:tcW w:type="dxa" w:w="20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r>
              <w:rPr>
                <w:rFonts w:ascii="Arial" w:cs="Arial" w:eastAsia="Arial" w:hAnsi="Arial"/>
                <w:b/>
                <w:bCs/>
                <w:sz w:val="18"/>
                <w:szCs w:val="18"/>
              </w:rPr>
              <w:t xml:space="preserve">STOP WORK</w:t>
            </w:r>
          </w:p>
        </w:tc>
        <w:tc>
          <w:tcPr>
            <w:tcW w:type="dxa" w:w="7506"/>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color w:val="C00000"/>
                <w:sz w:val="18"/>
                <w:szCs w:val="18"/>
              </w:rPr>
              <w:t xml:space="preserve">If dust controls fail, RCD trips and cannot be reset, or 240V tool used in wet area — stop work.</w:t>
            </w:r>
          </w:p>
        </w:tc>
      </w:tr>
    </w:tbl>
    <w:p>
      <w:pPr>
        <w:spacing w:after="300"/>
      </w:pP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c>
          <w:tcPr>
            <w:tcW w:type="dxa" w:w="9506"/>
            <w:gridSpan w:val="2"/>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2"/>
                <w:szCs w:val="22"/>
              </w:rPr>
              <w:t xml:space="preserve">7. Electrical Tools and Extension Leads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Code / Risk</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20"/>
                <w:szCs w:val="20"/>
              </w:rPr>
              <w:t xml:space="preserve">ELE</w:t>
            </w:r>
            <w:r>
              <w:rPr>
                <w:rFonts w:ascii="Arial" w:cs="Arial" w:eastAsia="Arial" w:hAnsi="Arial"/>
                <w:sz w:val="18"/>
                <w:szCs w:val="18"/>
              </w:rPr>
              <w:t xml:space="preserve"> — Medium</w:t>
            </w:r>
            <w:r>
              <w:rPr>
                <w:rFonts w:ascii="Arial" w:cs="Arial" w:eastAsia="Arial" w:hAnsi="Arial"/>
                <w:b w:val="false"/>
                <w:bCs w:val="false"/>
                <w:color w:val="666666"/>
                <w:sz w:val="18"/>
                <w:szCs w:val="18"/>
              </w:rPr>
              <w:t xml:space="preserve">  |  Standard controls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Applies to</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Remedial Works, Painting Works, Spray Painting, Groundworks, Cladding Works.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Scope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Use of 240V power tools, battery tools, brick saws, mixers, and extension leads on site.</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Engineering</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All 240V tools and leads protected by RCD. Battery-powered tools used wherever practicable — especially in wet conditions.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Admin</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All tools and leads tested and tagged AS/NZS 3760 — construction 3-monthly minimum. Visual inspection pre-use each day — no damaged plugs, cords, or housings. No daisy-chaining of leads. Leads elevated off ground or working platform — not trailing. Isolate before clearing jams or changing attachments. All 240V tools removed from balconies/terrace during rain — not used in standing water.</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PPE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Eye protection, hearing protection, steel-cap boots, hi-vis.</w:t>
            </w:r>
          </w:p>
        </w:tc>
      </w:tr>
    </w:tbl>
    <w:p>
      <w:pPr>
        <w:spacing w:after="3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c>
          <w:tcPr>
            <w:tcW w:type="dxa" w:w="9506"/>
            <w:gridSpan w:val="2"/>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2"/>
                <w:szCs w:val="22"/>
              </w:rPr>
              <w:t xml:space="preserve">8. Manual Handling and Materials Movement</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Code / Risk</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20"/>
                <w:szCs w:val="20"/>
              </w:rPr>
              <w:t xml:space="preserve">PRE</w:t>
            </w:r>
            <w:r>
              <w:rPr>
                <w:rFonts w:ascii="Arial" w:cs="Arial" w:eastAsia="Arial" w:hAnsi="Arial"/>
                <w:sz w:val="18"/>
                <w:szCs w:val="18"/>
              </w:rPr>
              <w:t xml:space="preserve"> — Medium</w:t>
            </w:r>
            <w:r>
              <w:rPr>
                <w:rFonts w:ascii="Arial" w:cs="Arial" w:eastAsia="Arial" w:hAnsi="Arial"/>
                <w:b w:val="false"/>
                <w:bCs w:val="false"/>
                <w:color w:val="666666"/>
                <w:sz w:val="18"/>
                <w:szCs w:val="18"/>
              </w:rPr>
              <w:t xml:space="preserve">  |  Standard controls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Applies to</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All Masters + all Standalones.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Scope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Lifting, carrying, pushing, pulling materials and equipment on site. Includes delivery receival, distribution to work areas, and waste removal.</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Engineering</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Mechanical aids used wherever practicable — trolleys, hoists, scaffold gin wheels, wheelbarrows, pallet jacks. Materials stored on stable, level surfaces at working height where possible. Heavy or awkward loads planned for two-person or mechanical lift.</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Admin</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Team lifts for loads over 20 kg or awkward shape. Delivery areas clear and level before unloading. Materials not stacked above shoulder height unless racked. Workers trained in manual handling technique at induction. Task rotation for repetitive lifting. Clear access maintained — no carrying loads through obstructed areas or up ladders.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PPE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Safety boots, gloves, hi-vis.</w:t>
            </w:r>
          </w:p>
        </w:tc>
      </w:tr>
    </w:tbl>
    <w:p>
      <w:pPr>
        <w:spacing w:after="3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c>
          <w:tcPr>
            <w:tcW w:type="dxa" w:w="9506"/>
            <w:gridSpan w:val="2"/>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2"/>
                <w:szCs w:val="22"/>
              </w:rPr>
              <w:t xml:space="preserve">9. Housekeeping and Waste Management</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Code / Risk</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20"/>
                <w:szCs w:val="20"/>
              </w:rPr>
              <w:t xml:space="preserve">PRE</w:t>
            </w:r>
            <w:r>
              <w:rPr>
                <w:rFonts w:ascii="Arial" w:cs="Arial" w:eastAsia="Arial" w:hAnsi="Arial"/>
                <w:sz w:val="18"/>
                <w:szCs w:val="18"/>
              </w:rPr>
              <w:t xml:space="preserve"> — Low</w:t>
            </w:r>
            <w:r>
              <w:rPr>
                <w:rFonts w:ascii="Arial" w:cs="Arial" w:eastAsia="Arial" w:hAnsi="Arial"/>
                <w:b w:val="false"/>
                <w:bCs w:val="false"/>
                <w:color w:val="666666"/>
                <w:sz w:val="18"/>
                <w:szCs w:val="18"/>
              </w:rPr>
              <w:t xml:space="preserve">  |  Standard controls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Applies to</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All Masters + all Standalones.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Scope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Maintaining clean and safe work areas. Waste segregation, storage, and removal. End-of-shift site securing.</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Engineering</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Designated waste storage area with segregated bins (general, recyclable, hazardous). Debris chutes or enclosed hoisting for waste removal from height. Spill containment for liquid waste. Wash-out areas contained — no discharge to stormwater.</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Admin</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Work area cleaned progressively throughout the day — not left until end of shift. All off-cuts, packaging, and debris cleared from walkways and work platforms immediately. Nails removed or bent over on stripped formwork/timber. End of each shift: work zone inspected, hazards removed, tools secured, area safe for residents overnight. Waste removed from site at minimum weekly or as required. Hazardous waste (paint, solvents, silica slurry) disposed per SDS Section 13.</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PPE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Safety boots, gloves, hi-vis.</w:t>
            </w:r>
          </w:p>
        </w:tc>
      </w:tr>
    </w:tbl>
    <w:p>
      <w:pPr>
        <w:spacing w:after="300"/>
      </w:pP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c>
          <w:tcPr>
            <w:tcW w:type="dxa" w:w="9506"/>
            <w:gridSpan w:val="2"/>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2"/>
                <w:szCs w:val="22"/>
              </w:rPr>
              <w:t xml:space="preserve">10. Working in Heat and Adverse Weather</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Code / Risk</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20"/>
                <w:szCs w:val="20"/>
              </w:rPr>
              <w:t xml:space="preserve">SYS</w:t>
            </w:r>
            <w:r>
              <w:rPr>
                <w:rFonts w:ascii="Arial" w:cs="Arial" w:eastAsia="Arial" w:hAnsi="Arial"/>
                <w:sz w:val="18"/>
                <w:szCs w:val="18"/>
              </w:rPr>
              <w:t xml:space="preserve"> — Medium</w:t>
            </w:r>
            <w:r>
              <w:rPr>
                <w:rFonts w:ascii="Arial" w:cs="Arial" w:eastAsia="Arial" w:hAnsi="Arial"/>
                <w:b w:val="false"/>
                <w:bCs w:val="false"/>
                <w:color w:val="666666"/>
                <w:sz w:val="18"/>
                <w:szCs w:val="18"/>
              </w:rPr>
              <w:t xml:space="preserve">  |  Standard controls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Applies to</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All Masters + all Standalones.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Scope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Managing heat stress, UV exposure, wind, rain, and electrical storms during outdoor construction work.</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Engineering</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Shade structures or sheltered rest areas provided where practicable. Cool drinking water accessible at all times within work area.</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Admin</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Monitor Bureau of Meteorology for severe weather warnings daily before shift start. Heat: modify work/rest cycles when temperature exceeds 35°C — increase rest breaks, rotate heavy tasks, encourage hydration. UV: schedule outdoor work outside 10am–2pm peak where practicable. Wind: cease crane lifts and scaffold work when sustained winds exceed 40 km/h or as per lift plan/scaffold design. Rain: cease electrical tool use on exposed platforms. Secure loose materials before forecast high winds. Lightning: all outdoor work ceases — workers to shelter until 30 minutes after last observed lightning.</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PPE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Sunscreen SPF 50+, hat with brim, long sleeves. Wet weather gear as required.</w:t>
            </w:r>
          </w:p>
        </w:tc>
      </w:tr>
      <w:tr>
        <w:tc>
          <w:tcPr>
            <w:tcW w:type="dxa" w:w="20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r>
              <w:rPr>
                <w:rFonts w:ascii="Arial" w:cs="Arial" w:eastAsia="Arial" w:hAnsi="Arial"/>
                <w:b/>
                <w:bCs/>
                <w:sz w:val="18"/>
                <w:szCs w:val="18"/>
              </w:rPr>
              <w:t xml:space="preserve">STOP WORK</w:t>
            </w:r>
          </w:p>
        </w:tc>
        <w:tc>
          <w:tcPr>
            <w:tcW w:type="dxa" w:w="7506"/>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color w:val="C00000"/>
                <w:sz w:val="18"/>
                <w:szCs w:val="18"/>
              </w:rPr>
              <w:t xml:space="preserve">Lightning observed or Bureau severe weather warning for site locality — all outdoor work ceases immediately.</w:t>
            </w:r>
          </w:p>
        </w:tc>
      </w:tr>
    </w:tbl>
    <w:p>
      <w:pPr>
        <w:spacing w:after="3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c>
          <w:tcPr>
            <w:tcW w:type="dxa" w:w="9506"/>
            <w:gridSpan w:val="2"/>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2"/>
                <w:szCs w:val="22"/>
              </w:rPr>
              <w:t xml:space="preserve">11. Hazardous Chemicals — Solvents, Adhesives, Coatings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Code / Risk</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20"/>
                <w:szCs w:val="20"/>
              </w:rPr>
              <w:t xml:space="preserve">HAZ</w:t>
            </w:r>
            <w:r>
              <w:rPr>
                <w:rFonts w:ascii="Arial" w:cs="Arial" w:eastAsia="Arial" w:hAnsi="Arial"/>
                <w:sz w:val="18"/>
                <w:szCs w:val="18"/>
              </w:rPr>
              <w:t xml:space="preserve"> — Medium</w:t>
            </w:r>
            <w:r>
              <w:rPr>
                <w:rFonts w:ascii="Arial" w:cs="Arial" w:eastAsia="Arial" w:hAnsi="Arial"/>
                <w:b w:val="false"/>
                <w:bCs w:val="false"/>
                <w:color w:val="666666"/>
                <w:sz w:val="18"/>
                <w:szCs w:val="18"/>
              </w:rPr>
              <w:t xml:space="preserve">  |  Standard controls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Applies to</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Remedial Works, Painting Works, Spray Painting, Cladding Works, Groundworks.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Scope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Use, storage, and disposal of hazardous chemicals on site including paint, solvents, thinners, adhesives, sealants, waterproofing membranes, and cleaning agents.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Engineering</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SDS for every chemical on site — current within 5 years. Chemical register maintained and accessible. Flammable storage cabinet for solvents/thinners where quantities exceed minor storage thresholds. Spill kit located adjacent to chemical storage. Ventilation — natural or forced — maintained in all areas where chemicals are used.</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Admin</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SDS reviewed before first use of any product. PPE as per SDS Section 8. No eating, drinking, or smoking in chemical use areas. Decant into labelled containers only — no unlabelled containers on site. Incompatible chemicals stored separately. Disposal per SDS Section 13 — no chemicals to stormwater or general waste. Workers trained in chemical handling and spill response at induction.</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PPE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As per SDS Section 8 — minimum: chemical-resistant gloves, safety glasses. Respirator (organic vapour cartridge) where SDS requires or ventilation inadequate.</w:t>
            </w:r>
          </w:p>
        </w:tc>
      </w:tr>
      <w:tr>
        <w:tc>
          <w:tcPr>
            <w:tcW w:type="dxa" w:w="20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r>
              <w:rPr>
                <w:rFonts w:ascii="Arial" w:cs="Arial" w:eastAsia="Arial" w:hAnsi="Arial"/>
                <w:b/>
                <w:bCs/>
                <w:sz w:val="18"/>
                <w:szCs w:val="18"/>
              </w:rPr>
              <w:t xml:space="preserve">STOP WORK</w:t>
            </w:r>
          </w:p>
        </w:tc>
        <w:tc>
          <w:tcPr>
            <w:tcW w:type="dxa" w:w="7506"/>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color w:val="C00000"/>
                <w:sz w:val="18"/>
                <w:szCs w:val="18"/>
              </w:rPr>
              <w:t xml:space="preserve">SDS not available for a product on site — do not use until SDS obtained and reviewed.</w:t>
            </w:r>
          </w:p>
        </w:tc>
      </w:tr>
    </w:tbl>
    <w:p>
      <w:pPr>
        <w:spacing w:after="3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c>
          <w:tcPr>
            <w:tcW w:type="dxa" w:w="9506"/>
            <w:gridSpan w:val="2"/>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2"/>
                <w:szCs w:val="22"/>
              </w:rPr>
              <w:t xml:space="preserve">12. Emergency Response</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Code / Risk</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20"/>
                <w:szCs w:val="20"/>
              </w:rPr>
              <w:t xml:space="preserve">SYS</w:t>
            </w:r>
            <w:r>
              <w:rPr>
                <w:rFonts w:ascii="Arial" w:cs="Arial" w:eastAsia="Arial" w:hAnsi="Arial"/>
                <w:sz w:val="18"/>
                <w:szCs w:val="18"/>
              </w:rPr>
              <w:t xml:space="preserve"> — High</w:t>
            </w:r>
            <w:r>
              <w:rPr>
                <w:rFonts w:ascii="Arial" w:cs="Arial" w:eastAsia="Arial" w:hAnsi="Arial"/>
                <w:b w:val="false"/>
                <w:bCs w:val="false"/>
                <w:color w:val="666666"/>
                <w:sz w:val="18"/>
                <w:szCs w:val="18"/>
              </w:rPr>
              <w:t xml:space="preserve">  |  Standard controls</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Applies to</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All Masters + all Standalones. ALWAYS LAST TASK.</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Scope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Site emergency plan briefed at induction and updated if required at weekly toolbox. First aid kit on site at all times. Emergency contacts displayed at site entry or communicated at toolbox.</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Engineering</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First aid kit stocked and accessible. Fire extinguisher on site where hot works or flammable materials present. Rescue kit on roof/platform for rope access and EWP work.</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Admin</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GENERAL: Call 000 for any serious injury or emergency. FIRE: Sound alarm. Evacuate to muster point. Call 000. Do not re-enter. Headcount all workers. MEDICAL: Call 000. First aider to patient. Do not move injured person unless in immediate danger. IRA ROPE RESCUE: Rescue plan briefed to all crew before first descent each day. Rescue kit confirmed on roof. Lead Tech initiates lower-or-raise per rescue plan. Rescue initiated immediately; recover as soon as practicable — suspension trauma onset rapid. If rescue cannot complete safely — maintain comms, await Fire and Rescue NSW (000). EWP RESCUE: Trained person uses ground-level override to lower basket — location briefed daily. If inoperable — isolate, maintain comms, call 000, await FRNSW. SUSPENSION TRAUMA (IRA + EWP): Keep worker upright, monitor ABC, call 000 if unresponsive. Do not lay flat immediately on recovery. CHEMICAL SPILL: Spill kit on site. Isolate area. Dispose per SDS Section 13. MUSTER POINT: Nominated at induction — updated if required at toolbox.</w:t>
            </w:r>
          </w:p>
        </w:tc>
      </w:tr>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8"/>
                <w:szCs w:val="18"/>
              </w:rPr>
              <w:t xml:space="preserve">PPE</w:t>
            </w:r>
          </w:p>
        </w:tc>
        <w:tc>
          <w:tcPr>
            <w:tcW w:type="dxa" w:w="75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8"/>
                <w:szCs w:val="18"/>
              </w:rPr>
              <w:t xml:space="preserve">As required for the emergency type.</w:t>
            </w:r>
          </w:p>
        </w:tc>
      </w:tr>
    </w:tbl>
    <w:p>
      <w:pPr>
        <w:spacing w:after="300"/>
      </w:pPr>
    </w:p>
    <w:p>
      <w:pPr>
        <w:spacing w:before="400"/>
      </w:pPr>
      <w:r>
        <w:rPr>
          <w:rFonts w:ascii="Arial" w:cs="Arial" w:eastAsia="Arial" w:hAnsi="Arial"/>
          <w:i/>
          <w:iCs/>
          <w:color w:val="888888"/>
          <w:sz w:val="18"/>
          <w:szCs w:val="18"/>
        </w:rPr>
        <w:t xml:space="preserve">— End of Common Controls Library —</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Robertson’s Remedial and Painting Pty Ltd |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4"/>
        <w:szCs w:val="14"/>
      </w:rPr>
      <w:t xml:space="preserve">RPD-CCL-001 v1.0 | Common Controls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2026-02-24T21:04:30.760Z</dcterms:created>
  <dcterms:modified xsi:type="dcterms:W3CDTF">2026-02-24T21:04:30.760Z</dcterms:modified>
</cp:coreProperties>
</file>

<file path=docProps/custom.xml><?xml version="1.0" encoding="utf-8"?>
<Properties xmlns="http://schemas.openxmlformats.org/officeDocument/2006/custom-properties" xmlns:vt="http://schemas.openxmlformats.org/officeDocument/2006/docPropsVTypes"/>
</file>