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RPD SWMS UPGRADE</w:t>
      </w:r>
    </w:p>
    <w:p>
      <w:pPr>
        <w:spacing w:after="60"/>
        <w:jc w:val="center"/>
      </w:pPr>
      <w:r>
        <w:rPr>
          <w:rFonts w:ascii="Arial" w:cs="Arial" w:eastAsia="Arial" w:hAnsi="Arial"/>
          <w:color w:val="666666"/>
          <w:sz w:val="22"/>
          <w:szCs w:val="22"/>
        </w:rPr>
        <w:t xml:space="preserve">Methodology Summary for Management</w:t>
      </w:r>
    </w:p>
    <w:p>
      <w:pPr>
        <w:spacing w:after="300"/>
        <w:jc w:val="center"/>
      </w:pPr>
      <w:r>
        <w:rPr>
          <w:rFonts w:ascii="Arial" w:cs="Arial" w:eastAsia="Arial" w:hAnsi="Arial"/>
          <w:color w:val="888888"/>
          <w:sz w:val="20"/>
          <w:szCs w:val="20"/>
        </w:rPr>
        <w:t xml:space="preserve">25 February 2026</w:t>
      </w:r>
    </w:p>
    <w:p>
      <w:pPr>
        <w:spacing w:before="300" w:after="160"/>
      </w:pPr>
      <w:r>
        <w:rPr>
          <w:rFonts w:ascii="Arial" w:cs="Arial" w:eastAsia="Arial" w:hAnsi="Arial"/>
          <w:b/>
          <w:bCs/>
          <w:color w:val="1F3864"/>
          <w:sz w:val="24"/>
          <w:szCs w:val="24"/>
        </w:rPr>
        <w:t xml:space="preserve">What We’re Doing</w:t>
      </w:r>
    </w:p>
    <w:p>
      <w:pPr>
        <w:spacing w:after="140"/>
        <w:jc w:val="left"/>
      </w:pPr>
      <w:r>
        <w:rPr>
          <w:rFonts w:ascii="Arial" w:cs="Arial" w:eastAsia="Arial" w:hAnsi="Arial"/>
          <w:sz w:val="20"/>
          <w:szCs w:val="20"/>
        </w:rPr>
        <w:t xml:space="preserve">RPD’s existing 46 Safe Work Method Statements and Safe Work Instructions are being consolidated into 16 documents — 5 Master SWMS covering RPD’s core trades and 11 Standalone SWMS for specialist activities. Every document is being rebuilt using a standardised coding and verification system that makes safety performance measurable and auditable.</w:t>
      </w:r>
    </w:p>
    <w:p>
      <w:pPr>
        <w:spacing w:before="300" w:after="160"/>
      </w:pPr>
      <w:r>
        <w:rPr>
          <w:rFonts w:ascii="Arial" w:cs="Arial" w:eastAsia="Arial" w:hAnsi="Arial"/>
          <w:b/>
          <w:bCs/>
          <w:color w:val="1F3864"/>
          <w:sz w:val="24"/>
          <w:szCs w:val="24"/>
        </w:rPr>
        <w:t xml:space="preserve">Why It Matters to the Business</w:t>
      </w:r>
    </w:p>
    <w:p>
      <w:pPr>
        <w:spacing w:after="140"/>
        <w:jc w:val="left"/>
      </w:pPr>
      <w:r>
        <w:rPr>
          <w:rFonts w:ascii="Arial" w:cs="Arial" w:eastAsia="Arial" w:hAnsi="Arial"/>
          <w:sz w:val="20"/>
          <w:szCs w:val="20"/>
        </w:rPr>
        <w:t xml:space="preserve">The current SWMS are compliance documents. They meet the requirement to have SWMS for high risk construction work where applicable, but they do not generate usable data and they do not strengthen the evidentiary position between what RPD says it does and what it can demonstrate it does. The upgraded system strengthens RPD’s position across three business-critical areas: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Gap</w:t>
            </w:r>
          </w:p>
        </w:tc>
        <w:tc>
          <w:tcPr>
            <w:tcW w:type="dxa" w:w="3169"/>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Current State</w:t>
            </w:r>
          </w:p>
        </w:tc>
        <w:tc>
          <w:tcPr>
            <w:tcW w:type="dxa" w:w="3169"/>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After Upgrade</w:t>
            </w:r>
          </w:p>
        </w:tc>
      </w:tr>
      <w:tr>
        <w:tc>
          <w:tcPr>
            <w:tcW w:type="dxa" w:w="3168"/>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spacing w:after="40"/>
              <w:jc w:val="left"/>
            </w:pPr>
            <w:r>
              <w:rPr>
                <w:rFonts w:ascii="Arial" w:cs="Arial" w:eastAsia="Arial" w:hAnsi="Arial"/>
                <w:b/>
                <w:bCs/>
                <w:sz w:val="20"/>
                <w:szCs w:val="20"/>
              </w:rPr>
              <w:t xml:space="preserve">Monitoring &amp; Measurement</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SWMS are static documents. No way to track which controls are being verified on site or how often.</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Every critical task has a coded HOLD POINT that generates a verification record. RPD can report: how many hold points were signed off, by whom, and when.</w:t>
            </w:r>
          </w:p>
        </w:tc>
      </w:tr>
      <w:tr>
        <w:tc>
          <w:tcPr>
            <w:tcW w:type="dxa" w:w="3168"/>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spacing w:after="40"/>
              <w:jc w:val="left"/>
            </w:pPr>
            <w:r>
              <w:rPr>
                <w:rFonts w:ascii="Arial" w:cs="Arial" w:eastAsia="Arial" w:hAnsi="Arial"/>
                <w:b/>
                <w:bCs/>
                <w:sz w:val="20"/>
                <w:szCs w:val="20"/>
              </w:rPr>
              <w:t xml:space="preserve">Evidentiary Trail</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If an incident occurs, RPD can show it had a SWMS. It is difficult to demonstrate the specific controls were actually verified and implemented on the day.</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Each HOLD POINT creates a timestamped record linking the worker, the control, and the verification. This creates a stronger evidence trail commonly sought by insurers, regulators, and courts when assessing whether controls were implemented.</w:t>
            </w:r>
          </w:p>
        </w:tc>
      </w:tr>
      <w:tr>
        <w:tc>
          <w:tcPr>
            <w:tcW w:type="dxa" w:w="3168"/>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spacing w:after="40"/>
              <w:jc w:val="left"/>
            </w:pPr>
            <w:r>
              <w:rPr>
                <w:rFonts w:ascii="Arial" w:cs="Arial" w:eastAsia="Arial" w:hAnsi="Arial"/>
                <w:b/>
                <w:bCs/>
                <w:sz w:val="20"/>
                <w:szCs w:val="20"/>
              </w:rPr>
              <w:t xml:space="preserve">Consistency Across Jobs</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46 documents with inconsistent language, different risk ratings for the same hazard, and no common structure.</w:t>
            </w:r>
          </w:p>
        </w:tc>
        <w:tc>
          <w:tcPr>
            <w:tcW w:type="dxa" w:w="3169"/>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12 common controls written once and used identically across every SWMS. A worker on any RPD site sees the same codes, same language, same expectations.</w:t>
            </w:r>
          </w:p>
        </w:tc>
      </w:tr>
    </w:tbl>
    <w:p>
      <w:pPr>
        <w:spacing w:before="300" w:after="160"/>
      </w:pPr>
      <w:r>
        <w:rPr>
          <w:rFonts w:ascii="Arial" w:cs="Arial" w:eastAsia="Arial" w:hAnsi="Arial"/>
          <w:b/>
          <w:bCs/>
          <w:color w:val="1F3864"/>
          <w:sz w:val="24"/>
          <w:szCs w:val="24"/>
        </w:rPr>
        <w:t xml:space="preserve">How It Works — The Coding System</w:t>
      </w:r>
    </w:p>
    <w:p>
      <w:pPr>
        <w:spacing w:after="140"/>
        <w:jc w:val="left"/>
      </w:pPr>
      <w:r>
        <w:rPr>
          <w:rFonts w:ascii="Arial" w:cs="Arial" w:eastAsia="Arial" w:hAnsi="Arial"/>
          <w:sz w:val="20"/>
          <w:szCs w:val="20"/>
        </w:rPr>
        <w:t xml:space="preserve">Every task in every SWMS is assigned a 3-letter hazard code. Nine codes cover RPD’s current scope of work. Codes are reviewed when scope changes. The codes are simple enough for a supervisor to learn in one toolbox talk:</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3253"/>
        <w:gridCol w:w="5253"/>
      </w:tblGrid>
      <w:tr>
        <w:tc>
          <w:tcPr>
            <w:tcW w:type="dxa" w:w="100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Code</w:t>
            </w:r>
          </w:p>
        </w:tc>
        <w:tc>
          <w:tcPr>
            <w:tcW w:type="dxa" w:w="3253"/>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5253"/>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It Means for RPD</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SYS</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Governance &amp; Emergency</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Induction, sign-in, toolbox talks, emergency response. Applied across all RPD work.</w:t>
            </w:r>
          </w:p>
        </w:tc>
      </w:tr>
      <w:tr>
        <w:tc>
          <w:tcPr>
            <w:tcW w:type="dxa" w:w="1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WAH</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Work at Height</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Scaffold, EWP, harness, rope access. HOLD POINT before work starts.</w:t>
            </w:r>
          </w:p>
        </w:tc>
      </w:tr>
      <w:tr>
        <w:tc>
          <w:tcPr>
            <w:tcW w:type="dxa" w:w="1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SIL</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Silica &amp; Dust</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Drilling, cutting, grinding concrete/masonry. HOLD POINT — wet suppression confirmed.</w:t>
            </w:r>
          </w:p>
        </w:tc>
      </w:tr>
      <w:tr>
        <w:tc>
          <w:tcPr>
            <w:tcW w:type="dxa" w:w="1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STR</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Structural</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Demolition of load bearing structures, temporary propping. HOLD POINT — engineer’s approval.</w:t>
            </w:r>
          </w:p>
        </w:tc>
      </w:tr>
      <w:tr>
        <w:tc>
          <w:tcPr>
            <w:tcW w:type="dxa" w:w="1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ELE</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Electrical</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Tools and leads (standard). Isolation work triggers HOLD POINT.</w:t>
            </w:r>
          </w:p>
        </w:tc>
      </w:tr>
      <w:tr>
        <w:tc>
          <w:tcPr>
            <w:tcW w:type="dxa" w:w="1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HOT</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Hot Works</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Welding, cutting with sparks. HOLD POINT — permit and fire watch.</w:t>
            </w:r>
          </w:p>
        </w:tc>
      </w:tr>
      <w:tr>
        <w:tc>
          <w:tcPr>
            <w:tcW w:type="dxa" w:w="1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HAZ</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Hazardous Materials</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Chemicals, solvents, adhesives. Upgrades to HOLD POINT if asbestos or lead.</w:t>
            </w:r>
          </w:p>
        </w:tc>
      </w:tr>
      <w:tr>
        <w:tc>
          <w:tcPr>
            <w:tcW w:type="dxa" w:w="1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PLT</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Plant &amp; Equipment</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Mobile plant, crane trucks, hoists. HOLD POINT — licence and exclusion zone.</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PRE</w:t>
            </w:r>
          </w:p>
        </w:tc>
        <w:tc>
          <w:tcPr>
            <w:tcW w:type="dxa" w:w="3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Preparation &amp; General</w:t>
            </w:r>
          </w:p>
        </w:tc>
        <w:tc>
          <w:tcPr>
            <w:tcW w:type="dxa" w:w="52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Sanding, rendering, patching, manual handling, housekeeping. Standard controls.</w:t>
            </w:r>
          </w:p>
        </w:tc>
      </w:tr>
    </w:tbl>
    <w:p>
      <w:pPr>
        <w:spacing w:before="300" w:after="160"/>
      </w:pPr>
      <w:r>
        <w:rPr>
          <w:rFonts w:ascii="Arial" w:cs="Arial" w:eastAsia="Arial" w:hAnsi="Arial"/>
          <w:b/>
          <w:bCs/>
          <w:color w:val="1F3864"/>
          <w:sz w:val="24"/>
          <w:szCs w:val="24"/>
        </w:rPr>
        <w:t xml:space="preserve">The Verification Mechanism</w:t>
      </w:r>
    </w:p>
    <w:p>
      <w:pPr>
        <w:spacing w:after="140"/>
        <w:jc w:val="left"/>
      </w:pPr>
      <w:r>
        <w:rPr>
          <w:rFonts w:ascii="Arial" w:cs="Arial" w:eastAsia="Arial" w:hAnsi="Arial"/>
          <w:sz w:val="20"/>
          <w:szCs w:val="20"/>
        </w:rPr>
        <w:t xml:space="preserve">Two verification types are built into every SWMS: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left"/>
            </w:pPr>
            <w:r>
              <w:rPr>
                <w:rFonts w:ascii="Arial" w:cs="Arial" w:eastAsia="Arial" w:hAnsi="Arial"/>
                <w:b/>
                <w:bCs/>
                <w:color w:val="1F6B1F"/>
                <w:sz w:val="22"/>
                <w:szCs w:val="22"/>
              </w:rPr>
              <w:t xml:space="preserve">HOLD POINT</w:t>
            </w:r>
          </w:p>
        </w:tc>
        <w:tc>
          <w:tcPr>
            <w:tcW w:type="dxa" w:w="7506"/>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Work does not start until the worker or supervisor verifies the control is in place. Creates a record: who checked, what was checked, when. This is the evidence.</w:t>
            </w:r>
          </w:p>
        </w:tc>
      </w:tr>
      <w:tr>
        <w:tc>
          <w:tcPr>
            <w:tcW w:type="dxa" w:w="2000"/>
            <w:tcBorders>
              <w:top w:val="single" w:color="AAAAAA" w:sz="1"/>
              <w:left w:val="single" w:color="AAAAAA" w:sz="1"/>
              <w:bottom w:val="single" w:color="AAAAAA" w:sz="1"/>
              <w:right w:val="single" w:color="AAAAAA" w:sz="1"/>
            </w:tcBorders>
            <w:shd w:fill="FCE4EC" w:val="clear"/>
            <w:tcMar>
              <w:top w:type="dxa" w:w="60"/>
              <w:left w:type="dxa" w:w="120"/>
              <w:bottom w:type="dxa" w:w="60"/>
              <w:right w:type="dxa" w:w="120"/>
            </w:tcMar>
            <w:vAlign w:val="top"/>
          </w:tcPr>
          <w:p>
            <w:pPr>
              <w:spacing w:after="40"/>
              <w:jc w:val="left"/>
            </w:pPr>
            <w:r>
              <w:rPr>
                <w:rFonts w:ascii="Arial" w:cs="Arial" w:eastAsia="Arial" w:hAnsi="Arial"/>
                <w:b/>
                <w:bCs/>
                <w:color w:val="C00000"/>
                <w:sz w:val="22"/>
                <w:szCs w:val="22"/>
              </w:rPr>
              <w:t xml:space="preserve">STOP WORK</w:t>
            </w:r>
          </w:p>
        </w:tc>
        <w:tc>
          <w:tcPr>
            <w:tcW w:type="dxa" w:w="7506"/>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If conditions change during work, all activity on that task ceases immediately until rectified. Triggers amended SWMS or an incident/near-miss record.</w:t>
            </w:r>
          </w:p>
        </w:tc>
      </w:tr>
    </w:tbl>
    <w:p>
      <w:pPr>
        <w:spacing w:after="120"/>
      </w:pPr>
    </w:p>
    <w:p>
      <w:pPr>
        <w:spacing w:after="140"/>
        <w:jc w:val="left"/>
      </w:pPr>
      <w:r>
        <w:rPr>
          <w:rFonts w:ascii="Arial" w:cs="Arial" w:eastAsia="Arial" w:hAnsi="Arial"/>
          <w:sz w:val="20"/>
          <w:szCs w:val="20"/>
        </w:rPr>
        <w:t xml:space="preserve">HOLD POINT language is deliberately chosen because it aligns directly with principal contractor Inspection and Test Plans (ITPs). When RPD’s SWMS hold points match the PC’s ITP hold points, the audit trail connects from RPD’s site records through to the PC’s quality system.</w:t>
      </w:r>
    </w:p>
    <w:p>
      <w:pPr>
        <w:spacing w:after="140"/>
        <w:jc w:val="left"/>
      </w:pPr>
      <w:r>
        <w:rPr>
          <w:rFonts w:ascii="Arial" w:cs="Arial" w:eastAsia="Arial" w:hAnsi="Arial"/>
          <w:sz w:val="20"/>
          <w:szCs w:val="20"/>
        </w:rPr>
        <w:t xml:space="preserve">Record integrity is maintained through defined authority (who can sign off a hold point), evidence requirements (what must be sighted or confirmed), secure storage in Breadcrumb or site diary with retention per RPD’s document control policy, and periodic audit sampling to verify records reflect actual site conditions.</w:t>
      </w:r>
    </w:p>
    <w:p>
      <w:pPr>
        <w:spacing w:before="300" w:after="160"/>
      </w:pPr>
      <w:r>
        <w:rPr>
          <w:rFonts w:ascii="Arial" w:cs="Arial" w:eastAsia="Arial" w:hAnsi="Arial"/>
          <w:b/>
          <w:bCs/>
          <w:color w:val="1F3864"/>
          <w:sz w:val="24"/>
          <w:szCs w:val="24"/>
        </w:rPr>
        <w:t xml:space="preserve">What This Gives Management</w:t>
      </w:r>
    </w:p>
    <w:p>
      <w:pPr>
        <w:spacing w:after="140"/>
      </w:pPr>
      <w:r>
        <w:rPr>
          <w:rFonts w:ascii="Arial" w:cs="Arial" w:eastAsia="Arial" w:hAnsi="Arial"/>
          <w:b/>
          <w:bCs/>
          <w:sz w:val="20"/>
          <w:szCs w:val="20"/>
        </w:rPr>
        <w:t xml:space="preserve">1. Defensible evidence. </w:t>
      </w:r>
      <w:r>
        <w:rPr>
          <w:rFonts w:ascii="Arial" w:cs="Arial" w:eastAsia="Arial" w:hAnsi="Arial"/>
          <w:sz w:val="20"/>
          <w:szCs w:val="20"/>
        </w:rPr>
        <w:t xml:space="preserve">If a regulator, insurer, or lawyer asks whether controls were in place on a given day, RPD can provide a timestamped hold point verification record. Not a signature on a SWMS cover sheet — a specific record for a specific control. Records support but do not replace supervision, training, consultation, and physical verification.</w:t>
      </w:r>
    </w:p>
    <w:p>
      <w:pPr>
        <w:spacing w:after="140"/>
      </w:pPr>
      <w:r>
        <w:rPr>
          <w:rFonts w:ascii="Arial" w:cs="Arial" w:eastAsia="Arial" w:hAnsi="Arial"/>
          <w:b/>
          <w:bCs/>
          <w:sz w:val="20"/>
          <w:szCs w:val="20"/>
        </w:rPr>
        <w:t xml:space="preserve">2. Measurable safety performance. </w:t>
      </w:r>
      <w:r>
        <w:rPr>
          <w:rFonts w:ascii="Arial" w:cs="Arial" w:eastAsia="Arial" w:hAnsi="Arial"/>
          <w:sz w:val="20"/>
          <w:szCs w:val="20"/>
        </w:rPr>
        <w:t xml:space="preserve">RPD can report hold point compliance rates by site, by supervisor, by trade. This supports demonstrating to principal contractors, insurers, and icare that RPD actively manages safety — not just documents it.</w:t>
      </w:r>
    </w:p>
    <w:p>
      <w:pPr>
        <w:spacing w:after="140"/>
      </w:pPr>
      <w:r>
        <w:rPr>
          <w:rFonts w:ascii="Arial" w:cs="Arial" w:eastAsia="Arial" w:hAnsi="Arial"/>
          <w:b/>
          <w:bCs/>
          <w:sz w:val="20"/>
          <w:szCs w:val="20"/>
        </w:rPr>
        <w:t xml:space="preserve">3. Strengthened insurance position. </w:t>
      </w:r>
      <w:r>
        <w:rPr>
          <w:rFonts w:ascii="Arial" w:cs="Arial" w:eastAsia="Arial" w:hAnsi="Arial"/>
          <w:sz w:val="20"/>
          <w:szCs w:val="20"/>
        </w:rPr>
        <w:t xml:space="preserve">The evidentiary gap is a significant exposure at claim time. A coded verification system with timestamped records strengthens RPD’s position. Over time, this data may support improved insurability and performance discussions through icare’s experience modification process.</w:t>
      </w:r>
    </w:p>
    <w:p>
      <w:pPr>
        <w:spacing w:after="140"/>
      </w:pPr>
      <w:r>
        <w:rPr>
          <w:rFonts w:ascii="Arial" w:cs="Arial" w:eastAsia="Arial" w:hAnsi="Arial"/>
          <w:b/>
          <w:bCs/>
          <w:sz w:val="20"/>
          <w:szCs w:val="20"/>
        </w:rPr>
        <w:t xml:space="preserve">4. Consistency and efficiency. </w:t>
      </w:r>
      <w:r>
        <w:rPr>
          <w:rFonts w:ascii="Arial" w:cs="Arial" w:eastAsia="Arial" w:hAnsi="Arial"/>
          <w:sz w:val="20"/>
          <w:szCs w:val="20"/>
        </w:rPr>
        <w:t xml:space="preserve">46 documents become 16. Workers see the same codes and controls on every job. New starters learn one system. Supervisors verify against one framework.</w:t>
      </w:r>
    </w:p>
    <w:p>
      <w:pPr>
        <w:spacing w:before="300" w:after="160"/>
      </w:pPr>
      <w:r>
        <w:rPr>
          <w:rFonts w:ascii="Arial" w:cs="Arial" w:eastAsia="Arial" w:hAnsi="Arial"/>
          <w:b/>
          <w:bCs/>
          <w:color w:val="1F3864"/>
          <w:sz w:val="24"/>
          <w:szCs w:val="24"/>
        </w:rPr>
        <w:t xml:space="preserve">Current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2000"/>
        <w:gridCol w:w="2753"/>
      </w:tblGrid>
      <w:tr>
        <w:tc>
          <w:tcPr>
            <w:tcW w:type="dxa" w:w="4753"/>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Deliverable</w:t>
            </w:r>
          </w:p>
        </w:tc>
        <w:tc>
          <w:tcPr>
            <w:tcW w:type="dxa" w:w="200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753"/>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Date</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Gap analysis (V7 vs Ed.6)</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DONE</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Feb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Architecture Governance Layer (RPD-GOV-001)</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DONE</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25 Feb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Common Controls Library (12 tasks, 9 codes)</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DONE</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25 Feb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SWMS Consolidation Map (46 → 16 documents)</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DONE</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25 Feb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Master and Standalone SWMS (16 documents)</w:t>
            </w:r>
          </w:p>
        </w:tc>
        <w:tc>
          <w:tcPr>
            <w:tcW w:type="dxa" w:w="2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spacing w:after="40"/>
              <w:jc w:val="center"/>
            </w:pPr>
            <w:r>
              <w:rPr>
                <w:rFonts w:ascii="Arial" w:cs="Arial" w:eastAsia="Arial" w:hAnsi="Arial"/>
                <w:b/>
                <w:bCs/>
                <w:sz w:val="20"/>
                <w:szCs w:val="20"/>
              </w:rPr>
              <w:t xml:space="preserve">IN PROGRESS</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Mar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V8 WHSMP Rewrite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top"/>
          </w:tcPr>
          <w:p>
            <w:pPr>
              <w:spacing w:after="40"/>
              <w:jc w:val="center"/>
            </w:pPr>
            <w:r>
              <w:rPr>
                <w:rFonts w:ascii="Arial" w:cs="Arial" w:eastAsia="Arial" w:hAnsi="Arial"/>
                <w:sz w:val="20"/>
                <w:szCs w:val="20"/>
              </w:rPr>
              <w:t xml:space="preserve">NOT STARTED</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Apr–Jun 2026</w:t>
            </w:r>
          </w:p>
        </w:tc>
      </w:tr>
      <w:tr>
        <w:tc>
          <w:tcPr>
            <w:tcW w:type="dxa" w:w="4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Breadcrumb Digital Migration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top"/>
          </w:tcPr>
          <w:p>
            <w:pPr>
              <w:spacing w:after="40"/>
              <w:jc w:val="center"/>
            </w:pPr>
            <w:r>
              <w:rPr>
                <w:rFonts w:ascii="Arial" w:cs="Arial" w:eastAsia="Arial" w:hAnsi="Arial"/>
                <w:sz w:val="20"/>
                <w:szCs w:val="20"/>
              </w:rPr>
              <w:t xml:space="preserve">NOT STARTED</w:t>
            </w:r>
          </w:p>
        </w:tc>
        <w:tc>
          <w:tcPr>
            <w:tcW w:type="dxa" w:w="2753"/>
            <w:tcBorders>
              <w:top w:val="single" w:color="AAAAAA" w:sz="1"/>
              <w:left w:val="single" w:color="AAAAAA" w:sz="1"/>
              <w:bottom w:val="single" w:color="AAAAAA" w:sz="1"/>
              <w:right w:val="single" w:color="AAAAAA" w:sz="1"/>
            </w:tcBorders>
            <w:tcMar>
              <w:top w:type="dxa" w:w="60"/>
              <w:left w:type="dxa" w:w="120"/>
              <w:bottom w:type="dxa" w:w="60"/>
              <w:right w:type="dxa" w:w="120"/>
            </w:tcMar>
            <w:vAlign w:val="top"/>
          </w:tcPr>
          <w:p>
            <w:pPr>
              <w:spacing w:after="40"/>
              <w:jc w:val="left"/>
            </w:pPr>
            <w:r>
              <w:rPr>
                <w:rFonts w:ascii="Arial" w:cs="Arial" w:eastAsia="Arial" w:hAnsi="Arial"/>
                <w:sz w:val="20"/>
                <w:szCs w:val="20"/>
              </w:rPr>
              <w:t xml:space="preserve">Jul–Sep 2026</w:t>
            </w:r>
          </w:p>
        </w:tc>
      </w:tr>
    </w:tbl>
    <w:p>
      <w:pPr>
        <w:spacing w:before="400"/>
      </w:pPr>
      <w:r>
        <w:rPr>
          <w:rFonts w:ascii="Arial" w:cs="Arial" w:eastAsia="Arial" w:hAnsi="Arial"/>
          <w:i/>
          <w:iCs/>
          <w:color w:val="888888"/>
          <w:sz w:val="18"/>
          <w:szCs w:val="18"/>
        </w:rPr>
        <w:t xml:space="preserve">Prepared by Alan Richardson — WHS Consultant</w:t>
      </w:r>
    </w:p>
    <w:sectPr>
      <w:foot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Robertson’s Remedial and Painting Pty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2026-02-24T21:28:04.528Z</dcterms:created>
  <dcterms:modified xsi:type="dcterms:W3CDTF">2026-02-24T21:28:04.529Z</dcterms:modified>
</cp:coreProperties>
</file>

<file path=docProps/custom.xml><?xml version="1.0" encoding="utf-8"?>
<Properties xmlns="http://schemas.openxmlformats.org/officeDocument/2006/custom-properties" xmlns:vt="http://schemas.openxmlformats.org/officeDocument/2006/docPropsVTypes"/>
</file>