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Robertson's Remedial and Painting Pty Ltd 10/56 Buffalo Road, Gladesville NSW 2111 Phone: (02) 9181 3519 | ABN: 16 140 746 247</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22 Smith Street, Surry Hills NSW 2010</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Alan Richardson</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27/02/2026</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Concrete spalling repairs and epoxy crack injection to exterior façade elements. EWP (boom lift) access. Pre-2003 building — lead paint assumed present. Surry Hills urban location — public and pedestrian interface managed.</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Mirvac</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r>
              <w:rPr>
                <w:rFonts w:ascii="Calibri" w:hAnsi="Calibri"/>
                <w:sz w:val="18"/>
              </w:rPr>
              <w:t xml:space="preserve">[✓] Risk of a person falling more than 2 metres </w:t>
              <w:br/>
            </w: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14:paraId="5B7644AE" w14:textId="5B4765B2"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r>
              <w:rPr>
                <w:rFonts w:ascii="Calibri" w:hAnsi="Calibri"/>
                <w:sz w:val="18"/>
              </w:rPr>
              <w:t>[✓] 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Alan Richardson</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27/02/2026</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27/02/2026</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27/02/2026</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Concrete Spalling Repairs &amp; Epoxy Injection — 22 Smith St Surry Hills [STANDARD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Hi-vis vest or shirt; Steel-capped footwear AS/NZS 2210.3; Eye protection (safety glasses or goggles); P2/P3 respirator (concrete grinding, lead paint disturbance); Hearing protection &gt;85 dB (grinding, breaking); Cut-resistant gloves (general); Chemical-resistant gloves (epoxy, coatings); Disposable coveralls (lead paint work); Full body harness and lanyard (EWP — clipped to manufacturer anchor).</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pPr>
              <w:numPr>
                <w:ilvl w:val="0"/>
                <w:numId w:val="99"/>
              </w:numPr>
              <w:spacing w:before="0" w:after="0"/>
              <w:rPr>
                <w:sz w:val="18"/>
                <w:szCs w:val="18"/>
              </w:rPr>
            </w:pPr>
            <w:r>
              <w:rPr>
                <w:rFonts w:ascii="Calibri" w:hAnsi="Calibri" w:cs="Calibri"/>
                <w:b w:val="0"/>
                <w:sz w:val="18"/>
                <w:szCs w:val="18"/>
              </w:rPr>
              <w:t xml:space="preserve">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Site Setup and Public Protection</w:t>
            </w:r>
          </w:p>
        </w:tc>
        <w:tc>
          <w:tcPr>
            <w:tcW w:type="dxa" w:w="2693"/>
          </w:tcPr>
          <w:p>
            <w:r>
              <w:rPr>
                <w:rFonts w:ascii="Calibri" w:hAnsi="Calibri"/>
                <w:sz w:val="18"/>
              </w:rPr>
              <w:t>Pedestrian or worker struck by vehicle — public entering work zone — dropped objects to footpath.</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Barricade, signage, overhead protection, TPMP per Mirvac, pedestrian diversion, HOLD POINT if zone compromised.</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3116"/>
          </w:tcPr>
          <w:p>
            <w:r>
              <w:rPr>
                <w:rFonts w:ascii="Calibri" w:hAnsi="Calibri"/>
                <w:sz w:val="18"/>
              </w:rPr>
              <w:t>3. EWP Operation — Boom Lift</w:t>
            </w:r>
          </w:p>
        </w:tc>
        <w:tc>
          <w:tcPr>
            <w:tcW w:type="dxa" w:w="2693"/>
          </w:tcPr>
          <w:p>
            <w:r>
              <w:rPr>
                <w:rFonts w:ascii="Calibri" w:hAnsi="Calibri"/>
                <w:sz w:val="18"/>
              </w:rPr>
              <w:t>Fall from basket, tip-over, entrapment against façade — dropped objects to public below.</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Pre-start check, firm ground, WP licence, spotter, harness clipped, exclusion zone confirmed.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Operator</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3116"/>
          </w:tcPr>
          <w:p>
            <w:r>
              <w:rPr>
                <w:rFonts w:ascii="Calibri" w:hAnsi="Calibri"/>
                <w:sz w:val="18"/>
              </w:rPr>
              <w:t>4. Lead Paint — Testing and Controls</w:t>
            </w:r>
          </w:p>
        </w:tc>
        <w:tc>
          <w:tcPr>
            <w:tcW w:type="dxa" w:w="2693"/>
          </w:tcPr>
          <w:p>
            <w:r>
              <w:rPr>
                <w:rFonts w:ascii="Calibri" w:hAnsi="Calibri"/>
                <w:sz w:val="18"/>
              </w:rPr>
              <w:t>Lead dust inhalation and ingestion — pre-2003 building, lead paint assumed on all surfaces.</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Lead test or assume present, wet methods only, HEPA vac, containment sheeting, P2 minimum, decontamination enforced.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LED-</w:t>
            </w:r>
            <w:r>
              <w:rPr>
                <w:rFonts w:ascii="Calibri" w:hAnsi="Calibri"/>
                <w:b/>
                <w:color w:val="000000"/>
                <w:sz w:val="18"/>
              </w:rPr>
              <w:t>H6</w:t>
            </w:r>
          </w:p>
        </w:tc>
      </w:tr>
      <w:tr>
        <w:tc>
          <w:tcPr>
            <w:tcW w:type="dxa" w:w="3116"/>
          </w:tcPr>
          <w:p>
            <w:r>
              <w:rPr>
                <w:rFonts w:ascii="Calibri" w:hAnsi="Calibri"/>
                <w:sz w:val="18"/>
              </w:rPr>
              <w:t>5. Concrete Breakout and Surface Preparation</w:t>
            </w:r>
          </w:p>
        </w:tc>
        <w:tc>
          <w:tcPr>
            <w:tcW w:type="dxa" w:w="2693"/>
          </w:tcPr>
          <w:p>
            <w:r>
              <w:rPr>
                <w:rFonts w:ascii="Calibri" w:hAnsi="Calibri"/>
                <w:sz w:val="18"/>
              </w:rPr>
              <w:t>Silica dust from concrete breakout — lead dust from painted surfaces — flying debris — vibration.</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On-tool extraction or wet suppression, P2/P3 RPE, lead-safe controls active, exclusion zone, services scan.</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3116"/>
          </w:tcPr>
          <w:p>
            <w:r>
              <w:rPr>
                <w:rFonts w:ascii="Calibri" w:hAnsi="Calibri"/>
                <w:sz w:val="18"/>
              </w:rPr>
              <w:t>6. Concrete Spalling Repair — Structural</w:t>
            </w:r>
          </w:p>
        </w:tc>
        <w:tc>
          <w:tcPr>
            <w:tcW w:type="dxa" w:w="2693"/>
          </w:tcPr>
          <w:p>
            <w:r>
              <w:rPr>
                <w:rFonts w:ascii="Calibri" w:hAnsi="Calibri"/>
                <w:sz w:val="18"/>
              </w:rPr>
              <w:t>Hidden structural deterioration — uncontrolled concrete fall — chemical exposure from repair products.</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Engineer assessment and written specification, Mirvac-approved method, materials per spec, STOP WORK if extent exceeded.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STR-</w:t>
            </w:r>
            <w:r>
              <w:rPr>
                <w:rFonts w:ascii="Calibri" w:hAnsi="Calibri"/>
                <w:b/>
                <w:color w:val="000000"/>
                <w:sz w:val="18"/>
              </w:rPr>
              <w:t>H6</w:t>
            </w:r>
          </w:p>
        </w:tc>
      </w:tr>
      <w:tr>
        <w:tc>
          <w:tcPr>
            <w:tcW w:type="dxa" w:w="3116"/>
          </w:tcPr>
          <w:p>
            <w:r>
              <w:rPr>
                <w:rFonts w:ascii="Calibri" w:hAnsi="Calibri"/>
                <w:sz w:val="18"/>
              </w:rPr>
              <w:t>7. Epoxy Crack Injection</w:t>
            </w:r>
          </w:p>
        </w:tc>
        <w:tc>
          <w:tcPr>
            <w:tcW w:type="dxa" w:w="2693"/>
          </w:tcPr>
          <w:p>
            <w:r>
              <w:rPr>
                <w:rFonts w:ascii="Calibri" w:hAnsi="Calibri"/>
                <w:sz w:val="18"/>
              </w:rPr>
              <w:t>Epoxy skin sensitisation — chemical burns from hardener — solvent vapour — injection pressure.</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SDS on site, chemical-resistant gloves, eye protection, equipment maintained, spill kit, first aid for contact.</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8. Portable Electrical Tools and Extension Leads</w:t>
            </w:r>
          </w:p>
        </w:tc>
        <w:tc>
          <w:tcPr>
            <w:tcW w:type="dxa" w:w="2693"/>
          </w:tcPr>
          <w:p>
            <w:r>
              <w:rPr>
                <w:rFonts w:ascii="Calibri" w:hAnsi="Calibri"/>
                <w:sz w:val="18"/>
              </w:rPr>
              <w:t>Electric shock from damaged tools — RCD failure — leads in wet conditions.</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RCD on all 240V, tested and tagged AS/NZS 3760, battery tools where practicable, visual inspection pre-use.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ELE-</w:t>
            </w:r>
            <w:r>
              <w:rPr>
                <w:rFonts w:ascii="Calibri" w:hAnsi="Calibri"/>
                <w:b w:val="0"/>
                <w:color w:val="000000"/>
                <w:sz w:val="18"/>
              </w:rPr>
              <w:t>M4</w:t>
            </w:r>
          </w:p>
        </w:tc>
      </w:tr>
      <w:tr>
        <w:tc>
          <w:tcPr>
            <w:tcW w:type="dxa" w:w="3116"/>
          </w:tcPr>
          <w:p>
            <w:r>
              <w:rPr>
                <w:rFonts w:ascii="Calibri" w:hAnsi="Calibri"/>
                <w:sz w:val="18"/>
              </w:rPr>
              <w:t>9.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pPr>
              <w:numPr>
                <w:ilvl w:val="0"/>
                <w:numId w:val="99"/>
              </w:numPr>
              <w:spacing w:before="0" w:after="0"/>
              <w:rPr>
                <w:sz w:val="18"/>
                <w:szCs w:val="18"/>
              </w:rPr>
            </w:pPr>
            <w:r>
              <w:rPr>
                <w:rFonts w:ascii="Calibri" w:hAnsi="Calibri" w:cs="Calibri"/>
                <w:b w:val="0"/>
                <w:sz w:val="18"/>
                <w:szCs w:val="18"/>
              </w:rPr>
              <w:t xml:space="preserve">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Site Setup and Public Protection</w:t>
              <w:br/>
              <w:t>Establish exclusion zones, barricades, and overhead protection. Surry Hills urban location — pedestrian and public interface.</w:t>
            </w:r>
          </w:p>
        </w:tc>
        <w:tc>
          <w:tcPr>
            <w:tcW w:type="dxa" w:w="2084"/>
          </w:tcPr>
          <w:p>
            <w:r>
              <w:rPr>
                <w:rFonts w:ascii="Calibri" w:hAnsi="Calibri"/>
                <w:sz w:val="18"/>
              </w:rPr>
              <w:t>Worker or pedestrian struck by vehicle. Public entry into work zone. Dropped objects or debris falling to footpath. Slips and trips during setup.</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TRF (Medium — C=2): Controls in place.</w:t>
              <w:br/>
            </w:r>
            <w:r>
              <w:rPr>
                <w:rFonts w:ascii="Calibri" w:hAnsi="Calibri"/>
                <w:b/>
                <w:sz w:val="18"/>
              </w:rPr>
              <w:t>Engineering:</w:t>
            </w:r>
            <w:r>
              <w:rPr>
                <w:rFonts w:ascii="Calibri" w:hAnsi="Calibri"/>
                <w:b w:val="0"/>
                <w:sz w:val="18"/>
              </w:rPr>
              <w:t xml:space="preserve"> Barricade and signage — controlled work area. Pedestrian diversion around exclusion zone. Overhead protection (catch scaffold or debris netting) where work is above footpath or public area — no unprotected drop zone.</w:t>
              <w:br/>
            </w:r>
            <w:r>
              <w:rPr>
                <w:rFonts w:ascii="Calibri" w:hAnsi="Calibri"/>
                <w:b/>
                <w:sz w:val="18"/>
              </w:rPr>
              <w:t>Admin:</w:t>
            </w:r>
            <w:r>
              <w:rPr>
                <w:rFonts w:ascii="Calibri" w:hAnsi="Calibri"/>
                <w:b w:val="0"/>
                <w:sz w:val="18"/>
              </w:rPr>
              <w:t xml:space="preserve"> Traffic management plan (TPMP) implemented per Mirvac requirements. Schedule deliveries off-peak. Coordinate with Mirvac site office for pedestrian management. </w:t>
            </w:r>
            <w:r>
              <w:rPr>
                <w:rFonts w:ascii="Calibri" w:hAnsi="Calibri"/>
                <w:b/>
                <w:sz w:val="18"/>
              </w:rPr>
              <w:t>HOLD POINT:</w:t>
            </w:r>
            <w:r>
              <w:rPr>
                <w:rFonts w:ascii="Calibri" w:hAnsi="Calibri"/>
                <w:b w:val="0"/>
                <w:sz w:val="18"/>
              </w:rPr>
              <w:t xml:space="preserve"> If exclusion zone cannot be maintained without encroaching on footpath or roadway — STOP and implement approved TPMP before continuing.</w:t>
              <w:br/>
            </w:r>
            <w:r>
              <w:rPr>
                <w:rFonts w:ascii="Calibri" w:hAnsi="Calibri"/>
                <w:b/>
                <w:sz w:val="18"/>
              </w:rPr>
              <w:t>PPE:</w:t>
            </w:r>
            <w:r>
              <w:rPr>
                <w:rFonts w:ascii="Calibri" w:hAnsi="Calibri"/>
                <w:b w:val="0"/>
                <w:sz w:val="18"/>
              </w:rPr>
              <w:t xml:space="preserve"> Hi-vis vest or shirt, steel-capped footwear, hard hat.</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2486"/>
          </w:tcPr>
          <w:p>
            <w:r>
              <w:rPr>
                <w:rFonts w:ascii="Calibri" w:hAnsi="Calibri"/>
                <w:sz w:val="18"/>
              </w:rPr>
              <w:t>3. EWP Operation — Boom Lift</w:t>
              <w:br/>
              <w:t>Boom lift EWP for access to exterior façade — concrete spalling repairs and crack injection. All height work via EWP only.</w:t>
            </w:r>
          </w:p>
        </w:tc>
        <w:tc>
          <w:tcPr>
            <w:tcW w:type="dxa" w:w="2084"/>
          </w:tcPr>
          <w:p>
            <w:r>
              <w:rPr>
                <w:rFonts w:ascii="Calibri" w:hAnsi="Calibri"/>
                <w:sz w:val="18"/>
              </w:rPr>
              <w:t>Fall from basket (&gt;2m). Tip-over or instability on uneven or soft ground. Entrapment or crush against building façade or overhead structure. Dropped objects to ground level. Collision with pedestrians or plant.</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WAH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Daily pre-start inspection completed — defects nil — recorded.</w:t>
              <w:br/>
              <w:t>2. Ground confirmed firm and level on hardstand — outriggers fully deployed.</w:t>
              <w:br/>
              <w:t>3. Competent operator — WP licence sighted and confirmed.</w:t>
              <w:br/>
              <w:t>4. Overhead clearances and façade setbacks measured and confirmed safe.</w:t>
              <w:br/>
              <w:t>5. Harness inspected — lanyard clipped to manufacturer anchor point.</w:t>
              <w:br/>
              <w:t>6. Exclusion zone established — spotter confirmed on station.</w:t>
              <w:br/>
              <w:t>Confirmation retained in site diary or digital system.</w:t>
              <w:br/>
            </w:r>
            <w:r>
              <w:rPr>
                <w:rFonts w:ascii="Calibri" w:hAnsi="Calibri"/>
                <w:b/>
                <w:sz w:val="18"/>
              </w:rPr>
              <w:t>Engineering:</w:t>
            </w:r>
            <w:r>
              <w:rPr>
                <w:rFonts w:ascii="Calibri" w:hAnsi="Calibri"/>
                <w:b w:val="0"/>
                <w:sz w:val="18"/>
              </w:rPr>
              <w:t xml:space="preserve"> Daily pre-start inspection completed and recorded. Ground firm and level — hardstand only. Outriggers and stabilisers deployed per manufacturer.</w:t>
              <w:br/>
            </w:r>
            <w:r>
              <w:rPr>
                <w:rFonts w:ascii="Calibri" w:hAnsi="Calibri"/>
                <w:b/>
                <w:sz w:val="18"/>
              </w:rPr>
              <w:t>Admin:</w:t>
            </w:r>
            <w:r>
              <w:rPr>
                <w:rFonts w:ascii="Calibri" w:hAnsi="Calibri"/>
                <w:b w:val="0"/>
                <w:sz w:val="18"/>
              </w:rPr>
              <w:t xml:space="preserve"> Competent operator — WP licence sighted. Spotter mandatory when manoeuvring near building façade. Exclusion zone around EWP — barricaded from public access. Tools and materials secured in basket — no loose items on platform edge.</w:t>
              <w:br/>
            </w:r>
            <w:r>
              <w:rPr>
                <w:rFonts w:ascii="Calibri" w:hAnsi="Calibri"/>
                <w:b/>
                <w:sz w:val="18"/>
              </w:rPr>
              <w:t>PPE:</w:t>
            </w:r>
            <w:r>
              <w:rPr>
                <w:rFonts w:ascii="Calibri" w:hAnsi="Calibri"/>
                <w:b w:val="0"/>
                <w:sz w:val="18"/>
              </w:rPr>
              <w:t xml:space="preserve"> Harness clipped to manufacturer anchor, hard hat, hi-vis vest or shirt, steel-capped footwear.</w:t>
              <w:br/>
              <w:t>Remove from exposure and rectify if ground unstable or fault detected.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Operator</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2486"/>
          </w:tcPr>
          <w:p>
            <w:r>
              <w:rPr>
                <w:rFonts w:ascii="Calibri" w:hAnsi="Calibri"/>
                <w:sz w:val="18"/>
              </w:rPr>
              <w:t>4. Lead Paint — Testing and Controls</w:t>
              <w:br/>
              <w:t>Pre-2003 building — lead paint assumed present on all painted surfaces. Lead-safe work practices for all surface disturbance activities.</w:t>
            </w:r>
          </w:p>
        </w:tc>
        <w:tc>
          <w:tcPr>
            <w:tcW w:type="dxa" w:w="2084"/>
          </w:tcPr>
          <w:p>
            <w:r>
              <w:rPr>
                <w:rFonts w:ascii="Calibri" w:hAnsi="Calibri"/>
                <w:sz w:val="18"/>
              </w:rPr>
              <w:t>Lead dust inhalation — lead poisoning, neurological damage. Lead ingestion — hand-to-mouth contamination. Lead contamination of work area, clothing, and public areas below. Environmental contamination — lead dust or debris to stormwater.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LED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Lead testing completed (XRF or lab) OR lead-safe controls applied as default for all surface disturbance on this pre-2003 building.</w:t>
              <w:br/>
              <w:t>2. Containment sheeting installed to prevent lead dust spread to public areas and stormwater.</w:t>
              <w:br/>
              <w:t>3. P2 respirators (minimum) confirmed fit-tested and available for all workers.</w:t>
              <w:br/>
              <w:t>4. HEPA vacuum confirmed on site and operational.</w:t>
              <w:br/>
              <w:t>5. Decontamination procedure briefed — coveralls removed before leaving work area, hands and face washed before eating or drinking.</w:t>
              <w:br/>
              <w:t>6. Lead waste disposal method confirmed — labelled containers on site.</w:t>
              <w:br/>
              <w:t>Confirmation retained in site diary or digital system.</w:t>
              <w:br/>
            </w:r>
            <w:r>
              <w:rPr>
                <w:rFonts w:ascii="Calibri" w:hAnsi="Calibri"/>
                <w:b/>
                <w:sz w:val="18"/>
              </w:rPr>
              <w:t>Engineering:</w:t>
            </w:r>
            <w:r>
              <w:rPr>
                <w:rFonts w:ascii="Calibri" w:hAnsi="Calibri"/>
                <w:b w:val="0"/>
                <w:sz w:val="18"/>
              </w:rPr>
              <w:t xml:space="preserve"> Wet methods only — no dry sanding, scraping, or grinding of painted surfaces. HEPA vacuum for all dust collection. Containment sheeting below all work areas.</w:t>
              <w:br/>
            </w:r>
            <w:r>
              <w:rPr>
                <w:rFonts w:ascii="Calibri" w:hAnsi="Calibri"/>
                <w:b/>
                <w:sz w:val="18"/>
              </w:rPr>
              <w:t>Admin:</w:t>
            </w:r>
            <w:r>
              <w:rPr>
                <w:rFonts w:ascii="Calibri" w:hAnsi="Calibri"/>
                <w:b w:val="0"/>
                <w:sz w:val="18"/>
              </w:rPr>
              <w:t xml:space="preserve"> Test for lead before work or assume present (pre-2003 default). Decontamination mandatory — coveralls removed in work zone, wash hands and face before eating or drinking. Lead waste labelled and disposed per EPA guidelines. Air monitoring if extensive disturbance.</w:t>
              <w:br/>
            </w:r>
            <w:r>
              <w:rPr>
                <w:rFonts w:ascii="Calibri" w:hAnsi="Calibri"/>
                <w:b/>
                <w:sz w:val="18"/>
              </w:rPr>
              <w:t>PPE:</w:t>
            </w:r>
            <w:r>
              <w:rPr>
                <w:rFonts w:ascii="Calibri" w:hAnsi="Calibri"/>
                <w:b w:val="0"/>
                <w:sz w:val="18"/>
              </w:rPr>
              <w:t xml:space="preserve"> P2 respirator (minimum), disposable coveralls, cut-resistant gloves, eye protection. P3 for extensive removal or elevated concentrations.</w:t>
              <w:br/>
              <w:t>Remove from exposure and rectify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LED-</w:t>
            </w:r>
            <w:r>
              <w:rPr>
                <w:rFonts w:ascii="Calibri" w:hAnsi="Calibri"/>
                <w:b/>
                <w:color w:val="000000"/>
                <w:sz w:val="18"/>
              </w:rPr>
              <w:t>H6</w:t>
            </w:r>
          </w:p>
        </w:tc>
      </w:tr>
      <w:tr>
        <w:tc>
          <w:tcPr>
            <w:tcW w:type="dxa" w:w="2486"/>
          </w:tcPr>
          <w:p>
            <w:r>
              <w:rPr>
                <w:rFonts w:ascii="Calibri" w:hAnsi="Calibri"/>
                <w:sz w:val="18"/>
              </w:rPr>
              <w:t>5. Concrete Breakout and Surface Preparation</w:t>
              <w:br/>
              <w:t>Remove delaminated and spalled concrete back to sound substrate. Grind edges and prepare surface for repair mortar application.</w:t>
            </w:r>
          </w:p>
        </w:tc>
        <w:tc>
          <w:tcPr>
            <w:tcW w:type="dxa" w:w="2084"/>
          </w:tcPr>
          <w:p>
            <w:r>
              <w:rPr>
                <w:rFonts w:ascii="Calibri" w:hAnsi="Calibri"/>
                <w:sz w:val="18"/>
              </w:rPr>
              <w:t>Silica dust inhalation — silicosis, lung cancer. Lead dust from painted surfaces (see LED controls). Flying debris and concrete fragments. Noise and vibration — HAVS from extended grinding. Dropped debris to ground level. Striking concealed reinforcement or services.</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SIL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On-tool HEPA extraction or wet suppression confirmed fitted and operational on all grinders and breakers.</w:t>
              <w:br/>
              <w:t>2. P2/P3 respirators confirmed fit-tested and available.</w:t>
              <w:br/>
              <w:t>3. Exclusion zone established below work area — debris catch or overhead protection in place.</w:t>
              <w:br/>
              <w:t>4. Lead-safe controls confirmed active (see LED task) — wet methods for all surface disturbance on painted substrates.</w:t>
              <w:br/>
              <w:t>5. Services scan completed — confirm no live services in breakout zone.</w:t>
              <w:br/>
              <w:t>Confirmation retained in site diary or digital system.</w:t>
              <w:br/>
            </w:r>
            <w:r>
              <w:rPr>
                <w:rFonts w:ascii="Calibri" w:hAnsi="Calibri"/>
                <w:b/>
                <w:sz w:val="18"/>
              </w:rPr>
              <w:t>Engineering:</w:t>
            </w:r>
            <w:r>
              <w:rPr>
                <w:rFonts w:ascii="Calibri" w:hAnsi="Calibri"/>
                <w:b w:val="0"/>
                <w:sz w:val="18"/>
              </w:rPr>
              <w:t xml:space="preserve"> On-tool HEPA extraction or wet suppression on all grinders and breakers. Blade guard fitted and intact. Debris catch below EWP to prevent fallout to public.</w:t>
              <w:br/>
            </w:r>
            <w:r>
              <w:rPr>
                <w:rFonts w:ascii="Calibri" w:hAnsi="Calibri"/>
                <w:b/>
                <w:sz w:val="18"/>
              </w:rPr>
              <w:t>Admin:</w:t>
            </w:r>
            <w:r>
              <w:rPr>
                <w:rFonts w:ascii="Calibri" w:hAnsi="Calibri"/>
                <w:b w:val="0"/>
                <w:sz w:val="18"/>
              </w:rPr>
              <w:t xml:space="preserve"> P2 or P3 respirator — fit-tested. Eye and face protection mandatory. Hearing protection (&gt;85 dB). Exclusion zone around work area for debris. Inspect grinding wheels before fitting — no cracks or damage. Vibration rotation — limit individual exposure, maintain tooling.</w:t>
              <w:br/>
            </w:r>
            <w:r>
              <w:rPr>
                <w:rFonts w:ascii="Calibri" w:hAnsi="Calibri"/>
                <w:b/>
                <w:sz w:val="18"/>
              </w:rPr>
              <w:t>PPE:</w:t>
            </w:r>
            <w:r>
              <w:rPr>
                <w:rFonts w:ascii="Calibri" w:hAnsi="Calibri"/>
                <w:b w:val="0"/>
                <w:sz w:val="18"/>
              </w:rPr>
              <w:t xml:space="preserve"> P2/P3 respirator, face shield, hearing protection (&gt;85 dB), cut-resistant gloves, steel-capped footwear.</w:t>
              <w:br/>
              <w:t>Remove from exposure and rectify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2486"/>
          </w:tcPr>
          <w:p>
            <w:r>
              <w:rPr>
                <w:rFonts w:ascii="Calibri" w:hAnsi="Calibri"/>
                <w:sz w:val="18"/>
              </w:rPr>
              <w:t>6. Concrete Spalling Repair — Structural</w:t>
              <w:br/>
              <w:t>Treat exposed reinforcement, apply bonding agent and repair mortar to restore structural concrete profile. Engineering assessment required.</w:t>
            </w:r>
          </w:p>
        </w:tc>
        <w:tc>
          <w:tcPr>
            <w:tcW w:type="dxa" w:w="2084"/>
          </w:tcPr>
          <w:p>
            <w:r>
              <w:rPr>
                <w:rFonts w:ascii="Calibri" w:hAnsi="Calibri"/>
                <w:sz w:val="18"/>
              </w:rPr>
              <w:t>Structural deterioration beyond assessed extent — hidden corrosion. Further delamination during repair — uncontrolled concrete fall. Chemical exposure from repair mortar, bonding agents, and rust inhibitor. Manual handling of repair materials at height in EWP basket.</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STR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Structural engineer assessment completed — repair specification and extent of breakout confirmed in writing.</w:t>
              <w:br/>
              <w:t>2. Repair method statement reviewed and approved by Mirvac.</w:t>
              <w:br/>
              <w:t>3. Repair materials confirmed on site and matching specification (bonding agent, rust inhibitor, repair mortar).</w:t>
              <w:br/>
              <w:t>4. Exclusion zone confirmed below all repair areas.</w:t>
              <w:br/>
              <w:t>Confirmation retained in site diary or digital system.</w:t>
              <w:br/>
            </w:r>
            <w:r>
              <w:rPr>
                <w:rFonts w:ascii="Calibri" w:hAnsi="Calibri"/>
                <w:b/>
                <w:sz w:val="18"/>
              </w:rPr>
              <w:t>Engineering:</w:t>
            </w:r>
            <w:r>
              <w:rPr>
                <w:rFonts w:ascii="Calibri" w:hAnsi="Calibri"/>
                <w:b w:val="0"/>
                <w:sz w:val="18"/>
              </w:rPr>
              <w:t xml:space="preserve"> Structural engineer to assess and specify repair extent — written confirmation on file before commencing. Repair materials per engineer specification — no substitution.</w:t>
              <w:br/>
            </w:r>
            <w:r>
              <w:rPr>
                <w:rFonts w:ascii="Calibri" w:hAnsi="Calibri"/>
                <w:b/>
                <w:sz w:val="18"/>
              </w:rPr>
              <w:t>Admin:</w:t>
            </w:r>
            <w:r>
              <w:rPr>
                <w:rFonts w:ascii="Calibri" w:hAnsi="Calibri"/>
                <w:b w:val="0"/>
                <w:sz w:val="18"/>
              </w:rPr>
              <w:t xml:space="preserve"> Clean exposed rebar to bright metal — wire brush or needle gun. Apply rust inhibitor per manufacturer instructions. Apply bonding agent to prepared surface before mortar. Repair mortar applied in lifts per specification — do not overload. SDS reviewed for all repair products. If deterioration exceeds assessed extent — </w:t>
            </w:r>
            <w:r>
              <w:rPr>
                <w:rFonts w:ascii="Calibri" w:hAnsi="Calibri"/>
                <w:b/>
                <w:sz w:val="18"/>
              </w:rPr>
              <w:t>STOP WORK:</w:t>
            </w:r>
            <w:r>
              <w:rPr>
                <w:rFonts w:ascii="Calibri" w:hAnsi="Calibri"/>
                <w:b w:val="0"/>
                <w:sz w:val="18"/>
              </w:rPr>
              <w:t xml:space="preserve"> notify engineer and Mirvac before continuing.</w:t>
              <w:br/>
            </w:r>
            <w:r>
              <w:rPr>
                <w:rFonts w:ascii="Calibri" w:hAnsi="Calibri"/>
                <w:b/>
                <w:sz w:val="18"/>
              </w:rPr>
              <w:t>PPE:</w:t>
            </w:r>
            <w:r>
              <w:rPr>
                <w:rFonts w:ascii="Calibri" w:hAnsi="Calibri"/>
                <w:b w:val="0"/>
                <w:sz w:val="18"/>
              </w:rPr>
              <w:t xml:space="preserve"> Eye protection, chemical-resistant gloves, P2 respirator (dust from wire brushing), steel-capped footwear.</w:t>
              <w:br/>
            </w:r>
            <w:r>
              <w:rPr>
                <w:rFonts w:ascii="Calibri" w:hAnsi="Calibri"/>
                <w:b/>
                <w:sz w:val="18"/>
              </w:rPr>
              <w:t>STOP WORK:</w:t>
            </w:r>
            <w:r>
              <w:rPr>
                <w:rFonts w:ascii="Calibri" w:hAnsi="Calibri"/>
                <w:b w:val="0"/>
                <w:sz w:val="18"/>
              </w:rPr>
              <w:t xml:space="preserve"> Any unassessed structural deterioration, excessive rebar corrosion, or cracking beyond repair scope — stop and notify engineer.</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STR-</w:t>
            </w:r>
            <w:r>
              <w:rPr>
                <w:rFonts w:ascii="Calibri" w:hAnsi="Calibri"/>
                <w:b/>
                <w:color w:val="000000"/>
                <w:sz w:val="18"/>
              </w:rPr>
              <w:t>H6</w:t>
            </w:r>
          </w:p>
        </w:tc>
      </w:tr>
      <w:tr>
        <w:tc>
          <w:tcPr>
            <w:tcW w:type="dxa" w:w="2486"/>
          </w:tcPr>
          <w:p>
            <w:r>
              <w:rPr>
                <w:rFonts w:ascii="Calibri" w:hAnsi="Calibri"/>
                <w:sz w:val="18"/>
              </w:rPr>
              <w:t>7. Epoxy Crack Injection</w:t>
              <w:br/>
              <w:t>Identify and mark cracks, install injection ports, seal crack face, inject epoxy resin under low pressure, remove ports and finish.</w:t>
            </w:r>
          </w:p>
        </w:tc>
        <w:tc>
          <w:tcPr>
            <w:tcW w:type="dxa" w:w="2084"/>
          </w:tcPr>
          <w:p>
            <w:r>
              <w:rPr>
                <w:rFonts w:ascii="Calibri" w:hAnsi="Calibri"/>
                <w:sz w:val="18"/>
              </w:rPr>
              <w:t>Skin sensitisation from epoxy resin — allergic dermatitis. Eye contact with epoxy hardener — chemical burns. Solvent vapour inhalation from injection products. Injection equipment under pressure — hose failure. Manual handling of injection equipment at height.</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Injection equipment maintained per manufacturer — pressure relief valve functional. Hose connections checked before use.</w:t>
              <w:br/>
            </w:r>
            <w:r>
              <w:rPr>
                <w:rFonts w:ascii="Calibri" w:hAnsi="Calibri"/>
                <w:b/>
                <w:sz w:val="18"/>
              </w:rPr>
              <w:t>Admin:</w:t>
            </w:r>
            <w:r>
              <w:rPr>
                <w:rFonts w:ascii="Calibri" w:hAnsi="Calibri"/>
                <w:b w:val="0"/>
                <w:sz w:val="18"/>
              </w:rPr>
              <w:t xml:space="preserve"> SDS reviewed for epoxy resin and hardener before use — controls confirmed and SDS on site. Ventilation confirmed adequate — outdoor work via EWP. No ignition sources near solvent-based products. Drill injection ports using dust-controlled method (see SIL task). Spill kit on site — epoxy drips contained by drop sheet below.</w:t>
              <w:br/>
            </w:r>
            <w:r>
              <w:rPr>
                <w:rFonts w:ascii="Calibri" w:hAnsi="Calibri"/>
                <w:b/>
                <w:sz w:val="18"/>
              </w:rPr>
              <w:t>PPE:</w:t>
            </w:r>
            <w:r>
              <w:rPr>
                <w:rFonts w:ascii="Calibri" w:hAnsi="Calibri"/>
                <w:b w:val="0"/>
                <w:sz w:val="18"/>
              </w:rPr>
              <w:t xml:space="preserve"> Chemical-resistant gloves (nitrile minimum), eye protection (safety glasses or goggles), P2 respirator if in semi-enclosed area, disposable coveralls recommended.</w:t>
              <w:br/>
              <w:t>Remove from exposure and rectify if ventilation inadequate. First aid: skin contact — wash immediately with soap and water. Eye contact — flush 15 minutes, seek medical attention.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8. Portable Electrical Tools and Extension Leads</w:t>
              <w:br/>
              <w:t>Use of 240V grinders, drills, needle guns, and extension leads on site.</w:t>
            </w:r>
          </w:p>
        </w:tc>
        <w:tc>
          <w:tcPr>
            <w:tcW w:type="dxa" w:w="2084"/>
          </w:tcPr>
          <w:p>
            <w:r>
              <w:rPr>
                <w:rFonts w:ascii="Calibri" w:hAnsi="Calibri"/>
                <w:sz w:val="18"/>
              </w:rPr>
              <w:t>Electric shock from damaged tools or leads. RCD failure — unprotected circuit. Leads in wet conditions from pressure washing or wet grinding. Overloaded circuits — fire risk.</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ELE (Medium — C=2): Controls in place.</w:t>
              <w:br/>
            </w:r>
            <w:r>
              <w:rPr>
                <w:rFonts w:ascii="Calibri" w:hAnsi="Calibri"/>
                <w:b/>
                <w:sz w:val="18"/>
              </w:rPr>
              <w:t>Engineering:</w:t>
            </w:r>
            <w:r>
              <w:rPr>
                <w:rFonts w:ascii="Calibri" w:hAnsi="Calibri"/>
                <w:b w:val="0"/>
                <w:sz w:val="18"/>
              </w:rPr>
              <w:t xml:space="preserve"> All 240V tools and leads protected by RCD — tested before use. Use battery tools where practicable.</w:t>
              <w:br/>
            </w:r>
            <w:r>
              <w:rPr>
                <w:rFonts w:ascii="Calibri" w:hAnsi="Calibri"/>
                <w:b/>
                <w:sz w:val="18"/>
              </w:rPr>
              <w:t>Admin:</w:t>
            </w:r>
            <w:r>
              <w:rPr>
                <w:rFonts w:ascii="Calibri" w:hAnsi="Calibri"/>
                <w:b w:val="0"/>
                <w:sz w:val="18"/>
              </w:rPr>
              <w:t xml:space="preserve"> All tools and leads tested and tagged AS/NZS 3760 — construction site minimum 3-monthly. Visual inspection pre-use — no damaged plugs, cords, or housings. No daisy-chaining extension leads. Keep leads off ground where possible. Isolate before clearing jams or changing attachments. Keep electrical equipment away from water — use battery tools in wet areas.</w:t>
              <w:br/>
            </w:r>
            <w:r>
              <w:rPr>
                <w:rFonts w:ascii="Calibri" w:hAnsi="Calibri"/>
                <w:b/>
                <w:sz w:val="18"/>
              </w:rPr>
              <w:t>PPE:</w:t>
            </w:r>
            <w:r>
              <w:rPr>
                <w:rFonts w:ascii="Calibri" w:hAnsi="Calibri"/>
                <w:b w:val="0"/>
                <w:sz w:val="18"/>
              </w:rPr>
              <w:t xml:space="preserve"> Steel-capped footwear.</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ELE-</w:t>
            </w:r>
            <w:r>
              <w:rPr>
                <w:rFonts w:ascii="Calibri" w:hAnsi="Calibri"/>
                <w:b w:val="0"/>
                <w:color w:val="000000"/>
                <w:sz w:val="18"/>
              </w:rPr>
              <w:t>M4</w:t>
            </w:r>
          </w:p>
        </w:tc>
      </w:tr>
      <w:tr>
        <w:tc>
          <w:tcPr>
            <w:tcW w:type="dxa" w:w="2486"/>
          </w:tcPr>
          <w:p>
            <w:r>
              <w:rPr>
                <w:rFonts w:ascii="Calibri" w:hAnsi="Calibri"/>
                <w:sz w:val="18"/>
              </w:rPr>
              <w:t>9.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SafeWork NSW Code of Practice — Managing Risks of Falls in Workplaces, SafeWork NSW Code of Practice — Managing the Risk of Lead in the Workplace, AS/NZS 4836 Safe Working on or Near Low-Voltage Electrical Installations</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Hi-vis vest or shirt; Steel-capped footwear AS/NZS 2210.3; Eye protection (safety glasses or goggles); P2/P3 respirator (concrete grinding, lead paint disturbance); Hearing protection &gt;85 dB (grinding, breaking); Cut-resistant gloves (general); Chemical-resistant gloves (epoxy, coatings); Disposable coveralls (lead paint work); Full body harness and lanyard (EWP — clipped to manufacturer anchor).</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(Mirvac) — ALL workers on first day; SWMS sign-on — ALL workers before commencing work each day; Toolbox talk pre-commencement — conducted and recorded daily; EWP permit or logbook — daily pre-start recorded; Lead-safe work notification — SafeWork NSW if required.</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 EWP licence (WP class) — all EWP operators; Lead-safe work training — all workers disturbing painted surfaces.</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Boom lift EWP (WP licence required); Angle grinders (dust extraction fitted); Needle gun / wire brush (rebar preparation); Hammer drill / rotary hammer; Epoxy crack injection pump and fittings; HEPA vacuum; Extension leads (tested and tagged AS/NZS 3760); RCD safety switches.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Epoxy crack injection resin and hardener — SDS on site; Structural repair mortar — SDS on site; Bonding agent / primer — SDS on site; Rust inhibitor (rebar treatment) — SDS on site; Lead paint dust — assume present (pre-2003 building); Silica dust — concrete grinding and breakout.</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STD-4-2-TRF | CCVS-6-3-WAH | CCVS-6-3-LED | CCVS-6-3-SIL | CCVS-6-3-STR | STD-4-2-ENV | STD-4-2-ELE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abstractNum w:abstractNumId="99">
    <w:nsid w:val="FF990000"/>
    <w:multiLevelType w:val="singleLevel"/>
    <w:tmpl w:val="AAFF99BB"/>
    <w:lvl w:ilvl="0">
      <w:start w:val="1"/>
      <w:numFmt w:val="bullet"/>
      <w:lvlText w:val="▪"/>
      <w:lvlJc w:val="left"/>
      <w:pPr>
        <w:ind w:left="360" w:hanging="180"/>
      </w:pPr>
      <w:rPr>
        <w:rFonts w:ascii="Calibri" w:hAnsi="Calibri" w:cs="Calibri"/>
        <w:sz w:val="18"/>
        <w:szCs w:val="18"/>
      </w:rPr>
    </w:lvl>
  </w:abstractNum>
  <w:num w:numId="1" w16cid:durableId="691035794">
    <w:abstractNumId w:val="2"/>
  </w:num>
  <w:num w:numId="2" w16cid:durableId="15428535">
    <w:abstractNumId w:val="1"/>
  </w:num>
  <w:num w:numId="3" w16cid:durableId="1799759914">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