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</w:rPr>
        <w:t>Project Risk Register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Project:</w:t>
            </w:r>
          </w:p>
        </w:tc>
        <w:tc>
          <w:tcPr>
            <w:tcW w:type="dxa" w:w="11339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Remedial Building Works — 409-411 New South Head Road, Double Bay NSW 2028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PCBU / Principal Contractor:</w:t>
            </w:r>
          </w:p>
        </w:tc>
        <w:tc>
          <w:tcPr>
            <w:tcW w:type="dxa" w:w="11339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Robertson’s Remedial and Painting Pty Ltd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Jurisdiction:</w:t>
            </w:r>
          </w:p>
        </w:tc>
        <w:tc>
          <w:tcPr>
            <w:tcW w:type="dxa" w:w="11339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NSW — WHS Act 2011 (NSW), WHS Regulation 2017 (NSW)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Date Prepared:</w:t>
            </w:r>
          </w:p>
        </w:tc>
        <w:tc>
          <w:tcPr>
            <w:tcW w:type="dxa" w:w="11339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23 February 2026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Prepared by:</w:t>
            </w:r>
          </w:p>
        </w:tc>
        <w:tc>
          <w:tcPr>
            <w:tcW w:type="dxa" w:w="11339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Gatekeeper Risk Assessment System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Risk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28"/>
        <w:gridCol w:w="5528"/>
        <w:gridCol w:w="5528"/>
        <w:gridCol w:w="5528"/>
      </w:tblGrid>
      <w:tr>
        <w:tc>
          <w:tcPr>
            <w:tcW w:type="dxa" w:w="2835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Likelihood</w:t>
            </w:r>
          </w:p>
        </w:tc>
        <w:tc>
          <w:tcPr>
            <w:tcW w:type="dxa" w:w="2835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1 — Minor</w:t>
            </w:r>
          </w:p>
        </w:tc>
        <w:tc>
          <w:tcPr>
            <w:tcW w:type="dxa" w:w="2835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2 — Moderate</w:t>
            </w:r>
          </w:p>
        </w:tc>
        <w:tc>
          <w:tcPr>
            <w:tcW w:type="dxa" w:w="2835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3 — Major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A — Almost Certain</w:t>
            </w:r>
          </w:p>
        </w:tc>
        <w:tc>
          <w:tcPr>
            <w:tcW w:type="dxa" w:w="2835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 (3)</w:t>
            </w:r>
          </w:p>
        </w:tc>
        <w:tc>
          <w:tcPr>
            <w:tcW w:type="dxa" w:w="2835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 (5)</w:t>
            </w:r>
          </w:p>
        </w:tc>
        <w:tc>
          <w:tcPr>
            <w:tcW w:type="dxa" w:w="2835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 (6)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B — Likely</w:t>
            </w:r>
          </w:p>
        </w:tc>
        <w:tc>
          <w:tcPr>
            <w:tcW w:type="dxa" w:w="2835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Medium (2)</w:t>
            </w:r>
          </w:p>
        </w:tc>
        <w:tc>
          <w:tcPr>
            <w:tcW w:type="dxa" w:w="2835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 (4)</w:t>
            </w:r>
          </w:p>
        </w:tc>
        <w:tc>
          <w:tcPr>
            <w:tcW w:type="dxa" w:w="2835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 (5)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C — Possible</w:t>
            </w:r>
          </w:p>
        </w:tc>
        <w:tc>
          <w:tcPr>
            <w:tcW w:type="dxa" w:w="2835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(1)</w:t>
            </w:r>
          </w:p>
        </w:tc>
        <w:tc>
          <w:tcPr>
            <w:tcW w:type="dxa" w:w="2835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Medium (3)</w:t>
            </w:r>
          </w:p>
        </w:tc>
        <w:tc>
          <w:tcPr>
            <w:tcW w:type="dxa" w:w="2835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 (4)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D — Unlikely</w:t>
            </w:r>
          </w:p>
        </w:tc>
        <w:tc>
          <w:tcPr>
            <w:tcW w:type="dxa" w:w="2835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(1)</w:t>
            </w:r>
          </w:p>
        </w:tc>
        <w:tc>
          <w:tcPr>
            <w:tcW w:type="dxa" w:w="2835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(2)</w:t>
            </w:r>
          </w:p>
        </w:tc>
        <w:tc>
          <w:tcPr>
            <w:tcW w:type="dxa" w:w="2835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Medium (3)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 — Rare</w:t>
            </w:r>
          </w:p>
        </w:tc>
        <w:tc>
          <w:tcPr>
            <w:tcW w:type="dxa" w:w="2835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(1)</w:t>
            </w:r>
          </w:p>
        </w:tc>
        <w:tc>
          <w:tcPr>
            <w:tcW w:type="dxa" w:w="2835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(1)</w:t>
            </w:r>
          </w:p>
        </w:tc>
        <w:tc>
          <w:tcPr>
            <w:tcW w:type="dxa" w:w="2835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(2)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Risk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567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#</w:t>
            </w:r>
          </w:p>
        </w:tc>
        <w:tc>
          <w:tcPr>
            <w:tcW w:type="dxa" w:w="2835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Task</w:t>
            </w:r>
          </w:p>
        </w:tc>
        <w:tc>
          <w:tcPr>
            <w:tcW w:type="dxa" w:w="680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Code</w:t>
            </w:r>
          </w:p>
        </w:tc>
        <w:tc>
          <w:tcPr>
            <w:tcW w:type="dxa" w:w="311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Hazard</w:t>
            </w:r>
          </w:p>
        </w:tc>
        <w:tc>
          <w:tcPr>
            <w:tcW w:type="dxa" w:w="1247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Likelihood</w:t>
              <w:br/>
              <w:t>(Pre)</w:t>
            </w:r>
          </w:p>
        </w:tc>
        <w:tc>
          <w:tcPr>
            <w:tcW w:type="dxa" w:w="1247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Consequence</w:t>
              <w:br/>
              <w:t>(Pre)</w:t>
            </w:r>
          </w:p>
        </w:tc>
        <w:tc>
          <w:tcPr>
            <w:tcW w:type="dxa" w:w="1417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Risk Rating</w:t>
              <w:br/>
              <w:t>(Pre-Controls)</w:t>
            </w:r>
          </w:p>
        </w:tc>
        <w:tc>
          <w:tcPr>
            <w:tcW w:type="dxa" w:w="6236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Controls</w:t>
            </w:r>
          </w:p>
        </w:tc>
        <w:tc>
          <w:tcPr>
            <w:tcW w:type="dxa" w:w="1417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Residual</w:t>
              <w:br/>
              <w:t>Risk</w:t>
            </w:r>
          </w:p>
        </w:tc>
        <w:tc>
          <w:tcPr>
            <w:tcW w:type="dxa" w:w="1984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Responsible</w:t>
              <w:br/>
              <w:t>Person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Industrial rope access — rigging, descent, work positioning, and ascent for all façade and balcony soffit works</w:t>
            </w:r>
          </w:p>
        </w:tc>
        <w:tc>
          <w:tcPr>
            <w:tcW w:type="dxa" w:w="680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WAH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Fall from height due to anchor failure, rope failure, or equipment malfunction; pendulum swing into structure or adjacent surfaces; contact with building edges causing rope abrasion or severance; electrical hazard from proximity to overhead electric lines; environmental hazards — wind causing rope tangle or worker instability, wet ropes reducing device performance, heat stress and UV degradation of ropes and equipment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B — Likely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3 — Major</w:t>
            </w:r>
          </w:p>
        </w:tc>
        <w:tc>
          <w:tcPr>
            <w:tcW w:type="dxa" w:w="1417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 (5)</w:t>
            </w:r>
          </w:p>
        </w:tc>
        <w:tc>
          <w:tcPr>
            <w:tcW w:type="dxa" w:w="6236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Two independent anchor points per worker — one for working line, one for safety line (Safe Work Australia Guide to Industrial Rope Access Systems s4.5); all anchors and supporting structure load tested to minimum 15 kN before first use and annually thereafter; rope edge protection — davit arms, rollers, or textile sheaths at all contact points; exclusion zone established and barricaded below rope access work area; all tools secured to harness via lanyards or tool bags.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HOLD POINT — anchor installation certified by qualified engineer or competent person per WHS Reg r213; all rope access workers hold current certificate of competency — verified before commencement; equipment inspection by competent person before and after each use — harnesses, lanyards, descenders, back-up devices, ropes, slings, anchor devices; ropes packed after each shift; SWMS prepared — IRA is HRCW per WHS Reg r299; weather forecast checked before commencement; equipment stored protected from heat, UV, moisture, and chemicals.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Full body harness (AS/NZS 1891.4); helmet AS/NZS 1801; safety glasses; hi-vis vest; safety boots; gloves.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Anchor certification not sighted; worker competency not verified; equipment defect identified; wind &gt;40 km/h or causing instability; electrical storm; ropes wet and device performance compromised.</w:t>
            </w:r>
          </w:p>
        </w:tc>
        <w:tc>
          <w:tcPr>
            <w:tcW w:type="dxa" w:w="1417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Medium (3)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Rope Access Supervisor / Qualified Engineer (anchors)</w:t>
            </w:r>
          </w:p>
        </w:tc>
      </w:tr>
      <w:tr>
        <w:tc>
          <w:tcPr>
            <w:tcW w:type="dxa" w:w="56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835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Industrial rope access — emergency rescue, suspension intolerance response, and environmental monitoring</w:t>
            </w:r>
          </w:p>
        </w:tc>
        <w:tc>
          <w:tcPr>
            <w:tcW w:type="dxa" w:w="680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WAH</w:t>
            </w:r>
          </w:p>
        </w:tc>
        <w:tc>
          <w:tcPr>
            <w:tcW w:type="dxa" w:w="311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Suspension intolerance (suspension trauma) — blood pooling in lower legs during harness suspension reducing cardiac output, leading to fainting, renal failure, and death; delayed rescue of incapacitated worker suspended on rope; worker isolation — inability to communicate distress; environmental deterioration during work — sudden wind, rain, or electrical storm increasing rescue difficulty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C — Possible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3 — Major</w:t>
            </w:r>
          </w:p>
        </w:tc>
        <w:tc>
          <w:tcPr>
            <w:tcW w:type="dxa" w:w="1417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 (4)</w:t>
            </w:r>
          </w:p>
        </w:tc>
        <w:tc>
          <w:tcPr>
            <w:tcW w:type="dxa" w:w="6236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Working and safety lines rigged for rescue — releasable anchors to allow lowering or raising of injured worker without rescuer needing to descend; rescue equipment present and rigged for immediate use at all times; harness with suspension relief straps or footholds.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Emergency rescue plan prepared, documented, and tested before rope access work commences — plan covers rescue from any situation on site per WHS Reg r42; rope access workers never work alone — minimum two workers with line-of-sight or communication at all times; all workers trained in emergency procedures including rope rescue techniques; rescue to be completed within 5 minutes where practicable; weather monitored continuously — immediate descent if conditions deteriorate; communication system confirmed operative before descent.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Full body harness with suspension relief capability; helmet; first aid kit accessible at anchor station.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Rescue plan not documented or tested; fewer than two rope access workers on site; communication system failure; weather deterioration (wind, wet, lightning).</w:t>
            </w:r>
          </w:p>
        </w:tc>
        <w:tc>
          <w:tcPr>
            <w:tcW w:type="dxa" w:w="1417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Medium (3)</w:t>
            </w:r>
          </w:p>
        </w:tc>
        <w:tc>
          <w:tcPr>
            <w:tcW w:type="dxa" w:w="1984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Rope Access Supervisor / First Aid Officer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Jackhammer defective concrete from balcony soffits to expose reinforcement steel — overhead work from rope access position</w:t>
            </w:r>
          </w:p>
        </w:tc>
        <w:tc>
          <w:tcPr>
            <w:tcW w:type="dxa" w:w="680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SIL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Respirable crystalline silica (RCS) from jackhammering concrete soffits — silicosis risk (irreversible lung disease); whole-body and hand-arm vibration from jackhammer; noise &gt;85 dB(A); flying concrete fragments from overhead demolition; falling concrete debris from soffits onto persons below; electrical hazard — striking concealed services during demolition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A — Almost Certain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3 — Major</w:t>
            </w:r>
          </w:p>
        </w:tc>
        <w:tc>
          <w:tcPr>
            <w:tcW w:type="dxa" w:w="1417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 (6)</w:t>
            </w:r>
          </w:p>
        </w:tc>
        <w:tc>
          <w:tcPr>
            <w:tcW w:type="dxa" w:w="6236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H-class dust extraction connected to jackhammer shroud or wet suppression at point of demolition — no dry demolition permitted; RCD-protected power supply; exclusion zone barricaded below soffit work area; overhead protection for adjacent areas; jackhammer anti-vibration mounts.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Air monitoring where demolition &gt;30 min/shift — RCS exposure standard 0.05 mg/m³ TWA; silica register; health monitoring — lung function baseline and periodic per WHS Reg Part 8.4; services scan before demolition at each new location; task rotation to limit vibration exposure; debris contained and removed at end of each shift.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P2 respirator (fit-tested); face shield AS/NZS 1337; hearing protection (Class 5); anti-vibration gloves; helmet; safety boots with metatarsal protection.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Dust extraction/suppression fails; services detected in demolition zone; air monitoring exceeds 0.05 mg/m³ RCS; exclusion zone breached.</w:t>
            </w:r>
          </w:p>
        </w:tc>
        <w:tc>
          <w:tcPr>
            <w:tcW w:type="dxa" w:w="1417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Medium (3)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Lead Technician / Occupational Hygienist</w:t>
            </w:r>
          </w:p>
        </w:tc>
      </w:tr>
      <w:tr>
        <w:tc>
          <w:tcPr>
            <w:tcW w:type="dxa" w:w="56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835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Treat exposed reinforcement with Nitoprime Zincrich, prime substrate with Nitobond HAR bonding agent, patch with Renderox HB40 repair mortar — overhead application from rope access</w:t>
            </w:r>
          </w:p>
        </w:tc>
        <w:tc>
          <w:tcPr>
            <w:tcW w:type="dxa" w:w="680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ENV</w:t>
            </w:r>
          </w:p>
        </w:tc>
        <w:tc>
          <w:tcPr>
            <w:tcW w:type="dxa" w:w="311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Chemical exposure — Nitoprime Zincrich (zinc-rich primer, flammable, respiratory irritant); Nitobond HAR (acrylic bonding agent, skin/eye irritant); Renderox HB40 (cementitious repair mortar, alkaline — skin and eye irritant, contains chromium VI); overhead application — drips and splashes onto face, eyes, and skin; manual handling at height — mixing and carrying materials while suspended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B — Likely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 — Moderate</w:t>
            </w:r>
          </w:p>
        </w:tc>
        <w:tc>
          <w:tcPr>
            <w:tcW w:type="dxa" w:w="1417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 (4)</w:t>
            </w:r>
          </w:p>
        </w:tc>
        <w:tc>
          <w:tcPr>
            <w:tcW w:type="dxa" w:w="6236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Drip containment below work area; RCD-protected power supply for mixing equipment.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SDS for Nitoprime Zincrich, Nitobond HAR, and Renderox HB40 reviewed and on site; workers briefed on chemical hazards, first aid, and spill procedures for each product; chemical register maintained; no ignition sources within 5 m when using Nitoprime Zincrich; materials pre-mixed at ground level where practicable — minimise mixing at height; eye wash station within 20 m.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P2 respirator; face shield for overhead application; chemical-resistant nitrile gloves; long sleeves; safety glasses AS/NZS 1337.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SDS not on site for any product; eye wash not accessible; worker reports skin or eye irritation.</w:t>
            </w:r>
          </w:p>
        </w:tc>
        <w:tc>
          <w:tcPr>
            <w:tcW w:type="dxa" w:w="1417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(2)</w:t>
            </w:r>
          </w:p>
        </w:tc>
        <w:tc>
          <w:tcPr>
            <w:tcW w:type="dxa" w:w="1984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Lead Technician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Pressure wash concrete balcony surfaces to remove loose material, contaminants, and failed coatings before waterproofing</w:t>
            </w:r>
          </w:p>
        </w:tc>
        <w:tc>
          <w:tcPr>
            <w:tcW w:type="dxa" w:w="680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ENV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High-pressure water injection injury; overspray drift onto public areas, balconies, and vehicles below; slip hazard on wet surfaces; electrical hazard — water ingress to electrical fittings; environmental contamination — wash water containing concrete dust and coating residue entering stormwater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B — Likely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 — Moderate</w:t>
            </w:r>
          </w:p>
        </w:tc>
        <w:tc>
          <w:tcPr>
            <w:tcW w:type="dxa" w:w="1417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 (4)</w:t>
            </w:r>
          </w:p>
        </w:tc>
        <w:tc>
          <w:tcPr>
            <w:tcW w:type="dxa" w:w="6236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Fan nozzle (not zero-degree); containment sheeting to prevent overspray; wash water captured and filtered — sediment trap or bunded collection; RCD-protected power supply; electrical fittings in wash zone isolated or protected.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Wash water disposal per NSW EPA requirements; overspray management plan — stop if wind &gt;25 km/h; never direct pressure washer at persons; occupant notification before commencement; adjacent balconies checked and protected.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Safety glasses/face shield; waterproof gloves and coveralls; safety boots with non-slip sole.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Wash water containment fails; wind &gt;25 km/h; electrical fittings not isolated in wash zone.</w:t>
            </w:r>
          </w:p>
        </w:tc>
        <w:tc>
          <w:tcPr>
            <w:tcW w:type="dxa" w:w="1417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(2)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Lead Technician</w:t>
            </w:r>
          </w:p>
        </w:tc>
      </w:tr>
      <w:tr>
        <w:tc>
          <w:tcPr>
            <w:tcW w:type="dxa" w:w="56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835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Rake out failed sealant from balcony joints, prepare joint surfaces, apply Fosroc Nitoseal MS250 sealant, tool to profile</w:t>
            </w:r>
          </w:p>
        </w:tc>
        <w:tc>
          <w:tcPr>
            <w:tcW w:type="dxa" w:w="680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ENV</w:t>
            </w:r>
          </w:p>
        </w:tc>
        <w:tc>
          <w:tcPr>
            <w:tcW w:type="dxa" w:w="311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Chemical exposure — Nitoseal MS250 solvent vapours and isocyanate content; skin sensitisation; eye contact; manual handling of caulking guns at height; slip hazard from sealant on surfaces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B — Likely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 — Moderate</w:t>
            </w:r>
          </w:p>
        </w:tc>
        <w:tc>
          <w:tcPr>
            <w:tcW w:type="dxa" w:w="1417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 (4)</w:t>
            </w:r>
          </w:p>
        </w:tc>
        <w:tc>
          <w:tcPr>
            <w:tcW w:type="dxa" w:w="6236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Substitute:</w:t>
            </w:r>
            <w:r>
              <w:rPr>
                <w:rFonts w:ascii="Arial" w:hAnsi="Arial"/>
                <w:color w:val="000000"/>
                <w:sz w:val="16"/>
              </w:rPr>
              <w:t xml:space="preserve"> Select low-VOC sealant variant where specified product allows.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Natural ventilation confirmed adequate; RCD-protected power tools.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SDS for Nitoseal MS250 reviewed and on site; workers briefed on chemical hazards, first aid, spill procedures; sealant waste disposed per EPA requirements; chemical register maintained.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Nitrile gloves; safety glasses AS/NZS 1337; P2 respirator if confined/recessed joint areas.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SDS not on site; ventilation inadequate in enclosed areas; worker reports symptoms of sensitisation.</w:t>
            </w:r>
          </w:p>
        </w:tc>
        <w:tc>
          <w:tcPr>
            <w:tcW w:type="dxa" w:w="1417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(2)</w:t>
            </w:r>
          </w:p>
        </w:tc>
        <w:tc>
          <w:tcPr>
            <w:tcW w:type="dxa" w:w="1984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Lead Technician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Apply Parchem waterproofing membrane to prepared balcony surfaces — primer, membrane coats, and protection layer</w:t>
            </w:r>
          </w:p>
        </w:tc>
        <w:tc>
          <w:tcPr>
            <w:tcW w:type="dxa" w:w="680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ENV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Chemical exposure — Parchem membrane system (solvent/water-based depending on product variant, respiratory and skin irritant); vapour accumulation in sheltered balcony areas; skin contact during roller/brush application; slip hazard from wet membrane on balcony surfaces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C — Possible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 — Moderate</w:t>
            </w:r>
          </w:p>
        </w:tc>
        <w:tc>
          <w:tcPr>
            <w:tcW w:type="dxa" w:w="1417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Medium (3)</w:t>
            </w:r>
          </w:p>
        </w:tc>
        <w:tc>
          <w:tcPr>
            <w:tcW w:type="dxa" w:w="6236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Adequate ventilation confirmed — fans if enclosed balcony; drip containment below work area.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SDS for all Parchem membrane products reviewed and on site; apply during favourable weather — manufacturer temperature and humidity requirements checked; chemical register; area barricaded until membrane cured.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Organic vapour respirator (A1P2) if enclosed area; safety glasses; nitrile gloves; long sleeves.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SDS not on site; ventilation inadequate; temperature outside manufacturer’s range.</w:t>
            </w:r>
          </w:p>
        </w:tc>
        <w:tc>
          <w:tcPr>
            <w:tcW w:type="dxa" w:w="1417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(1)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Lead Applicator</w:t>
            </w:r>
          </w:p>
        </w:tc>
      </w:tr>
      <w:tr>
        <w:tc>
          <w:tcPr>
            <w:tcW w:type="dxa" w:w="56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835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Prepare external concrete render and masonry surfaces, apply Acratex Green Render Sealer via spray or roller from rope access</w:t>
            </w:r>
          </w:p>
        </w:tc>
        <w:tc>
          <w:tcPr>
            <w:tcW w:type="dxa" w:w="680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ENV</w:t>
            </w:r>
          </w:p>
        </w:tc>
        <w:tc>
          <w:tcPr>
            <w:tcW w:type="dxa" w:w="311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Chemical exposure — Acratex Green Render Sealer (water-based acrylic, low VOC but respiratory irritant in spray application); overspray drift onto public areas, adjacent properties, and vehicles; environmental contamination from overspray and equipment wash; manual handling at height — carrying spray equipment while suspended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B — Likely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 — Moderate</w:t>
            </w:r>
          </w:p>
        </w:tc>
        <w:tc>
          <w:tcPr>
            <w:tcW w:type="dxa" w:w="1417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 (4)</w:t>
            </w:r>
          </w:p>
        </w:tc>
        <w:tc>
          <w:tcPr>
            <w:tcW w:type="dxa" w:w="6236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Containment sheeting on rope access zone to capture overspray; RCD-protected power supply for spray equipment.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SDS reviewed and on site; wind check before spray application — stop if &gt;25 km/h; overspray management plan; occupant and neighbour notification; equipment wash water captured and disposed per NSW EPA.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P2 respirator during spray application; safety glasses AS/NZS 1337; nitrile gloves; long sleeves; coveralls.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Wind &gt;25 km/h during spray application; overspray reaching public areas or adjacent properties; SDS not on site.</w:t>
            </w:r>
          </w:p>
        </w:tc>
        <w:tc>
          <w:tcPr>
            <w:tcW w:type="dxa" w:w="1417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(2)</w:t>
            </w:r>
          </w:p>
        </w:tc>
        <w:tc>
          <w:tcPr>
            <w:tcW w:type="dxa" w:w="1984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Lead Painter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Apply Dulux Weathershield Exterior Low Sheen topcoat to external concrete render and masonry surfaces from rope access</w:t>
            </w:r>
          </w:p>
        </w:tc>
        <w:tc>
          <w:tcPr>
            <w:tcW w:type="dxa" w:w="680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ENV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Chemical exposure — Weathershield Low Sheen (water-based acrylic, low VOC); overspray drift from height; drips from rope access work position onto persons or property below; manual handling of paint and equipment at height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C — Possible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 — Moderate</w:t>
            </w:r>
          </w:p>
        </w:tc>
        <w:tc>
          <w:tcPr>
            <w:tcW w:type="dxa" w:w="1417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Medium (3)</w:t>
            </w:r>
          </w:p>
        </w:tc>
        <w:tc>
          <w:tcPr>
            <w:tcW w:type="dxa" w:w="6236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Containment sheeting; drip trays below work zone.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SDS reviewed and on site; apply during favourable weather — wind &lt;25 km/h, temperature per manufacturer spec; overspray cleaned immediately; equipment wash water captured.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Safety glasses; nitrile gloves; P2 respirator if spray application in enclosed areas.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Wind &gt;25 km/h; overspray or drips reaching public areas; temperature outside manufacturer’s range.</w:t>
            </w:r>
          </w:p>
        </w:tc>
        <w:tc>
          <w:tcPr>
            <w:tcW w:type="dxa" w:w="1417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(1)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Lead Painter</w:t>
            </w:r>
          </w:p>
        </w:tc>
      </w:tr>
      <w:tr>
        <w:tc>
          <w:tcPr>
            <w:tcW w:type="dxa" w:w="56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835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Surface preparation of existing painted concrete and masonry — abrasion, sanding, or mechanical preparation of coatings of unknown age</w:t>
            </w:r>
          </w:p>
        </w:tc>
        <w:tc>
          <w:tcPr>
            <w:tcW w:type="dxa" w:w="680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LED</w:t>
            </w:r>
          </w:p>
        </w:tc>
        <w:tc>
          <w:tcPr>
            <w:tcW w:type="dxa" w:w="311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CRITICAL — Existing coatings on pre-1997 surfaces may contain lead paint. Respirable lead dust from abrading, sanding, or mechanical preparation — lead poisoning (neurological damage, kidney damage, reproductive harm); dust inhalation; skin and eye contact with lead-contaminated dust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B — Likely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3 — Major</w:t>
            </w:r>
          </w:p>
        </w:tc>
        <w:tc>
          <w:tcPr>
            <w:tcW w:type="dxa" w:w="1417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 (5)</w:t>
            </w:r>
          </w:p>
        </w:tc>
        <w:tc>
          <w:tcPr>
            <w:tcW w:type="dxa" w:w="6236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Eliminate:</w:t>
            </w:r>
            <w:r>
              <w:rPr>
                <w:rFonts w:ascii="Arial" w:hAnsi="Arial"/>
                <w:color w:val="000000"/>
                <w:sz w:val="16"/>
              </w:rPr>
              <w:t xml:space="preserve"> HOLD POINT — Test existing coatings for lead before any abrasion or mechanical preparation. If pre-1997 or unknown age, XRF testing or NATA-accredited lab analysis required. If lead confirmed (&gt;1% by weight): lead risk work per WHS Reg Part 8.5; lead risk control plan; air monitoring; blood lead monitoring; wet methods mandatory; HEPA vacuum; hazardous waste disposal; notify SafeWork NSW.</w:t>
              <w:br/>
              <w:t>Engineering (if lead-free): Wet abrasion; RCD-protected tools; dust extraction; adequate ventilation.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Lead test results on site; lead register if detected; health monitoring per WHS Reg Part 8.5.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P2 respirator (fit-tested); safety glasses; nitrile gloves; disposable coveralls if lead risk work.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Lead test results not available; lead detected and control plan not in place; air monitoring exceeds lead exposure standard.</w:t>
            </w:r>
          </w:p>
        </w:tc>
        <w:tc>
          <w:tcPr>
            <w:tcW w:type="dxa" w:w="1417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Medium (3)</w:t>
            </w:r>
          </w:p>
        </w:tc>
        <w:tc>
          <w:tcPr>
            <w:tcW w:type="dxa" w:w="1984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Occupational Hygienist (if lead confirmed)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Manage pedestrian and vehicle interface around work zone at 409-411 New South Head Road, Double Bay — high-traffic commercial and residential streetscape</w:t>
            </w:r>
          </w:p>
        </w:tc>
        <w:tc>
          <w:tcPr>
            <w:tcW w:type="dxa" w:w="680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TRF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Pedestrian struck by falling object from rope access work zone; vehicle collision with work zone equipment; public accessing exclusion zone below overhead work; overspray, wash water, or debris affecting pedestrians, vehicles, and adjacent commercial premises; noise and dust affecting residents and businesses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B — Likely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3 — Major</w:t>
            </w:r>
          </w:p>
        </w:tc>
        <w:tc>
          <w:tcPr>
            <w:tcW w:type="dxa" w:w="1417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 (5)</w:t>
            </w:r>
          </w:p>
        </w:tc>
        <w:tc>
          <w:tcPr>
            <w:tcW w:type="dxa" w:w="6236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Physical barricading — hoarding or A-class barriers below overhead work zones; overhead protection gantry where footpath cannot be closed; containment sheeting on rope access zone to capture debris and overspray.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Traffic management plan (TMP) where works encroach on road or footpath — Woollahra Municipal Council approval required; spotter during overhead rope access work where public below; signage at all access points; daily barricade inspection; occupant and adjacent business notification before noisy, dusty, or spray work; work scheduled to minimise disruption to commercial peak hours.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Hi-vis vest; helmet mandatory in drop zones.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Exclusion zone barricading not in place; overhead protection not installed where footpath open; TMP not approved where works encroach on road.</w:t>
            </w:r>
          </w:p>
        </w:tc>
        <w:tc>
          <w:tcPr>
            <w:tcW w:type="dxa" w:w="1417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Medium (3)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Traffic Controller (if TMP required)</w:t>
            </w:r>
          </w:p>
        </w:tc>
      </w:tr>
      <w:tr>
        <w:tc>
          <w:tcPr>
            <w:tcW w:type="dxa" w:w="56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835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Manual handling of materials, tools, chemicals, and equipment across all scope items — ground to rope access transfer</w:t>
            </w:r>
          </w:p>
        </w:tc>
        <w:tc>
          <w:tcPr>
            <w:tcW w:type="dxa" w:w="680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STR</w:t>
            </w:r>
          </w:p>
        </w:tc>
        <w:tc>
          <w:tcPr>
            <w:tcW w:type="dxa" w:w="311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Musculoskeletal injury from repetitive lifting, carrying, and overhead work; back injury from awkward postures during rope access material transfer; fatigue from sustained physical work at height; dropped materials during transfer between ground and rope access position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B — Likely</w:t>
            </w:r>
          </w:p>
        </w:tc>
        <w:tc>
          <w:tcPr>
            <w:tcW w:type="dxa" w:w="1247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 — Moderate</w:t>
            </w:r>
          </w:p>
        </w:tc>
        <w:tc>
          <w:tcPr>
            <w:tcW w:type="dxa" w:w="1417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 (4)</w:t>
            </w:r>
          </w:p>
        </w:tc>
        <w:tc>
          <w:tcPr>
            <w:tcW w:type="dxa" w:w="6236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Eliminate:</w:t>
            </w:r>
            <w:r>
              <w:rPr>
                <w:rFonts w:ascii="Arial" w:hAnsi="Arial"/>
                <w:color w:val="000000"/>
                <w:sz w:val="16"/>
              </w:rPr>
              <w:t xml:space="preserve"> Deliver materials by mechanical means (hoist line, haul bag on separate anchored line) — minimise manual carrying while suspended.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Engineering:</w:t>
            </w:r>
            <w:r>
              <w:rPr>
                <w:rFonts w:ascii="Arial" w:hAnsi="Arial"/>
                <w:color w:val="000000"/>
                <w:sz w:val="16"/>
              </w:rPr>
              <w:t xml:space="preserve"> Mechanical lifting aids for items &gt;20 kg; tool bags and haul bags rated for load; separate anchor for material hauling line.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Admin:</w:t>
            </w:r>
            <w:r>
              <w:rPr>
                <w:rFonts w:ascii="Arial" w:hAnsi="Arial"/>
                <w:color w:val="000000"/>
                <w:sz w:val="16"/>
              </w:rPr>
              <w:t xml:space="preserve"> Team lifts for items &gt;15 kg at ground level; task rotation; correct manual handling technique briefed; rest breaks scheduled; materials pre-staged at ground level in manageable quantities.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PPE:</w:t>
            </w:r>
            <w:r>
              <w:rPr>
                <w:rFonts w:ascii="Arial" w:hAnsi="Arial"/>
                <w:color w:val="000000"/>
                <w:sz w:val="16"/>
              </w:rPr>
              <w:t xml:space="preserve"> Rigger’s gloves; safety boots.</w:t>
              <w:br/>
            </w:r>
            <w:r>
              <w:rPr>
                <w:rFonts w:ascii="Arial" w:hAnsi="Arial"/>
                <w:b/>
                <w:color w:val="000000"/>
                <w:sz w:val="16"/>
              </w:rPr>
              <w:t>STOP WORK:</w:t>
            </w:r>
            <w:r>
              <w:rPr>
                <w:rFonts w:ascii="Arial" w:hAnsi="Arial"/>
                <w:color w:val="000000"/>
                <w:sz w:val="16"/>
              </w:rPr>
              <w:t xml:space="preserve"> Material haul line not independently anchored; loads exceed rated capacity of haul equipment.</w:t>
            </w:r>
          </w:p>
        </w:tc>
        <w:tc>
          <w:tcPr>
            <w:tcW w:type="dxa" w:w="1417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 (1)</w:t>
            </w:r>
          </w:p>
        </w:tc>
        <w:tc>
          <w:tcPr>
            <w:tcW w:type="dxa" w:w="1984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Site Supervisor / Rope Access Supervisor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Risk Profile Summary</w:t>
      </w:r>
    </w:p>
    <w:p>
      <w:r>
        <w:rPr>
          <w:rFonts w:ascii="Arial" w:hAnsi="Arial"/>
          <w:b/>
          <w:color w:val="000000"/>
          <w:sz w:val="20"/>
        </w:rPr>
        <w:t>Pre-Controls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Risk Rating</w:t>
            </w:r>
          </w:p>
        </w:tc>
        <w:tc>
          <w:tcPr>
            <w:tcW w:type="dxa" w:w="1701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Count</w:t>
            </w:r>
          </w:p>
        </w:tc>
      </w:tr>
      <w:tr>
        <w:tc>
          <w:tcPr>
            <w:tcW w:type="dxa" w:w="2835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Critical (5–6)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2835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High (4)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835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Medium (3)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835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Low (1–2)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</w:tr>
    </w:tbl>
    <w:p/>
    <w:p>
      <w:r>
        <w:rPr>
          <w:rFonts w:ascii="Arial" w:hAnsi="Arial"/>
          <w:b/>
          <w:color w:val="000000"/>
          <w:sz w:val="20"/>
        </w:rPr>
        <w:t>Post-Controls (Residual)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Risk Rating</w:t>
            </w:r>
          </w:p>
        </w:tc>
        <w:tc>
          <w:tcPr>
            <w:tcW w:type="dxa" w:w="1701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Count</w:t>
            </w:r>
          </w:p>
        </w:tc>
      </w:tr>
      <w:tr>
        <w:tc>
          <w:tcPr>
            <w:tcW w:type="dxa" w:w="2835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Critical (5–6)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835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High (4)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835"/>
            <w:shd w:fill="FF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Medium (3)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835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Low (1–2)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Critical Hold Points</w:t>
      </w:r>
    </w:p>
    <w:p>
      <w:pPr>
        <w:pStyle w:val="ListBullet"/>
      </w:pPr>
      <w:r>
        <w:rPr>
          <w:rFonts w:ascii="Arial" w:hAnsi="Arial"/>
          <w:color w:val="000000"/>
          <w:sz w:val="18"/>
        </w:rPr>
        <w:t>Industrial rope access — anchor installation certified by qualified engineer, load tested to 15 kN minimum (WHS Reg r213)</w:t>
      </w:r>
    </w:p>
    <w:p>
      <w:pPr>
        <w:pStyle w:val="ListBullet"/>
      </w:pPr>
      <w:r>
        <w:rPr>
          <w:rFonts w:ascii="Arial" w:hAnsi="Arial"/>
          <w:color w:val="000000"/>
          <w:sz w:val="18"/>
        </w:rPr>
        <w:t>Existing coatings — test for lead paint before any abrasion or mechanical preparation (WHS Reg Part 8.5)</w:t>
      </w:r>
    </w:p>
    <w:p>
      <w:pPr>
        <w:pStyle w:val="ListBullet"/>
      </w:pPr>
      <w:r>
        <w:rPr>
          <w:rFonts w:ascii="Arial" w:hAnsi="Arial"/>
          <w:color w:val="000000"/>
          <w:sz w:val="18"/>
        </w:rPr>
        <w:t>All silica-generating tasks — air monitoring and health surveillance required (WHS Reg Part 8.4)</w:t>
      </w:r>
    </w:p>
    <w:p>
      <w:pPr>
        <w:pStyle w:val="ListBullet"/>
      </w:pPr>
      <w:r>
        <w:rPr>
          <w:rFonts w:ascii="Arial" w:hAnsi="Arial"/>
          <w:color w:val="000000"/>
          <w:sz w:val="18"/>
        </w:rPr>
        <w:t>Pressure washing — wash water containment and disposal plan verified before commencement (NSW EPA)</w:t>
      </w:r>
    </w:p>
    <w:p/>
    <w:p>
      <w:pPr>
        <w:pStyle w:val="Heading2"/>
      </w:pPr>
      <w:r>
        <w:rPr>
          <w:rFonts w:ascii="Arial" w:hAnsi="Arial"/>
          <w:color w:val="000000"/>
        </w:rPr>
        <w:t>References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Work Health and Safety Act 2011 (NSW) — s19, s28, s38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Work Health and Safety Regulation 2017 (NSW) — Part 3.1, Part 6.3, Part 6.4, Part 8.4, Part 8.5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Code of Practice: Managing the Risk of Falls at Workplaces (Safe Work Australia)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Code of Practice: Managing Risks of Hazardous Chemicals in the Workplace (Safe Work Australia)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Guide to Managing Risks of Industrial Rope Access Systems (Safe Work Australia, June 2022)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AS/NZS ISO 22846 — Rope access systems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AS/NZS 1891.4 — Industrial fall-arrest systems and devices — Selection, use and maintenance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AS/NZS 1801 — Occupational protective helmets</w:t>
      </w:r>
    </w:p>
    <w:p>
      <w:pPr>
        <w:pStyle w:val="ListBullet"/>
      </w:pPr>
      <w:r>
        <w:rPr>
          <w:rFonts w:ascii="Arial" w:hAnsi="Arial"/>
          <w:color w:val="000000"/>
          <w:sz w:val="16"/>
        </w:rPr>
        <w:t>AS/NZS 1337 — Personal eye protection</w:t>
      </w:r>
    </w:p>
    <w:p/>
    <w:p>
      <w:pPr>
        <w:jc w:val="left"/>
      </w:pPr>
      <w:r>
        <w:rPr>
          <w:rFonts w:ascii="Arial" w:hAnsi="Arial"/>
          <w:b/>
          <w:color w:val="000000"/>
          <w:sz w:val="16"/>
        </w:rPr>
        <w:t xml:space="preserve">Disclaimer: </w:t>
      </w:r>
      <w:r>
        <w:rPr>
          <w:rFonts w:ascii="Arial" w:hAnsi="Arial"/>
          <w:i/>
          <w:color w:val="000000"/>
          <w:sz w:val="16"/>
        </w:rPr>
        <w:t>This risk register is general WHS guidance based on Australian harmonised legislation and project scope information provided. It does not constitute legal advice and does not replace a site-specific risk assessment by a competent person. Hazards and controls must be verified against actual site conditions before work commences. For complex matters, consult a qualified WHS professional or SafeWork NSW.</w:t>
      </w:r>
    </w:p>
    <w:sectPr w:rsidR="00FC693F" w:rsidRPr="0006063C" w:rsidSect="00034616">
      <w:pgSz w:w="23811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