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Register — Codebase Analysis</w:t>
      </w:r>
    </w:p>
    <w:p>
      <w:r>
        <w:rPr>
          <w:rFonts w:ascii="Arial" w:hAnsi="Arial"/>
          <w:sz w:val="22"/>
        </w:rPr>
        <w:t>Gatekeeper Project — Robertson's Remedial and Painting Pty Ltd</w:t>
      </w:r>
    </w:p>
    <w:p>
      <w:r>
        <w:rPr>
          <w:rFonts w:ascii="Arial" w:hAnsi="Arial"/>
          <w:sz w:val="20"/>
        </w:rPr>
        <w:t>Generated: 02/03/2026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#</w:t>
            </w:r>
          </w:p>
        </w:tc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Risk</w:t>
            </w:r>
          </w:p>
        </w:tc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Severity</w:t>
            </w:r>
          </w:p>
        </w:tc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Mitigation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Hardcoded Windows paths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Found in 11 location(s): swms_22smith_spalling.py:134, swms_22smith_spalling.py:178, swms_22smith_spalling.py:228, swms_22smith_spalling.py:275, SWMS_BASE_GENERAL.py:747...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Use os.path.join() or pathlib for all file paths</w:t>
            </w:r>
          </w:p>
        </w:tc>
      </w:tr>
      <w:tr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External dependencies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Low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9 third-party packages: SWMS_BASE_GENERAL, docx, lxml, openpyxl, shutil, swms_generator, swms_vocabulary, tempfile, zipfile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Pin versions in requirements.txt — verify compatibility before upgrading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Locked output files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 lock file(s) detected: ~$D-MSW-002_Remedial_Works_Master_SWMS.docx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Close Word/Excel before running builds — lock files prevent overwrite</w:t>
            </w:r>
          </w:p>
        </w:tc>
      </w:tr>
      <w:tr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Test coverage gaps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High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1/19 source files have matching test files. Uncovered: audit_classification.py, build_all_swms.py, data_analysis.py, docx_style_standard.py, format_swms.py, generate_project_docs.py, risk_register_to_docx.py, risk_register_to_xlsx.py...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test_&lt;filename&gt;.py for critical modules — prioritise engine and validators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Missing error handling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Medium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 file(s) use open() without any try/except: vocab_tool.py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Add try/except around file I/O in scripts that write to outputs/</w:t>
            </w:r>
          </w:p>
        </w:tc>
      </w:tr>
    </w:tbl>
    <w:p/>
    <w:p>
      <w:r>
        <w:rPr>
          <w:rFonts w:ascii="Arial" w:hAnsi="Arial"/>
          <w:sz w:val="18"/>
        </w:rPr>
        <w:t>Total risks identified: 5</w:t>
      </w:r>
    </w:p>
    <w:p>
      <w:pPr>
        <w:pStyle w:val="Heading3"/>
      </w:pPr>
      <w:r>
        <w:t>Summary</w:t>
      </w:r>
    </w:p>
    <w:p>
      <w:pPr>
        <w:pStyle w:val="ListBullet"/>
      </w:pPr>
      <w:r>
        <w:rPr>
          <w:rFonts w:ascii="Arial" w:hAnsi="Arial"/>
          <w:sz w:val="18"/>
        </w:rPr>
        <w:t>High: 2</w:t>
      </w:r>
    </w:p>
    <w:p>
      <w:pPr>
        <w:pStyle w:val="ListBullet"/>
      </w:pPr>
      <w:r>
        <w:rPr>
          <w:rFonts w:ascii="Arial" w:hAnsi="Arial"/>
          <w:sz w:val="18"/>
        </w:rPr>
        <w:t>Medium: 2</w:t>
      </w:r>
    </w:p>
    <w:p>
      <w:pPr>
        <w:pStyle w:val="ListBullet"/>
      </w:pPr>
      <w:r>
        <w:rPr>
          <w:rFonts w:ascii="Arial" w:hAnsi="Arial"/>
          <w:sz w:val="18"/>
        </w:rPr>
        <w:t>Low: 1</w:t>
      </w:r>
    </w:p>
    <w:p>
      <w:pPr>
        <w:pStyle w:val="Heading2"/>
      </w:pPr>
      <w:r>
        <w:t>Cross-Reference Notes</w:t>
      </w:r>
    </w:p>
    <w:p>
      <w:pPr>
        <w:pStyle w:val="ListBullet"/>
      </w:pPr>
      <w:r>
        <w:rPr>
          <w:rFonts w:ascii="Arial" w:hAnsi="Arial"/>
          <w:sz w:val="18"/>
        </w:rPr>
        <w:t>Test coverage gap risk is documented — aligns with PROJECT_STATUS file counts</w:t>
      </w:r>
    </w:p>
    <w:p>
      <w:pPr>
        <w:pStyle w:val="ListBullet"/>
      </w:pPr>
      <w:r>
        <w:rPr>
          <w:rFonts w:ascii="Arial" w:hAnsi="Arial"/>
          <w:sz w:val="18"/>
        </w:rPr>
        <w:t>COMPLIANCE_MATRIX reports missing output documents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