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SWMS - Reviewed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Hazards</w:t>
            </w:r>
          </w:p>
        </w:tc>
        <w:tc>
          <w:tcPr>
            <w:tcW w:type="dxa" w:w="1728"/>
          </w:tcPr>
          <w:p>
            <w:r>
              <w:t>Controls</w:t>
            </w:r>
          </w:p>
        </w:tc>
        <w:tc>
          <w:tcPr>
            <w:tcW w:type="dxa" w:w="1728"/>
          </w:tcPr>
          <w:p>
            <w:r>
              <w:t>Responsibility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Erect scaffold to level 3</w:t>
            </w:r>
          </w:p>
        </w:tc>
        <w:tc>
          <w:tcPr>
            <w:tcW w:type="dxa" w:w="1728"/>
          </w:tcPr>
          <w:p>
            <w:r>
              <w:t>Fall from height</w:t>
            </w:r>
          </w:p>
        </w:tc>
        <w:tc>
          <w:tcPr>
            <w:tcW w:type="dxa" w:w="1728"/>
          </w:tcPr>
          <w:p>
            <w:r>
              <w:t>Install edge protection and guardrails before any worker accesses scaffold</w:t>
            </w:r>
          </w:p>
        </w:tc>
        <w:tc>
          <w:tcPr>
            <w:tcW w:type="dxa" w:w="1728"/>
          </w:tcPr>
          <w:p>
            <w:r>
              <w:t>Licensed scaffolder J. Smith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Paint exterior walls</w:t>
            </w:r>
          </w:p>
        </w:tc>
        <w:tc>
          <w:tcPr>
            <w:tcW w:type="dxa" w:w="1728"/>
          </w:tcPr>
          <w:p>
            <w:r>
              <w:t>Chemical exposure, slip hazard</w:t>
            </w:r>
          </w:p>
        </w:tc>
        <w:tc>
          <w:tcPr>
            <w:tcW w:type="dxa" w:w="1728"/>
          </w:tcPr>
          <w:p>
            <w:r>
              <w:t>Wear chemical-resistant gloves and organic vapour respirator per SDS</w:t>
            </w:r>
          </w:p>
        </w:tc>
        <w:tc>
          <w:tcPr>
            <w:tcW w:type="dxa" w:w="1728"/>
          </w:tcPr>
          <w:p>
            <w:r>
              <w:t>Lead painter M. Jones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