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B83" w:rsidRPr="00CD0DE0" w:rsidRDefault="004852D2" w:rsidP="000E5B83">
      <w:pPr>
        <w:pStyle w:val="ListParagraph"/>
        <w:rPr>
          <w:rFonts w:ascii="Times New Roman" w:hAnsi="Times New Roman" w:cs="Times New Roman"/>
          <w:b/>
          <w:sz w:val="28"/>
          <w:szCs w:val="28"/>
          <w:u w:val="single"/>
        </w:rPr>
      </w:pPr>
      <w:r>
        <w:rPr>
          <w:rFonts w:ascii="Times New Roman" w:hAnsi="Times New Roman" w:cs="Times New Roman"/>
          <w:b/>
          <w:sz w:val="28"/>
          <w:szCs w:val="28"/>
          <w:u w:val="single"/>
        </w:rPr>
        <w:t xml:space="preserve">3. </w:t>
      </w:r>
      <w:r w:rsidR="000E5B83" w:rsidRPr="00CD0DE0">
        <w:rPr>
          <w:rFonts w:ascii="Times New Roman" w:hAnsi="Times New Roman" w:cs="Times New Roman"/>
          <w:b/>
          <w:sz w:val="28"/>
          <w:szCs w:val="28"/>
          <w:u w:val="single"/>
        </w:rPr>
        <w:t xml:space="preserve">Advancing Women’s Leadership in Public and Private Sector </w:t>
      </w:r>
    </w:p>
    <w:p w:rsidR="000E5B83" w:rsidRPr="00CD0DE0" w:rsidRDefault="000E5B83" w:rsidP="000C2AE4">
      <w:pPr>
        <w:rPr>
          <w:rFonts w:ascii="Times New Roman" w:hAnsi="Times New Roman" w:cs="Times New Roman"/>
        </w:rPr>
      </w:pPr>
    </w:p>
    <w:p w:rsidR="00082DE1" w:rsidRPr="00CD0DE0" w:rsidRDefault="00893E89" w:rsidP="007244DF">
      <w:pPr>
        <w:rPr>
          <w:rFonts w:ascii="Times New Roman" w:hAnsi="Times New Roman" w:cs="Times New Roman"/>
          <w:sz w:val="24"/>
          <w:szCs w:val="24"/>
        </w:rPr>
      </w:pPr>
      <w:r w:rsidRPr="00CD0DE0">
        <w:rPr>
          <w:rFonts w:ascii="Times New Roman" w:hAnsi="Times New Roman" w:cs="Times New Roman"/>
          <w:sz w:val="24"/>
          <w:szCs w:val="24"/>
        </w:rPr>
        <w:t>In 1995, a</w:t>
      </w:r>
      <w:r w:rsidR="00CB3B95" w:rsidRPr="00CD0DE0">
        <w:rPr>
          <w:rFonts w:ascii="Times New Roman" w:hAnsi="Times New Roman" w:cs="Times New Roman"/>
          <w:sz w:val="24"/>
          <w:szCs w:val="24"/>
        </w:rPr>
        <w:t xml:space="preserve">t the Fourth World Conference on Women, </w:t>
      </w:r>
      <w:r w:rsidRPr="00CD0DE0">
        <w:rPr>
          <w:rFonts w:ascii="Times New Roman" w:hAnsi="Times New Roman" w:cs="Times New Roman"/>
          <w:sz w:val="24"/>
          <w:szCs w:val="24"/>
        </w:rPr>
        <w:t xml:space="preserve">a total of 189 countries adopted </w:t>
      </w:r>
      <w:r w:rsidR="00CB3B95" w:rsidRPr="00CD0DE0">
        <w:rPr>
          <w:rFonts w:ascii="Times New Roman" w:hAnsi="Times New Roman" w:cs="Times New Roman"/>
          <w:sz w:val="24"/>
          <w:szCs w:val="24"/>
        </w:rPr>
        <w:t>the Beijing Decla</w:t>
      </w:r>
      <w:r w:rsidRPr="00CD0DE0">
        <w:rPr>
          <w:rFonts w:ascii="Times New Roman" w:hAnsi="Times New Roman" w:cs="Times New Roman"/>
          <w:sz w:val="24"/>
          <w:szCs w:val="24"/>
        </w:rPr>
        <w:t>ration and Platform for Action under which they uphold gender equality and would particularly advance women’s right to leadership</w:t>
      </w:r>
      <w:r w:rsidR="00A16271" w:rsidRPr="00CD0DE0">
        <w:rPr>
          <w:rFonts w:ascii="Times New Roman" w:hAnsi="Times New Roman" w:cs="Times New Roman"/>
          <w:sz w:val="24"/>
          <w:szCs w:val="24"/>
        </w:rPr>
        <w:t xml:space="preserve"> </w:t>
      </w:r>
      <w:r w:rsidRPr="00CD0DE0">
        <w:rPr>
          <w:rFonts w:ascii="Times New Roman" w:hAnsi="Times New Roman" w:cs="Times New Roman"/>
          <w:sz w:val="24"/>
          <w:szCs w:val="24"/>
        </w:rPr>
        <w:t xml:space="preserve">and representation in public and private sectors. </w:t>
      </w:r>
      <w:r w:rsidR="00C319A1" w:rsidRPr="00CD0DE0">
        <w:rPr>
          <w:rFonts w:ascii="Times New Roman" w:hAnsi="Times New Roman" w:cs="Times New Roman"/>
          <w:sz w:val="24"/>
          <w:szCs w:val="24"/>
        </w:rPr>
        <w:t xml:space="preserve">Over the last twenty years, African states </w:t>
      </w:r>
      <w:r w:rsidR="00C15171" w:rsidRPr="00CD0DE0">
        <w:rPr>
          <w:rFonts w:ascii="Times New Roman" w:hAnsi="Times New Roman" w:cs="Times New Roman"/>
          <w:sz w:val="24"/>
          <w:szCs w:val="24"/>
        </w:rPr>
        <w:t>have adopted</w:t>
      </w:r>
      <w:r w:rsidR="00C319A1" w:rsidRPr="00CD0DE0">
        <w:rPr>
          <w:rFonts w:ascii="Times New Roman" w:hAnsi="Times New Roman" w:cs="Times New Roman"/>
          <w:sz w:val="24"/>
          <w:szCs w:val="24"/>
        </w:rPr>
        <w:t xml:space="preserve"> various</w:t>
      </w:r>
      <w:r w:rsidR="00A16271" w:rsidRPr="00CD0DE0">
        <w:rPr>
          <w:rFonts w:ascii="Times New Roman" w:hAnsi="Times New Roman" w:cs="Times New Roman"/>
          <w:sz w:val="24"/>
          <w:szCs w:val="24"/>
        </w:rPr>
        <w:t xml:space="preserve"> </w:t>
      </w:r>
      <w:r w:rsidR="006D0D22">
        <w:rPr>
          <w:rFonts w:ascii="Times New Roman" w:hAnsi="Times New Roman" w:cs="Times New Roman"/>
          <w:sz w:val="24"/>
          <w:szCs w:val="24"/>
        </w:rPr>
        <w:t>legislations</w:t>
      </w:r>
      <w:r w:rsidR="00C319A1" w:rsidRPr="00CD0DE0">
        <w:rPr>
          <w:rFonts w:ascii="Times New Roman" w:hAnsi="Times New Roman" w:cs="Times New Roman"/>
          <w:sz w:val="24"/>
          <w:szCs w:val="24"/>
        </w:rPr>
        <w:t xml:space="preserve"> and institutional </w:t>
      </w:r>
      <w:r w:rsidR="00442E82" w:rsidRPr="00CD0DE0">
        <w:rPr>
          <w:rFonts w:ascii="Times New Roman" w:hAnsi="Times New Roman" w:cs="Times New Roman"/>
          <w:sz w:val="24"/>
          <w:szCs w:val="24"/>
        </w:rPr>
        <w:t xml:space="preserve">mechanisms, </w:t>
      </w:r>
      <w:r w:rsidR="00A16271" w:rsidRPr="00CD0DE0">
        <w:rPr>
          <w:rFonts w:ascii="Times New Roman" w:hAnsi="Times New Roman" w:cs="Times New Roman"/>
          <w:sz w:val="24"/>
          <w:szCs w:val="24"/>
        </w:rPr>
        <w:t>including</w:t>
      </w:r>
      <w:r w:rsidR="00442E82" w:rsidRPr="00CD0DE0">
        <w:rPr>
          <w:rFonts w:ascii="Times New Roman" w:hAnsi="Times New Roman" w:cs="Times New Roman"/>
          <w:sz w:val="24"/>
          <w:szCs w:val="24"/>
        </w:rPr>
        <w:t xml:space="preserve"> quotas for women</w:t>
      </w:r>
      <w:r w:rsidR="00BB6642">
        <w:rPr>
          <w:rFonts w:ascii="Times New Roman" w:hAnsi="Times New Roman" w:cs="Times New Roman"/>
          <w:sz w:val="24"/>
          <w:szCs w:val="24"/>
        </w:rPr>
        <w:t xml:space="preserve"> in </w:t>
      </w:r>
      <w:r w:rsidR="006D0D22">
        <w:rPr>
          <w:rFonts w:ascii="Times New Roman" w:hAnsi="Times New Roman" w:cs="Times New Roman"/>
          <w:sz w:val="24"/>
          <w:szCs w:val="24"/>
        </w:rPr>
        <w:t>public</w:t>
      </w:r>
      <w:r w:rsidR="00BB6642">
        <w:rPr>
          <w:rFonts w:ascii="Times New Roman" w:hAnsi="Times New Roman" w:cs="Times New Roman"/>
          <w:sz w:val="24"/>
          <w:szCs w:val="24"/>
        </w:rPr>
        <w:t xml:space="preserve"> and private</w:t>
      </w:r>
      <w:r w:rsidR="006D0D22">
        <w:rPr>
          <w:rFonts w:ascii="Times New Roman" w:hAnsi="Times New Roman" w:cs="Times New Roman"/>
          <w:sz w:val="24"/>
          <w:szCs w:val="24"/>
        </w:rPr>
        <w:t xml:space="preserve"> institutions,</w:t>
      </w:r>
      <w:r w:rsidR="00442E82" w:rsidRPr="00CD0DE0">
        <w:rPr>
          <w:rFonts w:ascii="Times New Roman" w:hAnsi="Times New Roman" w:cs="Times New Roman"/>
          <w:sz w:val="24"/>
          <w:szCs w:val="24"/>
        </w:rPr>
        <w:t xml:space="preserve"> at </w:t>
      </w:r>
      <w:r w:rsidR="00C319A1" w:rsidRPr="00CD0DE0">
        <w:rPr>
          <w:rFonts w:ascii="Times New Roman" w:hAnsi="Times New Roman" w:cs="Times New Roman"/>
          <w:sz w:val="24"/>
          <w:szCs w:val="24"/>
        </w:rPr>
        <w:t xml:space="preserve">the continental, sub-regional and national levels to </w:t>
      </w:r>
      <w:r w:rsidR="00442E82" w:rsidRPr="00CD0DE0">
        <w:rPr>
          <w:rFonts w:ascii="Times New Roman" w:hAnsi="Times New Roman" w:cs="Times New Roman"/>
          <w:sz w:val="24"/>
          <w:szCs w:val="24"/>
        </w:rPr>
        <w:t xml:space="preserve">further women’s leadership </w:t>
      </w:r>
      <w:r w:rsidR="00A43094" w:rsidRPr="00CD0DE0">
        <w:rPr>
          <w:rFonts w:ascii="Times New Roman" w:hAnsi="Times New Roman" w:cs="Times New Roman"/>
          <w:sz w:val="24"/>
          <w:szCs w:val="24"/>
        </w:rPr>
        <w:t xml:space="preserve">and </w:t>
      </w:r>
      <w:r w:rsidR="00A16271" w:rsidRPr="00CD0DE0">
        <w:rPr>
          <w:rFonts w:ascii="Times New Roman" w:hAnsi="Times New Roman" w:cs="Times New Roman"/>
          <w:sz w:val="24"/>
          <w:szCs w:val="24"/>
        </w:rPr>
        <w:t>effective</w:t>
      </w:r>
      <w:r w:rsidR="00A43094" w:rsidRPr="00CD0DE0">
        <w:rPr>
          <w:rFonts w:ascii="Times New Roman" w:hAnsi="Times New Roman" w:cs="Times New Roman"/>
          <w:sz w:val="24"/>
          <w:szCs w:val="24"/>
        </w:rPr>
        <w:t xml:space="preserve"> participation</w:t>
      </w:r>
      <w:r w:rsidR="00442E82" w:rsidRPr="00CD0DE0">
        <w:rPr>
          <w:rFonts w:ascii="Times New Roman" w:hAnsi="Times New Roman" w:cs="Times New Roman"/>
          <w:sz w:val="24"/>
          <w:szCs w:val="24"/>
        </w:rPr>
        <w:t xml:space="preserve"> in government and private </w:t>
      </w:r>
      <w:r w:rsidR="00A16271" w:rsidRPr="00CD0DE0">
        <w:rPr>
          <w:rFonts w:ascii="Times New Roman" w:hAnsi="Times New Roman" w:cs="Times New Roman"/>
          <w:sz w:val="24"/>
          <w:szCs w:val="24"/>
        </w:rPr>
        <w:t>spheres</w:t>
      </w:r>
      <w:r w:rsidR="00442E82" w:rsidRPr="00CD0DE0">
        <w:rPr>
          <w:rFonts w:ascii="Times New Roman" w:hAnsi="Times New Roman" w:cs="Times New Roman"/>
          <w:sz w:val="24"/>
          <w:szCs w:val="24"/>
        </w:rPr>
        <w:t xml:space="preserve">. </w:t>
      </w:r>
      <w:r w:rsidR="00C21C10" w:rsidRPr="00CD0DE0">
        <w:rPr>
          <w:rFonts w:ascii="Times New Roman" w:hAnsi="Times New Roman" w:cs="Times New Roman"/>
          <w:sz w:val="24"/>
          <w:szCs w:val="24"/>
        </w:rPr>
        <w:t xml:space="preserve">Since 2003, the Protocol to the African Charter on Human and Peoples’ Rights on the Rights of Women in Africa (or Maputo Protocol) has been ratified by </w:t>
      </w:r>
      <w:r w:rsidR="00C15171" w:rsidRPr="00CD0DE0">
        <w:rPr>
          <w:rFonts w:ascii="Times New Roman" w:hAnsi="Times New Roman" w:cs="Times New Roman"/>
          <w:sz w:val="24"/>
          <w:szCs w:val="24"/>
        </w:rPr>
        <w:t xml:space="preserve">36 </w:t>
      </w:r>
      <w:r w:rsidR="00C21C10" w:rsidRPr="00CD0DE0">
        <w:rPr>
          <w:rFonts w:ascii="Times New Roman" w:hAnsi="Times New Roman" w:cs="Times New Roman"/>
          <w:sz w:val="24"/>
          <w:szCs w:val="24"/>
        </w:rPr>
        <w:t>Africa</w:t>
      </w:r>
      <w:r w:rsidR="00C15171" w:rsidRPr="00CD0DE0">
        <w:rPr>
          <w:rFonts w:ascii="Times New Roman" w:hAnsi="Times New Roman" w:cs="Times New Roman"/>
          <w:sz w:val="24"/>
          <w:szCs w:val="24"/>
        </w:rPr>
        <w:t xml:space="preserve">n </w:t>
      </w:r>
      <w:r w:rsidR="00C21C10" w:rsidRPr="00CD0DE0">
        <w:rPr>
          <w:rFonts w:ascii="Times New Roman" w:hAnsi="Times New Roman" w:cs="Times New Roman"/>
          <w:sz w:val="24"/>
          <w:szCs w:val="24"/>
        </w:rPr>
        <w:t xml:space="preserve">Union member states and </w:t>
      </w:r>
      <w:r w:rsidR="00C15171" w:rsidRPr="00CD0DE0">
        <w:rPr>
          <w:rFonts w:ascii="Times New Roman" w:hAnsi="Times New Roman" w:cs="Times New Roman"/>
          <w:sz w:val="24"/>
          <w:szCs w:val="24"/>
        </w:rPr>
        <w:t xml:space="preserve">signed </w:t>
      </w:r>
      <w:r w:rsidR="00C21C10" w:rsidRPr="00CD0DE0">
        <w:rPr>
          <w:rFonts w:ascii="Times New Roman" w:hAnsi="Times New Roman" w:cs="Times New Roman"/>
          <w:sz w:val="24"/>
          <w:szCs w:val="24"/>
        </w:rPr>
        <w:t>by 48, making it one of the highest ratified instruments in the African Union</w:t>
      </w:r>
      <w:r w:rsidR="00C21C10" w:rsidRPr="00CD0DE0">
        <w:rPr>
          <w:rStyle w:val="FootnoteReference"/>
          <w:rFonts w:ascii="Times New Roman" w:hAnsi="Times New Roman" w:cs="Times New Roman"/>
          <w:sz w:val="24"/>
          <w:szCs w:val="24"/>
        </w:rPr>
        <w:footnoteReference w:id="1"/>
      </w:r>
      <w:r w:rsidR="00C21C10" w:rsidRPr="00CD0DE0">
        <w:rPr>
          <w:rFonts w:ascii="Times New Roman" w:hAnsi="Times New Roman" w:cs="Times New Roman"/>
          <w:sz w:val="24"/>
          <w:szCs w:val="24"/>
        </w:rPr>
        <w:t>.</w:t>
      </w:r>
      <w:r w:rsidR="00C15171" w:rsidRPr="00CD0DE0">
        <w:rPr>
          <w:rFonts w:ascii="Times New Roman" w:hAnsi="Times New Roman" w:cs="Times New Roman"/>
          <w:sz w:val="24"/>
          <w:szCs w:val="24"/>
        </w:rPr>
        <w:t xml:space="preserve">  </w:t>
      </w:r>
      <w:r w:rsidR="00C21C10" w:rsidRPr="00CD0DE0">
        <w:rPr>
          <w:rFonts w:ascii="Times New Roman" w:hAnsi="Times New Roman" w:cs="Times New Roman"/>
          <w:sz w:val="24"/>
          <w:szCs w:val="24"/>
        </w:rPr>
        <w:t xml:space="preserve">In addition to stressing women’s sexual and reproductive rights and health, the Protocol requires through Article 9 that state parties ensure increased </w:t>
      </w:r>
      <w:r w:rsidR="00FF3BDD" w:rsidRPr="00CD0DE0">
        <w:rPr>
          <w:rFonts w:ascii="Times New Roman" w:hAnsi="Times New Roman" w:cs="Times New Roman"/>
          <w:sz w:val="24"/>
          <w:szCs w:val="24"/>
        </w:rPr>
        <w:t>and effective representation and participation of women at all levels of decision making; recognizing women as equal partners with men at all levels of development and implementation of state policies and development programs</w:t>
      </w:r>
      <w:r w:rsidR="00FF3BDD" w:rsidRPr="00CD0DE0">
        <w:rPr>
          <w:rStyle w:val="FootnoteReference"/>
          <w:rFonts w:ascii="Times New Roman" w:hAnsi="Times New Roman" w:cs="Times New Roman"/>
          <w:sz w:val="24"/>
          <w:szCs w:val="24"/>
        </w:rPr>
        <w:footnoteReference w:id="2"/>
      </w:r>
      <w:r w:rsidR="00FF3BDD" w:rsidRPr="00CD0DE0">
        <w:rPr>
          <w:rFonts w:ascii="Times New Roman" w:hAnsi="Times New Roman" w:cs="Times New Roman"/>
          <w:sz w:val="24"/>
          <w:szCs w:val="24"/>
        </w:rPr>
        <w:t xml:space="preserve">.  </w:t>
      </w:r>
      <w:r w:rsidR="00082DE1" w:rsidRPr="00CD0DE0">
        <w:rPr>
          <w:rFonts w:ascii="Times New Roman" w:hAnsi="Times New Roman" w:cs="Times New Roman"/>
          <w:sz w:val="24"/>
          <w:szCs w:val="24"/>
        </w:rPr>
        <w:t>Across sub-Saharan Africa, w</w:t>
      </w:r>
      <w:r w:rsidR="00A16271" w:rsidRPr="00CD0DE0">
        <w:rPr>
          <w:rFonts w:ascii="Times New Roman" w:hAnsi="Times New Roman" w:cs="Times New Roman"/>
          <w:sz w:val="24"/>
          <w:szCs w:val="24"/>
        </w:rPr>
        <w:t>omen’s share of e</w:t>
      </w:r>
      <w:r w:rsidR="003566B2" w:rsidRPr="00CD0DE0">
        <w:rPr>
          <w:rFonts w:ascii="Times New Roman" w:hAnsi="Times New Roman" w:cs="Times New Roman"/>
          <w:sz w:val="24"/>
          <w:szCs w:val="24"/>
        </w:rPr>
        <w:t>mployment in the non</w:t>
      </w:r>
      <w:r w:rsidR="00A16271" w:rsidRPr="00CD0DE0">
        <w:rPr>
          <w:rFonts w:ascii="Times New Roman" w:hAnsi="Times New Roman" w:cs="Times New Roman"/>
          <w:sz w:val="24"/>
          <w:szCs w:val="24"/>
        </w:rPr>
        <w:t>agricultural sector</w:t>
      </w:r>
      <w:r w:rsidR="003566B2" w:rsidRPr="00CD0DE0">
        <w:rPr>
          <w:rFonts w:ascii="Times New Roman" w:hAnsi="Times New Roman" w:cs="Times New Roman"/>
          <w:sz w:val="24"/>
          <w:szCs w:val="24"/>
        </w:rPr>
        <w:t xml:space="preserve"> (estimated at 33.1% in </w:t>
      </w:r>
      <w:r w:rsidR="001828F1" w:rsidRPr="00CD0DE0">
        <w:rPr>
          <w:rFonts w:ascii="Times New Roman" w:hAnsi="Times New Roman" w:cs="Times New Roman"/>
          <w:sz w:val="24"/>
          <w:szCs w:val="24"/>
        </w:rPr>
        <w:t>2010</w:t>
      </w:r>
      <w:r w:rsidR="003566B2" w:rsidRPr="00CD0DE0">
        <w:rPr>
          <w:rFonts w:ascii="Times New Roman" w:hAnsi="Times New Roman" w:cs="Times New Roman"/>
          <w:sz w:val="24"/>
          <w:szCs w:val="24"/>
        </w:rPr>
        <w:t>)</w:t>
      </w:r>
      <w:r w:rsidR="001828F1" w:rsidRPr="00CD0DE0">
        <w:rPr>
          <w:rStyle w:val="FootnoteReference"/>
          <w:rFonts w:ascii="Times New Roman" w:hAnsi="Times New Roman" w:cs="Times New Roman"/>
          <w:sz w:val="24"/>
          <w:szCs w:val="24"/>
        </w:rPr>
        <w:footnoteReference w:id="3"/>
      </w:r>
      <w:r w:rsidR="00930109" w:rsidRPr="00CD0DE0">
        <w:rPr>
          <w:rFonts w:ascii="Times New Roman" w:hAnsi="Times New Roman" w:cs="Times New Roman"/>
          <w:sz w:val="24"/>
          <w:szCs w:val="24"/>
        </w:rPr>
        <w:t xml:space="preserve"> </w:t>
      </w:r>
      <w:r w:rsidR="00F061A0">
        <w:rPr>
          <w:rFonts w:ascii="Times New Roman" w:hAnsi="Times New Roman" w:cs="Times New Roman"/>
          <w:sz w:val="24"/>
          <w:szCs w:val="24"/>
        </w:rPr>
        <w:t xml:space="preserve">is improving, </w:t>
      </w:r>
      <w:r w:rsidR="003566B2" w:rsidRPr="00CD0DE0">
        <w:rPr>
          <w:rFonts w:ascii="Times New Roman" w:hAnsi="Times New Roman" w:cs="Times New Roman"/>
          <w:sz w:val="24"/>
          <w:szCs w:val="24"/>
        </w:rPr>
        <w:t xml:space="preserve">as well as the percentage of women </w:t>
      </w:r>
      <w:r w:rsidR="004202D2" w:rsidRPr="00CD0DE0">
        <w:rPr>
          <w:rFonts w:ascii="Times New Roman" w:hAnsi="Times New Roman" w:cs="Times New Roman"/>
          <w:sz w:val="24"/>
          <w:szCs w:val="24"/>
        </w:rPr>
        <w:t xml:space="preserve">aged 15 and above </w:t>
      </w:r>
      <w:r w:rsidR="003566B2" w:rsidRPr="00CD0DE0">
        <w:rPr>
          <w:rFonts w:ascii="Times New Roman" w:hAnsi="Times New Roman" w:cs="Times New Roman"/>
          <w:sz w:val="24"/>
          <w:szCs w:val="24"/>
        </w:rPr>
        <w:t>with ‘at least some secondary education</w:t>
      </w:r>
      <w:r w:rsidR="00F061A0">
        <w:rPr>
          <w:rFonts w:ascii="Times New Roman" w:hAnsi="Times New Roman" w:cs="Times New Roman"/>
          <w:sz w:val="24"/>
          <w:szCs w:val="24"/>
        </w:rPr>
        <w:t xml:space="preserve">’ </w:t>
      </w:r>
      <w:r w:rsidR="004202D2" w:rsidRPr="00CD0DE0">
        <w:rPr>
          <w:rFonts w:ascii="Times New Roman" w:hAnsi="Times New Roman" w:cs="Times New Roman"/>
          <w:sz w:val="24"/>
          <w:szCs w:val="24"/>
        </w:rPr>
        <w:t>(63.6% for females and 76.3% for males in 2012)</w:t>
      </w:r>
      <w:r w:rsidR="001828F1" w:rsidRPr="00CD0DE0">
        <w:rPr>
          <w:rStyle w:val="FootnoteReference"/>
          <w:rFonts w:ascii="Times New Roman" w:hAnsi="Times New Roman" w:cs="Times New Roman"/>
          <w:sz w:val="24"/>
          <w:szCs w:val="24"/>
        </w:rPr>
        <w:footnoteReference w:id="4"/>
      </w:r>
      <w:r w:rsidR="004202D2" w:rsidRPr="00CD0DE0">
        <w:rPr>
          <w:rFonts w:ascii="Times New Roman" w:hAnsi="Times New Roman" w:cs="Times New Roman"/>
          <w:sz w:val="24"/>
          <w:szCs w:val="24"/>
        </w:rPr>
        <w:t xml:space="preserve">. </w:t>
      </w:r>
    </w:p>
    <w:p w:rsidR="00675892" w:rsidRPr="00CD0DE0" w:rsidRDefault="00ED0F40" w:rsidP="007244DF">
      <w:pPr>
        <w:rPr>
          <w:rFonts w:ascii="Times New Roman" w:hAnsi="Times New Roman" w:cs="Times New Roman"/>
          <w:sz w:val="24"/>
          <w:szCs w:val="24"/>
        </w:rPr>
      </w:pPr>
      <w:r w:rsidRPr="00CD0DE0">
        <w:rPr>
          <w:rFonts w:ascii="Times New Roman" w:hAnsi="Times New Roman" w:cs="Times New Roman"/>
          <w:sz w:val="24"/>
          <w:szCs w:val="24"/>
        </w:rPr>
        <w:t>De</w:t>
      </w:r>
      <w:r w:rsidR="00082DE1" w:rsidRPr="00CD0DE0">
        <w:rPr>
          <w:rFonts w:ascii="Times New Roman" w:hAnsi="Times New Roman" w:cs="Times New Roman"/>
          <w:sz w:val="24"/>
          <w:szCs w:val="24"/>
        </w:rPr>
        <w:t xml:space="preserve">spite </w:t>
      </w:r>
      <w:r w:rsidRPr="00CD0DE0">
        <w:rPr>
          <w:rFonts w:ascii="Times New Roman" w:hAnsi="Times New Roman" w:cs="Times New Roman"/>
          <w:sz w:val="24"/>
          <w:szCs w:val="24"/>
        </w:rPr>
        <w:t>the aforementioned progress,</w:t>
      </w:r>
      <w:r w:rsidR="004F5FC6" w:rsidRPr="00CD0DE0">
        <w:rPr>
          <w:rFonts w:ascii="Times New Roman" w:hAnsi="Times New Roman" w:cs="Times New Roman"/>
          <w:sz w:val="24"/>
          <w:szCs w:val="24"/>
        </w:rPr>
        <w:t xml:space="preserve"> </w:t>
      </w:r>
      <w:r w:rsidR="0079412F">
        <w:rPr>
          <w:rFonts w:ascii="Times New Roman" w:hAnsi="Times New Roman" w:cs="Times New Roman"/>
          <w:sz w:val="24"/>
          <w:szCs w:val="24"/>
        </w:rPr>
        <w:t>gender imbalance in public sector a</w:t>
      </w:r>
      <w:r w:rsidR="00C451B2" w:rsidRPr="00CD0DE0">
        <w:rPr>
          <w:rFonts w:ascii="Times New Roman" w:hAnsi="Times New Roman" w:cs="Times New Roman"/>
          <w:sz w:val="24"/>
          <w:szCs w:val="24"/>
        </w:rPr>
        <w:t xml:space="preserve">nd business </w:t>
      </w:r>
      <w:r w:rsidR="0079412F">
        <w:rPr>
          <w:rFonts w:ascii="Times New Roman" w:hAnsi="Times New Roman" w:cs="Times New Roman"/>
          <w:sz w:val="24"/>
          <w:szCs w:val="24"/>
        </w:rPr>
        <w:t xml:space="preserve">leadership remain </w:t>
      </w:r>
      <w:r w:rsidR="00C451B2" w:rsidRPr="00CD0DE0">
        <w:rPr>
          <w:rFonts w:ascii="Times New Roman" w:hAnsi="Times New Roman" w:cs="Times New Roman"/>
          <w:sz w:val="24"/>
          <w:szCs w:val="24"/>
        </w:rPr>
        <w:t>serious concern</w:t>
      </w:r>
      <w:r w:rsidR="0079412F">
        <w:rPr>
          <w:rFonts w:ascii="Times New Roman" w:hAnsi="Times New Roman" w:cs="Times New Roman"/>
          <w:sz w:val="24"/>
          <w:szCs w:val="24"/>
        </w:rPr>
        <w:t>s</w:t>
      </w:r>
      <w:r w:rsidR="00C451B2" w:rsidRPr="00CD0DE0">
        <w:rPr>
          <w:rFonts w:ascii="Times New Roman" w:hAnsi="Times New Roman" w:cs="Times New Roman"/>
          <w:sz w:val="24"/>
          <w:szCs w:val="24"/>
        </w:rPr>
        <w:t xml:space="preserve"> in </w:t>
      </w:r>
      <w:r w:rsidR="0079412F">
        <w:rPr>
          <w:rFonts w:ascii="Times New Roman" w:hAnsi="Times New Roman" w:cs="Times New Roman"/>
          <w:sz w:val="24"/>
          <w:szCs w:val="24"/>
        </w:rPr>
        <w:t xml:space="preserve">sub-Saharan </w:t>
      </w:r>
      <w:r w:rsidR="00C451B2" w:rsidRPr="00CD0DE0">
        <w:rPr>
          <w:rFonts w:ascii="Times New Roman" w:hAnsi="Times New Roman" w:cs="Times New Roman"/>
          <w:sz w:val="24"/>
          <w:szCs w:val="24"/>
        </w:rPr>
        <w:t xml:space="preserve">Africa. </w:t>
      </w:r>
      <w:r w:rsidR="0049538A" w:rsidRPr="00CD0DE0">
        <w:rPr>
          <w:rFonts w:ascii="Times New Roman" w:hAnsi="Times New Roman" w:cs="Times New Roman"/>
          <w:sz w:val="24"/>
          <w:szCs w:val="24"/>
        </w:rPr>
        <w:t>Women</w:t>
      </w:r>
      <w:r w:rsidR="004F5FC6" w:rsidRPr="00CD0DE0">
        <w:rPr>
          <w:rFonts w:ascii="Times New Roman" w:hAnsi="Times New Roman" w:cs="Times New Roman"/>
          <w:sz w:val="24"/>
          <w:szCs w:val="24"/>
        </w:rPr>
        <w:t xml:space="preserve"> </w:t>
      </w:r>
      <w:r w:rsidR="00C451B2" w:rsidRPr="00CD0DE0">
        <w:rPr>
          <w:rFonts w:ascii="Times New Roman" w:hAnsi="Times New Roman" w:cs="Times New Roman"/>
          <w:sz w:val="24"/>
          <w:szCs w:val="24"/>
        </w:rPr>
        <w:t>are particularly</w:t>
      </w:r>
      <w:r w:rsidR="004F5FC6" w:rsidRPr="00CD0DE0">
        <w:rPr>
          <w:rFonts w:ascii="Times New Roman" w:hAnsi="Times New Roman" w:cs="Times New Roman"/>
          <w:sz w:val="24"/>
          <w:szCs w:val="24"/>
        </w:rPr>
        <w:t xml:space="preserve"> under-represented in leadership and decision-making positions in public and private sectors. T</w:t>
      </w:r>
      <w:r w:rsidR="00131CEB" w:rsidRPr="00CD0DE0">
        <w:rPr>
          <w:rFonts w:ascii="Times New Roman" w:hAnsi="Times New Roman" w:cs="Times New Roman"/>
          <w:sz w:val="24"/>
          <w:szCs w:val="24"/>
        </w:rPr>
        <w:t xml:space="preserve">he percentage of women senior officials in public administration, in Africa, remains very low and is </w:t>
      </w:r>
      <w:r w:rsidR="000D2E5E" w:rsidRPr="00CD0DE0">
        <w:rPr>
          <w:rFonts w:ascii="Times New Roman" w:hAnsi="Times New Roman" w:cs="Times New Roman"/>
          <w:sz w:val="24"/>
          <w:szCs w:val="24"/>
        </w:rPr>
        <w:t>below</w:t>
      </w:r>
      <w:r w:rsidR="00131CEB" w:rsidRPr="00CD0DE0">
        <w:rPr>
          <w:rFonts w:ascii="Times New Roman" w:hAnsi="Times New Roman" w:cs="Times New Roman"/>
          <w:sz w:val="24"/>
          <w:szCs w:val="24"/>
        </w:rPr>
        <w:t xml:space="preserve"> 30 percent in most African states, with the exception of Botswana (45% in 2009) and South Africa (35% in 2011)</w:t>
      </w:r>
      <w:r w:rsidR="00BF5480" w:rsidRPr="00CD0DE0">
        <w:rPr>
          <w:rStyle w:val="FootnoteReference"/>
          <w:rFonts w:ascii="Times New Roman" w:hAnsi="Times New Roman" w:cs="Times New Roman"/>
          <w:sz w:val="24"/>
          <w:szCs w:val="24"/>
        </w:rPr>
        <w:footnoteReference w:id="5"/>
      </w:r>
      <w:r w:rsidR="00BF5480" w:rsidRPr="00CD0DE0">
        <w:rPr>
          <w:rFonts w:ascii="Times New Roman" w:hAnsi="Times New Roman" w:cs="Times New Roman"/>
          <w:sz w:val="24"/>
          <w:szCs w:val="24"/>
        </w:rPr>
        <w:t xml:space="preserve">. </w:t>
      </w:r>
      <w:r w:rsidR="007244DF" w:rsidRPr="00CD0DE0">
        <w:rPr>
          <w:rFonts w:ascii="Times New Roman" w:hAnsi="Times New Roman" w:cs="Times New Roman"/>
          <w:sz w:val="24"/>
          <w:szCs w:val="24"/>
        </w:rPr>
        <w:t xml:space="preserve">In the private sector, gender disparities also persist in terms of equal access and participation </w:t>
      </w:r>
      <w:r w:rsidR="004C3CAD" w:rsidRPr="00CD0DE0">
        <w:rPr>
          <w:rFonts w:ascii="Times New Roman" w:hAnsi="Times New Roman" w:cs="Times New Roman"/>
          <w:sz w:val="24"/>
          <w:szCs w:val="24"/>
        </w:rPr>
        <w:t>in</w:t>
      </w:r>
      <w:r w:rsidR="007244DF" w:rsidRPr="00CD0DE0">
        <w:rPr>
          <w:rFonts w:ascii="Times New Roman" w:hAnsi="Times New Roman" w:cs="Times New Roman"/>
          <w:sz w:val="24"/>
          <w:szCs w:val="24"/>
        </w:rPr>
        <w:t xml:space="preserve"> leadership and decision making in business, </w:t>
      </w:r>
      <w:r w:rsidR="004C3CAD" w:rsidRPr="00CD0DE0">
        <w:rPr>
          <w:rFonts w:ascii="Times New Roman" w:hAnsi="Times New Roman" w:cs="Times New Roman"/>
          <w:sz w:val="24"/>
          <w:szCs w:val="24"/>
        </w:rPr>
        <w:t xml:space="preserve">financial and trade management. </w:t>
      </w:r>
      <w:r w:rsidR="007244DF" w:rsidRPr="00CD0DE0">
        <w:rPr>
          <w:rFonts w:ascii="Times New Roman" w:hAnsi="Times New Roman" w:cs="Times New Roman"/>
          <w:sz w:val="24"/>
          <w:szCs w:val="24"/>
        </w:rPr>
        <w:t xml:space="preserve">Whereas the percentage of private firms with female participation in ownership is </w:t>
      </w:r>
      <w:r w:rsidR="009C6427" w:rsidRPr="00CD0DE0">
        <w:rPr>
          <w:rFonts w:ascii="Times New Roman" w:hAnsi="Times New Roman" w:cs="Times New Roman"/>
          <w:sz w:val="24"/>
          <w:szCs w:val="24"/>
        </w:rPr>
        <w:t>in the 10 to 30 percent range</w:t>
      </w:r>
      <w:r w:rsidR="007244DF" w:rsidRPr="00CD0DE0">
        <w:rPr>
          <w:rFonts w:ascii="Times New Roman" w:hAnsi="Times New Roman" w:cs="Times New Roman"/>
          <w:sz w:val="24"/>
          <w:szCs w:val="24"/>
        </w:rPr>
        <w:t xml:space="preserve"> across sub-Saharan Africa, the percentage of firms with a female top manager is e</w:t>
      </w:r>
      <w:r w:rsidR="009C6427" w:rsidRPr="00CD0DE0">
        <w:rPr>
          <w:rFonts w:ascii="Times New Roman" w:hAnsi="Times New Roman" w:cs="Times New Roman"/>
          <w:sz w:val="24"/>
          <w:szCs w:val="24"/>
        </w:rPr>
        <w:t>ven lower with most African countries being in the 10 to 20 percent range</w:t>
      </w:r>
      <w:r w:rsidR="009C6427" w:rsidRPr="00CD0DE0">
        <w:rPr>
          <w:rStyle w:val="FootnoteReference"/>
          <w:rFonts w:ascii="Times New Roman" w:hAnsi="Times New Roman" w:cs="Times New Roman"/>
          <w:sz w:val="24"/>
          <w:szCs w:val="24"/>
        </w:rPr>
        <w:footnoteReference w:id="6"/>
      </w:r>
      <w:r w:rsidR="009C6427" w:rsidRPr="00CD0DE0">
        <w:rPr>
          <w:rFonts w:ascii="Times New Roman" w:hAnsi="Times New Roman" w:cs="Times New Roman"/>
          <w:sz w:val="24"/>
          <w:szCs w:val="24"/>
        </w:rPr>
        <w:t>.</w:t>
      </w:r>
      <w:r w:rsidR="004C3CAD" w:rsidRPr="00CD0DE0">
        <w:rPr>
          <w:rFonts w:ascii="Times New Roman" w:hAnsi="Times New Roman" w:cs="Times New Roman"/>
          <w:sz w:val="24"/>
          <w:szCs w:val="24"/>
        </w:rPr>
        <w:t xml:space="preserve"> While </w:t>
      </w:r>
      <w:r w:rsidR="00C82686" w:rsidRPr="00CD0DE0">
        <w:rPr>
          <w:rFonts w:ascii="Times New Roman" w:hAnsi="Times New Roman" w:cs="Times New Roman"/>
          <w:sz w:val="24"/>
          <w:szCs w:val="24"/>
        </w:rPr>
        <w:t xml:space="preserve">further research and </w:t>
      </w:r>
      <w:r w:rsidR="004C3CAD" w:rsidRPr="00CD0DE0">
        <w:rPr>
          <w:rFonts w:ascii="Times New Roman" w:hAnsi="Times New Roman" w:cs="Times New Roman"/>
          <w:sz w:val="24"/>
          <w:szCs w:val="24"/>
        </w:rPr>
        <w:t xml:space="preserve">more data is needed to </w:t>
      </w:r>
      <w:r w:rsidR="000D2E5E" w:rsidRPr="00CD0DE0">
        <w:rPr>
          <w:rFonts w:ascii="Times New Roman" w:hAnsi="Times New Roman" w:cs="Times New Roman"/>
          <w:sz w:val="24"/>
          <w:szCs w:val="24"/>
        </w:rPr>
        <w:t>compare</w:t>
      </w:r>
      <w:r w:rsidR="004C3CAD" w:rsidRPr="00CD0DE0">
        <w:rPr>
          <w:rFonts w:ascii="Times New Roman" w:hAnsi="Times New Roman" w:cs="Times New Roman"/>
          <w:sz w:val="24"/>
          <w:szCs w:val="24"/>
        </w:rPr>
        <w:t xml:space="preserve"> the quality of leadership that African women</w:t>
      </w:r>
      <w:r w:rsidR="000D2E5E" w:rsidRPr="00CD0DE0">
        <w:rPr>
          <w:rFonts w:ascii="Times New Roman" w:hAnsi="Times New Roman" w:cs="Times New Roman"/>
          <w:sz w:val="24"/>
          <w:szCs w:val="24"/>
        </w:rPr>
        <w:t xml:space="preserve"> and men</w:t>
      </w:r>
      <w:r w:rsidR="004C3CAD" w:rsidRPr="00CD0DE0">
        <w:rPr>
          <w:rFonts w:ascii="Times New Roman" w:hAnsi="Times New Roman" w:cs="Times New Roman"/>
          <w:sz w:val="24"/>
          <w:szCs w:val="24"/>
        </w:rPr>
        <w:t xml:space="preserve"> leaders</w:t>
      </w:r>
      <w:r w:rsidR="0049538A" w:rsidRPr="00CD0DE0">
        <w:rPr>
          <w:rFonts w:ascii="Times New Roman" w:hAnsi="Times New Roman" w:cs="Times New Roman"/>
          <w:sz w:val="24"/>
          <w:szCs w:val="24"/>
        </w:rPr>
        <w:t xml:space="preserve"> relatively </w:t>
      </w:r>
      <w:r w:rsidR="004C3CAD" w:rsidRPr="00CD0DE0">
        <w:rPr>
          <w:rFonts w:ascii="Times New Roman" w:hAnsi="Times New Roman" w:cs="Times New Roman"/>
          <w:sz w:val="24"/>
          <w:szCs w:val="24"/>
        </w:rPr>
        <w:t>provide in</w:t>
      </w:r>
      <w:r w:rsidR="0049538A" w:rsidRPr="00CD0DE0">
        <w:rPr>
          <w:rFonts w:ascii="Times New Roman" w:hAnsi="Times New Roman" w:cs="Times New Roman"/>
          <w:sz w:val="24"/>
          <w:szCs w:val="24"/>
        </w:rPr>
        <w:t xml:space="preserve"> the public and private sector</w:t>
      </w:r>
      <w:r w:rsidR="00675892" w:rsidRPr="00CD0DE0">
        <w:rPr>
          <w:rFonts w:ascii="Times New Roman" w:hAnsi="Times New Roman" w:cs="Times New Roman"/>
          <w:sz w:val="24"/>
          <w:szCs w:val="24"/>
        </w:rPr>
        <w:t xml:space="preserve">, </w:t>
      </w:r>
      <w:r w:rsidR="00B21220" w:rsidRPr="00CD0DE0">
        <w:rPr>
          <w:rFonts w:ascii="Times New Roman" w:hAnsi="Times New Roman" w:cs="Times New Roman"/>
          <w:sz w:val="24"/>
          <w:szCs w:val="24"/>
        </w:rPr>
        <w:t xml:space="preserve">there is little doubt that gender </w:t>
      </w:r>
      <w:r w:rsidR="00B21220" w:rsidRPr="00CD0DE0">
        <w:rPr>
          <w:rFonts w:ascii="Times New Roman" w:hAnsi="Times New Roman" w:cs="Times New Roman"/>
          <w:sz w:val="24"/>
          <w:szCs w:val="24"/>
        </w:rPr>
        <w:lastRenderedPageBreak/>
        <w:t xml:space="preserve">discrimination </w:t>
      </w:r>
      <w:r w:rsidR="00C82686" w:rsidRPr="00CD0DE0">
        <w:rPr>
          <w:rFonts w:ascii="Times New Roman" w:hAnsi="Times New Roman" w:cs="Times New Roman"/>
          <w:sz w:val="24"/>
          <w:szCs w:val="24"/>
        </w:rPr>
        <w:t>undermines</w:t>
      </w:r>
      <w:r w:rsidR="00B21220" w:rsidRPr="00CD0DE0">
        <w:rPr>
          <w:rFonts w:ascii="Times New Roman" w:hAnsi="Times New Roman" w:cs="Times New Roman"/>
          <w:sz w:val="24"/>
          <w:szCs w:val="24"/>
        </w:rPr>
        <w:t xml:space="preserve"> the economic </w:t>
      </w:r>
      <w:r w:rsidR="000D2E5E" w:rsidRPr="00CD0DE0">
        <w:rPr>
          <w:rFonts w:ascii="Times New Roman" w:hAnsi="Times New Roman" w:cs="Times New Roman"/>
          <w:sz w:val="24"/>
          <w:szCs w:val="24"/>
        </w:rPr>
        <w:t>and</w:t>
      </w:r>
      <w:r w:rsidR="00B21220" w:rsidRPr="00CD0DE0">
        <w:rPr>
          <w:rFonts w:ascii="Times New Roman" w:hAnsi="Times New Roman" w:cs="Times New Roman"/>
          <w:sz w:val="24"/>
          <w:szCs w:val="24"/>
        </w:rPr>
        <w:t xml:space="preserve"> other potentials of African states. In fact, the </w:t>
      </w:r>
      <w:r w:rsidR="00F93C6F" w:rsidRPr="00CD0DE0">
        <w:rPr>
          <w:rFonts w:ascii="Times New Roman" w:hAnsi="Times New Roman" w:cs="Times New Roman"/>
          <w:sz w:val="24"/>
          <w:szCs w:val="24"/>
        </w:rPr>
        <w:t xml:space="preserve">International Labor Organization (ILO) </w:t>
      </w:r>
      <w:r w:rsidR="00B21220" w:rsidRPr="00CD0DE0">
        <w:rPr>
          <w:rFonts w:ascii="Times New Roman" w:hAnsi="Times New Roman" w:cs="Times New Roman"/>
          <w:sz w:val="24"/>
          <w:szCs w:val="24"/>
        </w:rPr>
        <w:t>states</w:t>
      </w:r>
      <w:r w:rsidR="00F93C6F" w:rsidRPr="00CD0DE0">
        <w:rPr>
          <w:rFonts w:ascii="Times New Roman" w:hAnsi="Times New Roman" w:cs="Times New Roman"/>
          <w:sz w:val="24"/>
          <w:szCs w:val="24"/>
        </w:rPr>
        <w:t xml:space="preserve"> that an additional $1.6 trillion USD (in Purchasing Power Parity) could be generated if the gender gap in employment to population </w:t>
      </w:r>
      <w:r w:rsidR="00B21220" w:rsidRPr="00CD0DE0">
        <w:rPr>
          <w:rFonts w:ascii="Times New Roman" w:hAnsi="Times New Roman" w:cs="Times New Roman"/>
          <w:sz w:val="24"/>
          <w:szCs w:val="24"/>
        </w:rPr>
        <w:t>was</w:t>
      </w:r>
      <w:r w:rsidR="00F93C6F" w:rsidRPr="00CD0DE0">
        <w:rPr>
          <w:rFonts w:ascii="Times New Roman" w:hAnsi="Times New Roman" w:cs="Times New Roman"/>
          <w:sz w:val="24"/>
          <w:szCs w:val="24"/>
        </w:rPr>
        <w:t xml:space="preserve"> reduced</w:t>
      </w:r>
      <w:r w:rsidR="00F93C6F" w:rsidRPr="00CD0DE0">
        <w:rPr>
          <w:rStyle w:val="FootnoteReference"/>
          <w:rFonts w:ascii="Times New Roman" w:hAnsi="Times New Roman" w:cs="Times New Roman"/>
          <w:sz w:val="24"/>
          <w:szCs w:val="24"/>
        </w:rPr>
        <w:footnoteReference w:id="7"/>
      </w:r>
      <w:r w:rsidR="00F93C6F" w:rsidRPr="00CD0DE0">
        <w:rPr>
          <w:rFonts w:ascii="Times New Roman" w:hAnsi="Times New Roman" w:cs="Times New Roman"/>
          <w:sz w:val="24"/>
          <w:szCs w:val="24"/>
        </w:rPr>
        <w:t xml:space="preserve">.  </w:t>
      </w:r>
    </w:p>
    <w:p w:rsidR="00EF0C86" w:rsidRDefault="003B6EEC" w:rsidP="007244DF">
      <w:pPr>
        <w:rPr>
          <w:rFonts w:ascii="Times New Roman" w:hAnsi="Times New Roman" w:cs="Times New Roman"/>
          <w:sz w:val="24"/>
          <w:szCs w:val="24"/>
          <w:highlight w:val="green"/>
        </w:rPr>
      </w:pPr>
      <w:r w:rsidRPr="00CD0DE0">
        <w:rPr>
          <w:rFonts w:ascii="Times New Roman" w:hAnsi="Times New Roman" w:cs="Times New Roman"/>
          <w:sz w:val="24"/>
          <w:szCs w:val="24"/>
        </w:rPr>
        <w:t xml:space="preserve">The paper will argue that barriers to gender equality in leadership and participation in public and private sector are not only rooted in customary </w:t>
      </w:r>
      <w:r w:rsidR="00217659" w:rsidRPr="00CD0DE0">
        <w:rPr>
          <w:rFonts w:ascii="Times New Roman" w:hAnsi="Times New Roman" w:cs="Times New Roman"/>
          <w:sz w:val="24"/>
          <w:szCs w:val="24"/>
        </w:rPr>
        <w:t xml:space="preserve">or cultural value </w:t>
      </w:r>
      <w:r w:rsidR="006B445B" w:rsidRPr="00CD0DE0">
        <w:rPr>
          <w:rFonts w:ascii="Times New Roman" w:hAnsi="Times New Roman" w:cs="Times New Roman"/>
          <w:sz w:val="24"/>
          <w:szCs w:val="24"/>
        </w:rPr>
        <w:t xml:space="preserve">and belief </w:t>
      </w:r>
      <w:r w:rsidR="00217659" w:rsidRPr="00CD0DE0">
        <w:rPr>
          <w:rFonts w:ascii="Times New Roman" w:hAnsi="Times New Roman" w:cs="Times New Roman"/>
          <w:sz w:val="24"/>
          <w:szCs w:val="24"/>
        </w:rPr>
        <w:t xml:space="preserve">systems, but also in </w:t>
      </w:r>
      <w:r w:rsidR="00F766C6" w:rsidRPr="00CD0DE0">
        <w:rPr>
          <w:rFonts w:ascii="Times New Roman" w:hAnsi="Times New Roman" w:cs="Times New Roman"/>
          <w:sz w:val="24"/>
          <w:szCs w:val="24"/>
        </w:rPr>
        <w:t xml:space="preserve">some </w:t>
      </w:r>
      <w:r w:rsidRPr="00CD0DE0">
        <w:rPr>
          <w:rFonts w:ascii="Times New Roman" w:hAnsi="Times New Roman" w:cs="Times New Roman"/>
          <w:sz w:val="24"/>
          <w:szCs w:val="24"/>
        </w:rPr>
        <w:t>contemporary</w:t>
      </w:r>
      <w:r w:rsidR="00217659" w:rsidRPr="00CD0DE0">
        <w:rPr>
          <w:rFonts w:ascii="Times New Roman" w:hAnsi="Times New Roman" w:cs="Times New Roman"/>
          <w:sz w:val="24"/>
          <w:szCs w:val="24"/>
        </w:rPr>
        <w:t xml:space="preserve"> institutional settings</w:t>
      </w:r>
      <w:r w:rsidR="006B445B" w:rsidRPr="00CD0DE0">
        <w:rPr>
          <w:rFonts w:ascii="Times New Roman" w:hAnsi="Times New Roman" w:cs="Times New Roman"/>
          <w:sz w:val="24"/>
          <w:szCs w:val="24"/>
        </w:rPr>
        <w:t xml:space="preserve"> and practices</w:t>
      </w:r>
      <w:r w:rsidRPr="00CD0DE0">
        <w:rPr>
          <w:rFonts w:ascii="Times New Roman" w:hAnsi="Times New Roman" w:cs="Times New Roman"/>
          <w:sz w:val="24"/>
          <w:szCs w:val="24"/>
        </w:rPr>
        <w:t>.</w:t>
      </w:r>
      <w:r w:rsidR="0079412F">
        <w:rPr>
          <w:rFonts w:ascii="Times New Roman" w:hAnsi="Times New Roman" w:cs="Times New Roman"/>
          <w:sz w:val="24"/>
          <w:szCs w:val="24"/>
        </w:rPr>
        <w:t xml:space="preserve"> </w:t>
      </w:r>
      <w:r w:rsidR="00C82686" w:rsidRPr="00CD0DE0">
        <w:rPr>
          <w:rFonts w:ascii="Times New Roman" w:hAnsi="Times New Roman" w:cs="Times New Roman"/>
          <w:sz w:val="24"/>
          <w:szCs w:val="24"/>
        </w:rPr>
        <w:t>I</w:t>
      </w:r>
      <w:r w:rsidR="00C84DF3" w:rsidRPr="00CD0DE0">
        <w:rPr>
          <w:rFonts w:ascii="Times New Roman" w:hAnsi="Times New Roman" w:cs="Times New Roman"/>
          <w:sz w:val="24"/>
          <w:szCs w:val="24"/>
        </w:rPr>
        <w:t>n the process of identifying and explaining factors that</w:t>
      </w:r>
      <w:r w:rsidR="00C821FD">
        <w:rPr>
          <w:rFonts w:ascii="Times New Roman" w:hAnsi="Times New Roman" w:cs="Times New Roman"/>
          <w:sz w:val="24"/>
          <w:szCs w:val="24"/>
        </w:rPr>
        <w:t xml:space="preserve"> contribute to gender imbalance</w:t>
      </w:r>
      <w:r w:rsidR="00C84DF3" w:rsidRPr="00CD0DE0">
        <w:rPr>
          <w:rFonts w:ascii="Times New Roman" w:hAnsi="Times New Roman" w:cs="Times New Roman"/>
          <w:sz w:val="24"/>
          <w:szCs w:val="24"/>
        </w:rPr>
        <w:t xml:space="preserve"> at the managerial level</w:t>
      </w:r>
      <w:r w:rsidR="00C82686" w:rsidRPr="00CD0DE0">
        <w:rPr>
          <w:rFonts w:ascii="Times New Roman" w:hAnsi="Times New Roman" w:cs="Times New Roman"/>
          <w:sz w:val="24"/>
          <w:szCs w:val="24"/>
        </w:rPr>
        <w:t xml:space="preserve"> in the private (business)</w:t>
      </w:r>
      <w:r w:rsidR="00C84DF3" w:rsidRPr="00CD0DE0">
        <w:rPr>
          <w:rFonts w:ascii="Times New Roman" w:hAnsi="Times New Roman" w:cs="Times New Roman"/>
          <w:sz w:val="24"/>
          <w:szCs w:val="24"/>
        </w:rPr>
        <w:t xml:space="preserve"> </w:t>
      </w:r>
      <w:r w:rsidR="00C82686" w:rsidRPr="00CD0DE0">
        <w:rPr>
          <w:rFonts w:ascii="Times New Roman" w:hAnsi="Times New Roman" w:cs="Times New Roman"/>
          <w:sz w:val="24"/>
          <w:szCs w:val="24"/>
        </w:rPr>
        <w:t xml:space="preserve">sector, </w:t>
      </w:r>
      <w:r w:rsidR="00C84DF3" w:rsidRPr="00CD0DE0">
        <w:rPr>
          <w:rFonts w:ascii="Times New Roman" w:hAnsi="Times New Roman" w:cs="Times New Roman"/>
          <w:sz w:val="24"/>
          <w:szCs w:val="24"/>
        </w:rPr>
        <w:t>w</w:t>
      </w:r>
      <w:r w:rsidR="009E09E5" w:rsidRPr="00CD0DE0">
        <w:rPr>
          <w:rFonts w:ascii="Times New Roman" w:hAnsi="Times New Roman" w:cs="Times New Roman"/>
          <w:sz w:val="24"/>
          <w:szCs w:val="24"/>
        </w:rPr>
        <w:t xml:space="preserve">e will utilize </w:t>
      </w:r>
      <w:r w:rsidR="00C84DF3" w:rsidRPr="00CD0DE0">
        <w:rPr>
          <w:rFonts w:ascii="Times New Roman" w:hAnsi="Times New Roman" w:cs="Times New Roman"/>
          <w:sz w:val="24"/>
          <w:szCs w:val="24"/>
        </w:rPr>
        <w:t xml:space="preserve">quantitative and qualitative </w:t>
      </w:r>
      <w:r w:rsidR="009E09E5" w:rsidRPr="00CD0DE0">
        <w:rPr>
          <w:rFonts w:ascii="Times New Roman" w:hAnsi="Times New Roman" w:cs="Times New Roman"/>
          <w:sz w:val="24"/>
          <w:szCs w:val="24"/>
        </w:rPr>
        <w:t xml:space="preserve">data from </w:t>
      </w:r>
      <w:r w:rsidR="00C84DF3" w:rsidRPr="00CD0DE0">
        <w:rPr>
          <w:rFonts w:ascii="Times New Roman" w:hAnsi="Times New Roman" w:cs="Times New Roman"/>
          <w:sz w:val="24"/>
          <w:szCs w:val="24"/>
        </w:rPr>
        <w:t xml:space="preserve">Women Business and the Law, </w:t>
      </w:r>
      <w:r w:rsidR="008870BD" w:rsidRPr="00CD0DE0">
        <w:rPr>
          <w:rFonts w:ascii="Times New Roman" w:hAnsi="Times New Roman" w:cs="Times New Roman"/>
          <w:sz w:val="24"/>
          <w:szCs w:val="24"/>
        </w:rPr>
        <w:t xml:space="preserve">UN Women, </w:t>
      </w:r>
      <w:r w:rsidR="009922EE" w:rsidRPr="00CD0DE0">
        <w:rPr>
          <w:rFonts w:ascii="Times New Roman" w:hAnsi="Times New Roman" w:cs="Times New Roman"/>
          <w:sz w:val="24"/>
          <w:szCs w:val="24"/>
        </w:rPr>
        <w:t xml:space="preserve">African Development Bank (AfDB), UNESCO, </w:t>
      </w:r>
      <w:r w:rsidR="00C82686" w:rsidRPr="00CD0DE0">
        <w:rPr>
          <w:rFonts w:ascii="Times New Roman" w:hAnsi="Times New Roman" w:cs="Times New Roman"/>
          <w:sz w:val="24"/>
          <w:szCs w:val="24"/>
        </w:rPr>
        <w:t xml:space="preserve">the World Bank, </w:t>
      </w:r>
      <w:r w:rsidR="00C84DF3" w:rsidRPr="00CD0DE0">
        <w:rPr>
          <w:rFonts w:ascii="Times New Roman" w:hAnsi="Times New Roman" w:cs="Times New Roman"/>
          <w:sz w:val="24"/>
          <w:szCs w:val="24"/>
        </w:rPr>
        <w:t xml:space="preserve">the Human Development Report 2014, </w:t>
      </w:r>
      <w:r w:rsidR="00C82686" w:rsidRPr="00CD0DE0">
        <w:rPr>
          <w:rFonts w:ascii="Times New Roman" w:hAnsi="Times New Roman" w:cs="Times New Roman"/>
          <w:sz w:val="24"/>
          <w:szCs w:val="24"/>
        </w:rPr>
        <w:t xml:space="preserve">and </w:t>
      </w:r>
      <w:r w:rsidR="00C84DF3" w:rsidRPr="00CD0DE0">
        <w:rPr>
          <w:rFonts w:ascii="Times New Roman" w:hAnsi="Times New Roman" w:cs="Times New Roman"/>
          <w:sz w:val="24"/>
          <w:szCs w:val="24"/>
        </w:rPr>
        <w:t>Ernst &amp; Young</w:t>
      </w:r>
      <w:r w:rsidR="00C82686" w:rsidRPr="00CD0DE0">
        <w:rPr>
          <w:rFonts w:ascii="Times New Roman" w:hAnsi="Times New Roman" w:cs="Times New Roman"/>
          <w:sz w:val="24"/>
          <w:szCs w:val="24"/>
        </w:rPr>
        <w:t xml:space="preserve">, to name a few. </w:t>
      </w:r>
      <w:r w:rsidR="00C82686" w:rsidRPr="00EF0C86">
        <w:rPr>
          <w:rFonts w:ascii="Times New Roman" w:hAnsi="Times New Roman" w:cs="Times New Roman"/>
          <w:sz w:val="24"/>
          <w:szCs w:val="24"/>
        </w:rPr>
        <w:t xml:space="preserve">The expected outcome </w:t>
      </w:r>
      <w:r w:rsidR="00700673" w:rsidRPr="00EF0C86">
        <w:rPr>
          <w:rFonts w:ascii="Times New Roman" w:hAnsi="Times New Roman" w:cs="Times New Roman"/>
          <w:sz w:val="24"/>
          <w:szCs w:val="24"/>
        </w:rPr>
        <w:t xml:space="preserve">of this research is to identify and </w:t>
      </w:r>
      <w:r w:rsidR="006A3CF7">
        <w:rPr>
          <w:rFonts w:ascii="Times New Roman" w:hAnsi="Times New Roman" w:cs="Times New Roman"/>
          <w:sz w:val="24"/>
          <w:szCs w:val="24"/>
        </w:rPr>
        <w:t>illustrate</w:t>
      </w:r>
      <w:r w:rsidR="00700673" w:rsidRPr="00EF0C86">
        <w:rPr>
          <w:rFonts w:ascii="Times New Roman" w:hAnsi="Times New Roman" w:cs="Times New Roman"/>
          <w:sz w:val="24"/>
          <w:szCs w:val="24"/>
        </w:rPr>
        <w:t xml:space="preserve"> underlying and root causes of </w:t>
      </w:r>
      <w:r w:rsidR="002063F1" w:rsidRPr="00EF0C86">
        <w:rPr>
          <w:rFonts w:ascii="Times New Roman" w:hAnsi="Times New Roman" w:cs="Times New Roman"/>
          <w:sz w:val="24"/>
          <w:szCs w:val="24"/>
        </w:rPr>
        <w:t>women’s leadership gap in Africa</w:t>
      </w:r>
      <w:r w:rsidR="00DC62EE" w:rsidRPr="00EF0C86">
        <w:rPr>
          <w:rFonts w:ascii="Times New Roman" w:hAnsi="Times New Roman" w:cs="Times New Roman"/>
          <w:sz w:val="24"/>
          <w:szCs w:val="24"/>
        </w:rPr>
        <w:t>,</w:t>
      </w:r>
      <w:r w:rsidR="002063F1" w:rsidRPr="00EF0C86">
        <w:rPr>
          <w:rFonts w:ascii="Times New Roman" w:hAnsi="Times New Roman" w:cs="Times New Roman"/>
          <w:sz w:val="24"/>
          <w:szCs w:val="24"/>
        </w:rPr>
        <w:t xml:space="preserve"> as women</w:t>
      </w:r>
      <w:r w:rsidR="002063F1" w:rsidRPr="006A3CF7">
        <w:rPr>
          <w:rFonts w:ascii="Times New Roman" w:hAnsi="Times New Roman" w:cs="Times New Roman"/>
          <w:sz w:val="24"/>
          <w:szCs w:val="24"/>
        </w:rPr>
        <w:t xml:space="preserve"> </w:t>
      </w:r>
      <w:r w:rsidR="006A3CF7" w:rsidRPr="006A3CF7">
        <w:rPr>
          <w:rFonts w:ascii="Times New Roman" w:hAnsi="Times New Roman" w:cs="Times New Roman"/>
          <w:sz w:val="24"/>
          <w:szCs w:val="24"/>
        </w:rPr>
        <w:t xml:space="preserve">are severely underrepresented in leadership and decision making in public institutions and corporations. Through this process, we will also underline the role </w:t>
      </w:r>
      <w:r w:rsidR="004852D2">
        <w:rPr>
          <w:rFonts w:ascii="Times New Roman" w:hAnsi="Times New Roman" w:cs="Times New Roman"/>
          <w:sz w:val="24"/>
          <w:szCs w:val="24"/>
        </w:rPr>
        <w:t>of stakeholders in these issues</w:t>
      </w:r>
      <w:r w:rsidR="006A3CF7" w:rsidRPr="006A3CF7">
        <w:rPr>
          <w:rFonts w:ascii="Times New Roman" w:hAnsi="Times New Roman" w:cs="Times New Roman"/>
          <w:sz w:val="24"/>
          <w:szCs w:val="24"/>
        </w:rPr>
        <w:t xml:space="preserve"> and ways in which they can make a difference—all of which will inform policy and decision making in favor of gender parity and particularly women leadership in business and public affairs.</w:t>
      </w:r>
      <w:r w:rsidR="006A3CF7" w:rsidRPr="00CD0DE0">
        <w:rPr>
          <w:rFonts w:ascii="Times New Roman" w:hAnsi="Times New Roman" w:cs="Times New Roman"/>
          <w:sz w:val="24"/>
          <w:szCs w:val="24"/>
        </w:rPr>
        <w:t xml:space="preserve">   </w:t>
      </w:r>
    </w:p>
    <w:p w:rsidR="00DC62EE" w:rsidRPr="00CD0DE0" w:rsidRDefault="006A3CF7" w:rsidP="007244DF">
      <w:pPr>
        <w:rPr>
          <w:rFonts w:ascii="Times New Roman" w:hAnsi="Times New Roman" w:cs="Times New Roman"/>
          <w:sz w:val="24"/>
          <w:szCs w:val="24"/>
        </w:rPr>
      </w:pPr>
      <w:r>
        <w:rPr>
          <w:rFonts w:ascii="Times New Roman" w:hAnsi="Times New Roman" w:cs="Times New Roman"/>
          <w:sz w:val="24"/>
          <w:szCs w:val="24"/>
        </w:rPr>
        <w:t xml:space="preserve"> </w:t>
      </w:r>
    </w:p>
    <w:p w:rsidR="000E5B83" w:rsidRPr="00CD0DE0" w:rsidRDefault="004852D2" w:rsidP="00503850">
      <w:pPr>
        <w:pStyle w:val="ListParagraph"/>
        <w:ind w:left="1080"/>
        <w:rPr>
          <w:rFonts w:ascii="Times New Roman" w:hAnsi="Times New Roman" w:cs="Times New Roman"/>
          <w:i/>
          <w:sz w:val="28"/>
          <w:szCs w:val="28"/>
        </w:rPr>
      </w:pPr>
      <w:r>
        <w:rPr>
          <w:rFonts w:ascii="Times New Roman" w:hAnsi="Times New Roman" w:cs="Times New Roman"/>
          <w:i/>
          <w:sz w:val="28"/>
          <w:szCs w:val="28"/>
        </w:rPr>
        <w:t xml:space="preserve">3.1 Analysis of Existing Gender Gaps in Leadership and Public and Private Institutions </w:t>
      </w:r>
    </w:p>
    <w:p w:rsidR="00EB56BB" w:rsidRPr="00FD27F4" w:rsidRDefault="00EB56BB" w:rsidP="00EB56BB">
      <w:pPr>
        <w:rPr>
          <w:rFonts w:ascii="Times New Roman" w:hAnsi="Times New Roman" w:cs="Times New Roman"/>
          <w:color w:val="000000" w:themeColor="text1"/>
          <w:sz w:val="24"/>
          <w:szCs w:val="24"/>
          <w:highlight w:val="yellow"/>
        </w:rPr>
      </w:pPr>
      <w:r w:rsidRPr="00FD27F4">
        <w:rPr>
          <w:rFonts w:ascii="Times New Roman" w:hAnsi="Times New Roman" w:cs="Times New Roman"/>
          <w:color w:val="000000" w:themeColor="text1"/>
          <w:sz w:val="24"/>
          <w:szCs w:val="24"/>
        </w:rPr>
        <w:t>Around the world, women are vastly under represented at the board level of organizations. Women currently hold only 4.2 percent of Fortune 500 CEO positions and 4.6 percent of Fortune 1000 CEO positions</w:t>
      </w:r>
      <w:r w:rsidRPr="00FD27F4">
        <w:rPr>
          <w:rStyle w:val="FootnoteReference"/>
          <w:rFonts w:ascii="Times New Roman" w:hAnsi="Times New Roman" w:cs="Times New Roman"/>
          <w:color w:val="000000" w:themeColor="text1"/>
          <w:sz w:val="24"/>
          <w:szCs w:val="24"/>
        </w:rPr>
        <w:footnoteReference w:id="8"/>
      </w:r>
      <w:r w:rsidRPr="00FD27F4">
        <w:rPr>
          <w:rFonts w:ascii="Times New Roman" w:hAnsi="Times New Roman" w:cs="Times New Roman"/>
          <w:color w:val="000000" w:themeColor="text1"/>
          <w:sz w:val="24"/>
          <w:szCs w:val="24"/>
        </w:rPr>
        <w:t>. Women’s leadership and economic potentials remain largely untapped and under-utilized in many cases. To start with, based on available gender disaggregated data on professional African women’s occupations, the number of women high skilled laborers and technical workers in African countries is very low compared to men’s: 67% male and 33% female in Ethiopia; 55% male and 45% female in Mauritius; and 65% male and 35% female in Uganda; with Lesotho, Botswana and Namibia and South Africa representing a few countries with higher percentages of female high skilled laborers than males</w:t>
      </w:r>
      <w:r w:rsidRPr="00FD27F4">
        <w:rPr>
          <w:rStyle w:val="FootnoteReference"/>
          <w:rFonts w:ascii="Times New Roman" w:hAnsi="Times New Roman" w:cs="Times New Roman"/>
          <w:color w:val="000000" w:themeColor="text1"/>
          <w:sz w:val="24"/>
          <w:szCs w:val="24"/>
        </w:rPr>
        <w:footnoteReference w:id="9"/>
      </w:r>
      <w:r w:rsidRPr="00FD27F4">
        <w:rPr>
          <w:rFonts w:ascii="Times New Roman" w:hAnsi="Times New Roman" w:cs="Times New Roman"/>
          <w:color w:val="000000" w:themeColor="text1"/>
          <w:sz w:val="24"/>
          <w:szCs w:val="24"/>
        </w:rPr>
        <w:t xml:space="preserve">. This leads one to ask what kind of barriers do current and prospective women business leaders face in the process of climbing the corporate ladder and maintaining executive positions once they reach the top? </w:t>
      </w:r>
    </w:p>
    <w:p w:rsidR="009543EB" w:rsidRPr="00FD27F4" w:rsidRDefault="009543EB" w:rsidP="00B57A1E">
      <w:pPr>
        <w:rPr>
          <w:rFonts w:ascii="Times New Roman" w:hAnsi="Times New Roman" w:cs="Times New Roman"/>
          <w:color w:val="000000" w:themeColor="text1"/>
          <w:sz w:val="24"/>
          <w:szCs w:val="24"/>
        </w:rPr>
      </w:pPr>
      <w:r w:rsidRPr="00FD27F4">
        <w:rPr>
          <w:rFonts w:ascii="Times New Roman" w:hAnsi="Times New Roman" w:cs="Times New Roman"/>
          <w:color w:val="000000" w:themeColor="text1"/>
          <w:sz w:val="24"/>
          <w:szCs w:val="24"/>
        </w:rPr>
        <w:t xml:space="preserve">To properly account for women’s leadership gap, it is important to briefly reflect on the role and position of women as </w:t>
      </w:r>
      <w:r w:rsidR="00DE484E" w:rsidRPr="00FD27F4">
        <w:rPr>
          <w:rFonts w:ascii="Times New Roman" w:hAnsi="Times New Roman" w:cs="Times New Roman"/>
          <w:color w:val="000000" w:themeColor="text1"/>
          <w:sz w:val="24"/>
          <w:szCs w:val="24"/>
          <w:shd w:val="clear" w:color="auto" w:fill="FFFFFF"/>
        </w:rPr>
        <w:t>crucial</w:t>
      </w:r>
      <w:r w:rsidRPr="00FD27F4">
        <w:rPr>
          <w:rFonts w:ascii="Times New Roman" w:hAnsi="Times New Roman" w:cs="Times New Roman"/>
          <w:color w:val="000000" w:themeColor="text1"/>
          <w:sz w:val="24"/>
          <w:szCs w:val="24"/>
          <w:shd w:val="clear" w:color="auto" w:fill="FFFFFF"/>
        </w:rPr>
        <w:t xml:space="preserve"> economic actors in sub-Saharan Africa. According to World Bank 2013 estimates, females (girl child and women) represent almost half of the total population of </w:t>
      </w:r>
      <w:r w:rsidRPr="00FD27F4">
        <w:rPr>
          <w:rFonts w:ascii="Times New Roman" w:hAnsi="Times New Roman" w:cs="Times New Roman"/>
          <w:color w:val="000000" w:themeColor="text1"/>
          <w:sz w:val="24"/>
          <w:szCs w:val="24"/>
          <w:shd w:val="clear" w:color="auto" w:fill="FFFFFF"/>
        </w:rPr>
        <w:lastRenderedPageBreak/>
        <w:t>sub-Saharan Africa at approximately 50.02%</w:t>
      </w:r>
      <w:r w:rsidRPr="00FD27F4">
        <w:rPr>
          <w:color w:val="000000" w:themeColor="text1"/>
          <w:vertAlign w:val="superscript"/>
        </w:rPr>
        <w:footnoteReference w:id="10"/>
      </w:r>
      <w:r w:rsidRPr="00FD27F4">
        <w:rPr>
          <w:rFonts w:ascii="Times New Roman" w:hAnsi="Times New Roman" w:cs="Times New Roman"/>
          <w:color w:val="000000" w:themeColor="text1"/>
          <w:sz w:val="24"/>
          <w:szCs w:val="24"/>
          <w:shd w:val="clear" w:color="auto" w:fill="FFFFFF"/>
        </w:rPr>
        <w:t xml:space="preserve">. Through informal cross-border trading, of which women make up 70%, women contribute an average of $17.6 billion per year to the 15 member states of the </w:t>
      </w:r>
      <w:hyperlink r:id="rId9" w:history="1">
        <w:r w:rsidRPr="00FD27F4">
          <w:rPr>
            <w:rFonts w:ascii="Times New Roman" w:hAnsi="Times New Roman" w:cs="Times New Roman"/>
            <w:color w:val="000000" w:themeColor="text1"/>
            <w:sz w:val="24"/>
            <w:szCs w:val="24"/>
            <w:shd w:val="clear" w:color="auto" w:fill="FFFFFF"/>
          </w:rPr>
          <w:t>Southern African Development Community</w:t>
        </w:r>
      </w:hyperlink>
      <w:r w:rsidRPr="00FD27F4">
        <w:rPr>
          <w:rFonts w:ascii="Times New Roman" w:hAnsi="Times New Roman" w:cs="Times New Roman"/>
          <w:color w:val="000000" w:themeColor="text1"/>
          <w:sz w:val="24"/>
          <w:szCs w:val="24"/>
          <w:shd w:val="clear" w:color="auto" w:fill="FFFFFF"/>
        </w:rPr>
        <w:t xml:space="preserve"> alone</w:t>
      </w:r>
      <w:r w:rsidRPr="00FD27F4">
        <w:rPr>
          <w:color w:val="000000" w:themeColor="text1"/>
        </w:rPr>
        <w:footnoteReference w:id="11"/>
      </w:r>
      <w:r w:rsidRPr="00FD27F4">
        <w:rPr>
          <w:rFonts w:ascii="Times New Roman" w:hAnsi="Times New Roman" w:cs="Times New Roman"/>
          <w:color w:val="000000" w:themeColor="text1"/>
          <w:sz w:val="24"/>
          <w:szCs w:val="24"/>
          <w:shd w:val="clear" w:color="auto" w:fill="FFFFFF"/>
        </w:rPr>
        <w:t>.</w:t>
      </w:r>
      <w:r w:rsidR="00DE484E" w:rsidRPr="00FD27F4">
        <w:rPr>
          <w:rFonts w:ascii="Times New Roman" w:hAnsi="Times New Roman" w:cs="Times New Roman"/>
          <w:color w:val="000000" w:themeColor="text1"/>
          <w:sz w:val="24"/>
          <w:szCs w:val="24"/>
          <w:shd w:val="clear" w:color="auto" w:fill="FFFFFF"/>
        </w:rPr>
        <w:t xml:space="preserve"> Women labor force participation rates across sub-Saharan Africa is just as important at 66.9% in Southern Africa, 68.8% in East Africa, 68.3% in Central Africa, and 53.2% in West Africa</w:t>
      </w:r>
      <w:r w:rsidR="00DE484E" w:rsidRPr="00FD27F4">
        <w:rPr>
          <w:color w:val="000000" w:themeColor="text1"/>
          <w:vertAlign w:val="superscript"/>
        </w:rPr>
        <w:footnoteReference w:id="12"/>
      </w:r>
      <w:r w:rsidR="002B4876" w:rsidRPr="00FD27F4">
        <w:rPr>
          <w:color w:val="000000" w:themeColor="text1"/>
          <w:vertAlign w:val="superscript"/>
        </w:rPr>
        <w:t xml:space="preserve"> </w:t>
      </w:r>
      <w:r w:rsidR="002B4876" w:rsidRPr="00FD27F4">
        <w:rPr>
          <w:rFonts w:ascii="Times New Roman" w:hAnsi="Times New Roman" w:cs="Times New Roman"/>
          <w:color w:val="000000" w:themeColor="text1"/>
          <w:sz w:val="24"/>
          <w:szCs w:val="24"/>
          <w:shd w:val="clear" w:color="auto" w:fill="FFFFFF"/>
        </w:rPr>
        <w:t>.</w:t>
      </w:r>
      <w:r w:rsidR="00B57A1E" w:rsidRPr="00FD27F4">
        <w:rPr>
          <w:rFonts w:ascii="Times New Roman" w:hAnsi="Times New Roman" w:cs="Times New Roman"/>
          <w:color w:val="000000" w:themeColor="text1"/>
          <w:sz w:val="24"/>
          <w:szCs w:val="24"/>
          <w:shd w:val="clear" w:color="auto" w:fill="FFFFFF"/>
        </w:rPr>
        <w:t xml:space="preserve"> </w:t>
      </w:r>
      <w:r w:rsidR="006E2D54" w:rsidRPr="00FD27F4">
        <w:rPr>
          <w:rFonts w:ascii="Times New Roman" w:hAnsi="Times New Roman" w:cs="Times New Roman"/>
          <w:color w:val="000000" w:themeColor="text1"/>
          <w:sz w:val="24"/>
          <w:szCs w:val="24"/>
          <w:shd w:val="clear" w:color="auto" w:fill="FFFFFF"/>
        </w:rPr>
        <w:t xml:space="preserve">In spite of these numbers, women are overwhelmingly represented in the informal sector </w:t>
      </w:r>
      <w:r w:rsidR="006E2D54" w:rsidRPr="00401356">
        <w:rPr>
          <w:rStyle w:val="FootnoteReference"/>
          <w:rFonts w:ascii="Times New Roman" w:hAnsi="Times New Roman" w:cs="Times New Roman"/>
          <w:color w:val="000000" w:themeColor="text1"/>
          <w:sz w:val="20"/>
          <w:szCs w:val="24"/>
          <w:shd w:val="clear" w:color="auto" w:fill="FFFFFF"/>
        </w:rPr>
        <w:footnoteReference w:id="13"/>
      </w:r>
      <w:r w:rsidR="006E2D54" w:rsidRPr="00401356">
        <w:rPr>
          <w:rFonts w:ascii="Times New Roman" w:hAnsi="Times New Roman" w:cs="Times New Roman"/>
          <w:color w:val="000000" w:themeColor="text1"/>
          <w:sz w:val="20"/>
          <w:szCs w:val="24"/>
          <w:shd w:val="clear" w:color="auto" w:fill="FFFFFF"/>
        </w:rPr>
        <w:t xml:space="preserve"> </w:t>
      </w:r>
      <w:r w:rsidR="006E2D54" w:rsidRPr="00FD27F4">
        <w:rPr>
          <w:rFonts w:ascii="Times New Roman" w:hAnsi="Times New Roman" w:cs="Times New Roman"/>
          <w:color w:val="000000" w:themeColor="text1"/>
          <w:sz w:val="24"/>
          <w:szCs w:val="24"/>
          <w:shd w:val="clear" w:color="auto" w:fill="FFFFFF"/>
        </w:rPr>
        <w:t xml:space="preserve">(see graph 1). </w:t>
      </w:r>
      <w:r w:rsidR="006E2D54" w:rsidRPr="00FD27F4">
        <w:rPr>
          <w:rFonts w:ascii="Times New Roman" w:hAnsi="Times New Roman" w:cs="Times New Roman"/>
          <w:color w:val="000000" w:themeColor="text1"/>
          <w:sz w:val="24"/>
          <w:szCs w:val="24"/>
        </w:rPr>
        <w:t>These women in the informal sector are also l</w:t>
      </w:r>
      <w:r w:rsidR="004F5415" w:rsidRPr="00FD27F4">
        <w:rPr>
          <w:rFonts w:ascii="Times New Roman" w:hAnsi="Times New Roman" w:cs="Times New Roman"/>
          <w:color w:val="000000" w:themeColor="text1"/>
          <w:sz w:val="24"/>
          <w:szCs w:val="24"/>
        </w:rPr>
        <w:t xml:space="preserve">ess likely to be paid employees, let alone </w:t>
      </w:r>
      <w:r w:rsidR="00401356">
        <w:rPr>
          <w:rFonts w:ascii="Times New Roman" w:hAnsi="Times New Roman" w:cs="Times New Roman"/>
          <w:color w:val="000000" w:themeColor="text1"/>
          <w:sz w:val="24"/>
          <w:szCs w:val="24"/>
        </w:rPr>
        <w:t>managers</w:t>
      </w:r>
      <w:r w:rsidR="005E7A6F">
        <w:rPr>
          <w:rFonts w:ascii="Times New Roman" w:hAnsi="Times New Roman" w:cs="Times New Roman"/>
          <w:color w:val="000000" w:themeColor="text1"/>
          <w:sz w:val="24"/>
          <w:szCs w:val="24"/>
        </w:rPr>
        <w:t>,</w:t>
      </w:r>
      <w:r w:rsidR="00401356">
        <w:rPr>
          <w:rFonts w:ascii="Times New Roman" w:hAnsi="Times New Roman" w:cs="Times New Roman"/>
          <w:color w:val="000000" w:themeColor="text1"/>
          <w:sz w:val="24"/>
          <w:szCs w:val="24"/>
        </w:rPr>
        <w:t xml:space="preserve"> in business</w:t>
      </w:r>
      <w:r w:rsidR="006E2D54" w:rsidRPr="00FD27F4">
        <w:rPr>
          <w:rFonts w:ascii="Times New Roman" w:hAnsi="Times New Roman" w:cs="Times New Roman"/>
          <w:color w:val="000000" w:themeColor="text1"/>
          <w:sz w:val="24"/>
          <w:szCs w:val="24"/>
        </w:rPr>
        <w:t xml:space="preserve"> than men</w:t>
      </w:r>
      <w:r w:rsidR="006E2D54" w:rsidRPr="00FD27F4">
        <w:rPr>
          <w:rStyle w:val="FootnoteReference"/>
          <w:rFonts w:ascii="Times New Roman" w:hAnsi="Times New Roman" w:cs="Times New Roman"/>
          <w:color w:val="000000" w:themeColor="text1"/>
          <w:sz w:val="24"/>
          <w:szCs w:val="24"/>
        </w:rPr>
        <w:footnoteReference w:id="14"/>
      </w:r>
      <w:r w:rsidR="006E2D54" w:rsidRPr="00FD27F4">
        <w:rPr>
          <w:rFonts w:ascii="Times New Roman" w:hAnsi="Times New Roman" w:cs="Times New Roman"/>
          <w:color w:val="000000" w:themeColor="text1"/>
          <w:sz w:val="24"/>
          <w:szCs w:val="24"/>
        </w:rPr>
        <w:t>. For women</w:t>
      </w:r>
      <w:r w:rsidR="00401356">
        <w:rPr>
          <w:rFonts w:ascii="Times New Roman" w:hAnsi="Times New Roman" w:cs="Times New Roman"/>
          <w:color w:val="000000" w:themeColor="text1"/>
          <w:sz w:val="24"/>
          <w:szCs w:val="24"/>
        </w:rPr>
        <w:t>,</w:t>
      </w:r>
      <w:r w:rsidR="006E2D54" w:rsidRPr="00FD27F4">
        <w:rPr>
          <w:rFonts w:ascii="Times New Roman" w:hAnsi="Times New Roman" w:cs="Times New Roman"/>
          <w:color w:val="000000" w:themeColor="text1"/>
          <w:sz w:val="24"/>
          <w:szCs w:val="24"/>
        </w:rPr>
        <w:t xml:space="preserve"> such gender-based differences in employment status have greater implications in terms of relative earnings and opportunities for starting and building a career. </w:t>
      </w:r>
    </w:p>
    <w:p w:rsidR="00D470C3" w:rsidRPr="00FD27F4" w:rsidRDefault="00D470C3" w:rsidP="009543EB">
      <w:pPr>
        <w:autoSpaceDE w:val="0"/>
        <w:autoSpaceDN w:val="0"/>
        <w:adjustRightInd w:val="0"/>
        <w:spacing w:after="0" w:line="240" w:lineRule="auto"/>
        <w:rPr>
          <w:rFonts w:ascii="Times New Roman" w:hAnsi="Times New Roman" w:cs="Times New Roman"/>
          <w:color w:val="000000" w:themeColor="text1"/>
          <w:sz w:val="24"/>
          <w:szCs w:val="24"/>
        </w:rPr>
      </w:pPr>
    </w:p>
    <w:p w:rsidR="009543EB" w:rsidRDefault="009543EB" w:rsidP="009543EB">
      <w:pPr>
        <w:jc w:val="center"/>
        <w:rPr>
          <w:rFonts w:ascii="Times New Roman" w:hAnsi="Times New Roman" w:cs="Times New Roman"/>
          <w:b/>
          <w:bCs/>
          <w:sz w:val="24"/>
          <w:szCs w:val="24"/>
        </w:rPr>
      </w:pPr>
      <w:r w:rsidRPr="00CD0DE0">
        <w:rPr>
          <w:rFonts w:ascii="Times New Roman" w:hAnsi="Times New Roman" w:cs="Times New Roman"/>
          <w:b/>
          <w:bCs/>
          <w:sz w:val="24"/>
          <w:szCs w:val="24"/>
        </w:rPr>
        <w:t xml:space="preserve">Graph 1: (%) Percentage of nonagricultural labor force in the informal sector </w:t>
      </w:r>
    </w:p>
    <w:p w:rsidR="009543EB" w:rsidRPr="00CD0DE0" w:rsidRDefault="009543EB" w:rsidP="009543EB">
      <w:pPr>
        <w:jc w:val="center"/>
        <w:rPr>
          <w:rFonts w:ascii="Times New Roman" w:hAnsi="Times New Roman" w:cs="Times New Roman"/>
          <w:b/>
          <w:bCs/>
          <w:sz w:val="24"/>
          <w:szCs w:val="24"/>
        </w:rPr>
      </w:pPr>
      <w:r w:rsidRPr="00CD0DE0">
        <w:rPr>
          <w:rFonts w:ascii="Times New Roman" w:hAnsi="Times New Roman" w:cs="Times New Roman"/>
          <w:b/>
          <w:bCs/>
          <w:sz w:val="24"/>
          <w:szCs w:val="24"/>
        </w:rPr>
        <w:t>(1991-1997)</w:t>
      </w:r>
      <w:r w:rsidRPr="00CD0DE0">
        <w:rPr>
          <w:rStyle w:val="FootnoteReference"/>
          <w:rFonts w:ascii="Times New Roman" w:hAnsi="Times New Roman" w:cs="Times New Roman"/>
          <w:color w:val="333333"/>
          <w:sz w:val="24"/>
          <w:szCs w:val="24"/>
          <w:shd w:val="clear" w:color="auto" w:fill="FFFFFF"/>
        </w:rPr>
        <w:footnoteReference w:id="15"/>
      </w:r>
    </w:p>
    <w:p w:rsidR="009543EB" w:rsidRDefault="009543EB" w:rsidP="009543EB">
      <w:pPr>
        <w:rPr>
          <w:rFonts w:ascii="Times New Roman" w:hAnsi="Times New Roman" w:cs="Times New Roman"/>
          <w:color w:val="333333"/>
          <w:sz w:val="24"/>
          <w:szCs w:val="24"/>
          <w:shd w:val="clear" w:color="auto" w:fill="FFFFFF"/>
        </w:rPr>
      </w:pPr>
      <w:r w:rsidRPr="00CD0DE0">
        <w:rPr>
          <w:rFonts w:ascii="Times New Roman" w:hAnsi="Times New Roman" w:cs="Times New Roman"/>
          <w:noProof/>
          <w:sz w:val="24"/>
          <w:szCs w:val="24"/>
        </w:rPr>
        <w:drawing>
          <wp:inline distT="0" distB="0" distL="0" distR="0" wp14:anchorId="473A78D4" wp14:editId="293A2639">
            <wp:extent cx="5429250" cy="1781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70C3" w:rsidRPr="00CD0DE0" w:rsidRDefault="00D470C3" w:rsidP="009543EB">
      <w:pPr>
        <w:rPr>
          <w:rFonts w:ascii="Times New Roman" w:hAnsi="Times New Roman" w:cs="Times New Roman"/>
          <w:color w:val="333333"/>
          <w:sz w:val="24"/>
          <w:szCs w:val="24"/>
          <w:shd w:val="clear" w:color="auto" w:fill="FFFFFF"/>
        </w:rPr>
      </w:pPr>
    </w:p>
    <w:p w:rsidR="00FA7230" w:rsidRPr="00603530" w:rsidRDefault="00FA7230" w:rsidP="00FA7230">
      <w:pPr>
        <w:pStyle w:val="ListParagraph"/>
        <w:numPr>
          <w:ilvl w:val="0"/>
          <w:numId w:val="14"/>
        </w:numPr>
        <w:rPr>
          <w:rFonts w:ascii="Times New Roman" w:hAnsi="Times New Roman" w:cs="Times New Roman"/>
          <w:b/>
          <w:i/>
          <w:color w:val="333333"/>
          <w:sz w:val="24"/>
          <w:szCs w:val="24"/>
          <w:shd w:val="clear" w:color="auto" w:fill="FFFFFF"/>
        </w:rPr>
      </w:pPr>
      <w:r w:rsidRPr="00603530">
        <w:rPr>
          <w:rFonts w:ascii="Times New Roman" w:hAnsi="Times New Roman" w:cs="Times New Roman"/>
          <w:b/>
          <w:i/>
          <w:color w:val="333333"/>
          <w:sz w:val="24"/>
          <w:szCs w:val="24"/>
          <w:shd w:val="clear" w:color="auto" w:fill="FFFFFF"/>
        </w:rPr>
        <w:t>Underlying Causes of Women’s Leadership Gap</w:t>
      </w:r>
    </w:p>
    <w:p w:rsidR="00FA7230" w:rsidRDefault="00FA7230" w:rsidP="00FA7230">
      <w:pPr>
        <w:rPr>
          <w:rFonts w:ascii="Times New Roman" w:hAnsi="Times New Roman" w:cs="Times New Roman"/>
          <w:sz w:val="24"/>
          <w:szCs w:val="24"/>
        </w:rPr>
      </w:pPr>
      <w:r>
        <w:rPr>
          <w:rFonts w:ascii="Times New Roman" w:hAnsi="Times New Roman" w:cs="Times New Roman"/>
          <w:sz w:val="24"/>
          <w:szCs w:val="24"/>
        </w:rPr>
        <w:t xml:space="preserve">In sub-Saharan Africa and other parts of </w:t>
      </w:r>
      <w:r w:rsidRPr="005E7A6F">
        <w:rPr>
          <w:rFonts w:ascii="Times New Roman" w:hAnsi="Times New Roman" w:cs="Times New Roman"/>
          <w:sz w:val="24"/>
          <w:szCs w:val="24"/>
        </w:rPr>
        <w:t>the world, discriminatory practices in</w:t>
      </w:r>
      <w:r>
        <w:rPr>
          <w:rFonts w:ascii="Times New Roman" w:hAnsi="Times New Roman" w:cs="Times New Roman"/>
          <w:sz w:val="24"/>
          <w:szCs w:val="24"/>
        </w:rPr>
        <w:t xml:space="preserve"> talent acquisition and management (i.e. in hiring, developing and promoting talent) against women significantly contribute to women’s lag in leadership and representation in corporate enterprise boardrooms and mid-executive levels. According to a Harvard Business Review (HBR)2009 survey focusing on the leadership of 2000 of the world’s best performing companies, </w:t>
      </w:r>
      <w:r w:rsidRPr="00C03610">
        <w:rPr>
          <w:rFonts w:ascii="Times New Roman" w:hAnsi="Times New Roman" w:cs="Times New Roman"/>
          <w:sz w:val="24"/>
          <w:szCs w:val="24"/>
        </w:rPr>
        <w:t xml:space="preserve">women </w:t>
      </w:r>
      <w:r>
        <w:rPr>
          <w:rFonts w:ascii="Times New Roman" w:hAnsi="Times New Roman" w:cs="Times New Roman"/>
          <w:sz w:val="24"/>
          <w:szCs w:val="24"/>
        </w:rPr>
        <w:t xml:space="preserve">are </w:t>
      </w:r>
      <w:r w:rsidRPr="00C03610">
        <w:rPr>
          <w:rFonts w:ascii="Times New Roman" w:hAnsi="Times New Roman" w:cs="Times New Roman"/>
          <w:sz w:val="24"/>
          <w:szCs w:val="24"/>
        </w:rPr>
        <w:t>still are</w:t>
      </w:r>
      <w:r>
        <w:rPr>
          <w:rFonts w:ascii="Times New Roman" w:hAnsi="Times New Roman" w:cs="Times New Roman"/>
          <w:sz w:val="24"/>
          <w:szCs w:val="24"/>
        </w:rPr>
        <w:t xml:space="preserve"> no</w:t>
      </w:r>
      <w:r w:rsidRPr="00C03610">
        <w:rPr>
          <w:rFonts w:ascii="Times New Roman" w:hAnsi="Times New Roman" w:cs="Times New Roman"/>
          <w:sz w:val="24"/>
          <w:szCs w:val="24"/>
        </w:rPr>
        <w:t>t treated as equals to men when it comes to high stakes positions: Women CEOs were nearly twice as likely as men to have been appointed to the job from outside the company — even though analysis clearly shows that inside-CEO candidates perform</w:t>
      </w:r>
      <w:r>
        <w:rPr>
          <w:rFonts w:ascii="Times New Roman" w:hAnsi="Times New Roman" w:cs="Times New Roman"/>
          <w:sz w:val="24"/>
          <w:szCs w:val="24"/>
        </w:rPr>
        <w:t>ed</w:t>
      </w:r>
      <w:r w:rsidRPr="00C03610">
        <w:rPr>
          <w:rFonts w:ascii="Times New Roman" w:hAnsi="Times New Roman" w:cs="Times New Roman"/>
          <w:sz w:val="24"/>
          <w:szCs w:val="24"/>
        </w:rPr>
        <w:t xml:space="preserve"> better over time, presumably </w:t>
      </w:r>
      <w:r w:rsidRPr="00C03610">
        <w:rPr>
          <w:rFonts w:ascii="Times New Roman" w:hAnsi="Times New Roman" w:cs="Times New Roman"/>
          <w:sz w:val="24"/>
          <w:szCs w:val="24"/>
        </w:rPr>
        <w:lastRenderedPageBreak/>
        <w:t xml:space="preserve">because long-term </w:t>
      </w:r>
      <w:r>
        <w:rPr>
          <w:rFonts w:ascii="Times New Roman" w:hAnsi="Times New Roman" w:cs="Times New Roman"/>
          <w:sz w:val="24"/>
          <w:szCs w:val="24"/>
        </w:rPr>
        <w:t>growth depends on deep industry</w:t>
      </w:r>
      <w:r w:rsidRPr="00C03610">
        <w:rPr>
          <w:rFonts w:ascii="Times New Roman" w:hAnsi="Times New Roman" w:cs="Times New Roman"/>
          <w:sz w:val="24"/>
          <w:szCs w:val="24"/>
        </w:rPr>
        <w:t xml:space="preserve"> and firm-specific knowledge. </w:t>
      </w:r>
      <w:r>
        <w:rPr>
          <w:rFonts w:ascii="Times New Roman" w:hAnsi="Times New Roman" w:cs="Times New Roman"/>
          <w:sz w:val="24"/>
          <w:szCs w:val="24"/>
        </w:rPr>
        <w:t xml:space="preserve">Among companies surveyed, HBR further indicates that </w:t>
      </w:r>
      <w:r w:rsidRPr="008C79E3">
        <w:rPr>
          <w:rFonts w:ascii="Times New Roman" w:hAnsi="Times New Roman" w:cs="Times New Roman"/>
          <w:sz w:val="24"/>
          <w:szCs w:val="24"/>
        </w:rPr>
        <w:t>only 29 (</w:t>
      </w:r>
      <w:r w:rsidR="00EE46E7">
        <w:rPr>
          <w:rFonts w:ascii="Times New Roman" w:hAnsi="Times New Roman" w:cs="Times New Roman"/>
          <w:sz w:val="24"/>
          <w:szCs w:val="24"/>
        </w:rPr>
        <w:t xml:space="preserve">or </w:t>
      </w:r>
      <w:r w:rsidRPr="008C79E3">
        <w:rPr>
          <w:rFonts w:ascii="Times New Roman" w:hAnsi="Times New Roman" w:cs="Times New Roman"/>
          <w:sz w:val="24"/>
          <w:szCs w:val="24"/>
        </w:rPr>
        <w:t xml:space="preserve">1.5%) of </w:t>
      </w:r>
      <w:r>
        <w:rPr>
          <w:rFonts w:ascii="Times New Roman" w:hAnsi="Times New Roman" w:cs="Times New Roman"/>
          <w:sz w:val="24"/>
          <w:szCs w:val="24"/>
        </w:rPr>
        <w:t>their</w:t>
      </w:r>
      <w:r w:rsidRPr="008C79E3">
        <w:rPr>
          <w:rFonts w:ascii="Times New Roman" w:hAnsi="Times New Roman" w:cs="Times New Roman"/>
          <w:sz w:val="24"/>
          <w:szCs w:val="24"/>
        </w:rPr>
        <w:t xml:space="preserve"> CEOs were women, an even smaller percentage than on the Fortune 500 Global list (2.6%)</w:t>
      </w:r>
      <w:r>
        <w:rPr>
          <w:rStyle w:val="FootnoteReference"/>
          <w:rFonts w:ascii="Times New Roman" w:hAnsi="Times New Roman" w:cs="Times New Roman"/>
          <w:sz w:val="24"/>
          <w:szCs w:val="24"/>
        </w:rPr>
        <w:footnoteReference w:id="16"/>
      </w:r>
      <w:r w:rsidRPr="008C79E3">
        <w:rPr>
          <w:rFonts w:ascii="Times New Roman" w:hAnsi="Times New Roman" w:cs="Times New Roman"/>
          <w:sz w:val="24"/>
          <w:szCs w:val="24"/>
        </w:rPr>
        <w:t>.</w:t>
      </w:r>
    </w:p>
    <w:p w:rsidR="00C754D2" w:rsidRPr="00616699" w:rsidRDefault="00E66889" w:rsidP="00FA7230">
      <w:pPr>
        <w:autoSpaceDE w:val="0"/>
        <w:autoSpaceDN w:val="0"/>
        <w:adjustRightInd w:val="0"/>
        <w:spacing w:after="0" w:line="240" w:lineRule="auto"/>
        <w:rPr>
          <w:rFonts w:ascii="Times New Roman" w:hAnsi="Times New Roman" w:cs="Times New Roman"/>
          <w:color w:val="000000" w:themeColor="text1"/>
          <w:sz w:val="24"/>
          <w:szCs w:val="24"/>
        </w:rPr>
      </w:pPr>
      <w:r w:rsidRPr="00616699">
        <w:rPr>
          <w:rFonts w:ascii="Times New Roman" w:hAnsi="Times New Roman" w:cs="Times New Roman"/>
          <w:color w:val="000000" w:themeColor="text1"/>
          <w:sz w:val="24"/>
          <w:szCs w:val="24"/>
        </w:rPr>
        <w:t>Even when women business leaders are rated more highly than comparable male peers across a range of leadership behaviors, they are also rated lower than men on “envisioning”, the dimension most closely associated with effective leadership at senior levels. Senior-level women often suffer from this (stereotype) perception when appointments to top leadership positions are made</w:t>
      </w:r>
      <w:r w:rsidRPr="00616699">
        <w:rPr>
          <w:rStyle w:val="FootnoteReference"/>
          <w:rFonts w:ascii="Times New Roman" w:hAnsi="Times New Roman" w:cs="Times New Roman"/>
          <w:color w:val="000000" w:themeColor="text1"/>
          <w:sz w:val="24"/>
          <w:szCs w:val="24"/>
        </w:rPr>
        <w:footnoteReference w:id="17"/>
      </w:r>
      <w:r w:rsidRPr="00616699">
        <w:rPr>
          <w:rFonts w:ascii="Times New Roman" w:hAnsi="Times New Roman" w:cs="Times New Roman"/>
          <w:color w:val="000000" w:themeColor="text1"/>
          <w:sz w:val="24"/>
          <w:szCs w:val="24"/>
        </w:rPr>
        <w:t>. Thus, w</w:t>
      </w:r>
      <w:r w:rsidR="00FA7230" w:rsidRPr="00616699">
        <w:rPr>
          <w:rFonts w:ascii="Times New Roman" w:hAnsi="Times New Roman" w:cs="Times New Roman"/>
          <w:color w:val="000000" w:themeColor="text1"/>
          <w:sz w:val="24"/>
          <w:szCs w:val="24"/>
        </w:rPr>
        <w:t xml:space="preserve">omen with stellar performance records can be held back because they are not seen as having the potential to lead at a senior level. </w:t>
      </w:r>
    </w:p>
    <w:p w:rsidR="00C754D2" w:rsidRPr="00616699" w:rsidRDefault="00C754D2" w:rsidP="00FA7230">
      <w:pPr>
        <w:autoSpaceDE w:val="0"/>
        <w:autoSpaceDN w:val="0"/>
        <w:adjustRightInd w:val="0"/>
        <w:spacing w:after="0" w:line="240" w:lineRule="auto"/>
        <w:rPr>
          <w:rFonts w:ascii="Times New Roman" w:hAnsi="Times New Roman" w:cs="Times New Roman"/>
          <w:color w:val="000000" w:themeColor="text1"/>
          <w:sz w:val="24"/>
          <w:szCs w:val="24"/>
        </w:rPr>
      </w:pPr>
    </w:p>
    <w:p w:rsidR="00EF3E3D" w:rsidRPr="00616699" w:rsidRDefault="00FA7230" w:rsidP="00EF3E3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616699">
        <w:rPr>
          <w:rFonts w:ascii="Times New Roman" w:hAnsi="Times New Roman" w:cs="Times New Roman"/>
          <w:color w:val="000000" w:themeColor="text1"/>
          <w:sz w:val="24"/>
          <w:szCs w:val="24"/>
        </w:rPr>
        <w:t>Research has found this especially to be true in cultures where being a visionary and other common male attributes are widely accepted as ess</w:t>
      </w:r>
      <w:r w:rsidR="00852AE5" w:rsidRPr="00616699">
        <w:rPr>
          <w:rFonts w:ascii="Times New Roman" w:hAnsi="Times New Roman" w:cs="Times New Roman"/>
          <w:color w:val="000000" w:themeColor="text1"/>
          <w:sz w:val="24"/>
          <w:szCs w:val="24"/>
        </w:rPr>
        <w:t>ential</w:t>
      </w:r>
      <w:r w:rsidRPr="00616699">
        <w:rPr>
          <w:rFonts w:ascii="Times New Roman" w:hAnsi="Times New Roman" w:cs="Times New Roman"/>
          <w:color w:val="000000" w:themeColor="text1"/>
          <w:sz w:val="24"/>
          <w:szCs w:val="24"/>
        </w:rPr>
        <w:t xml:space="preserve"> characteristics of leadership. </w:t>
      </w:r>
      <w:r w:rsidR="00C754D2" w:rsidRPr="00616699">
        <w:rPr>
          <w:rFonts w:ascii="Times New Roman" w:hAnsi="Times New Roman" w:cs="Times New Roman"/>
          <w:color w:val="000000" w:themeColor="text1"/>
          <w:sz w:val="24"/>
          <w:szCs w:val="24"/>
        </w:rPr>
        <w:t xml:space="preserve">Customs and social norms generally define the kind and degree of activities women can partake in, imposing restrictions on mobility or on engagement with actors beyond the </w:t>
      </w:r>
      <w:r w:rsidR="00730FCE" w:rsidRPr="00616699">
        <w:rPr>
          <w:rFonts w:ascii="Times New Roman" w:hAnsi="Times New Roman" w:cs="Times New Roman"/>
          <w:color w:val="000000" w:themeColor="text1"/>
          <w:sz w:val="24"/>
          <w:szCs w:val="24"/>
        </w:rPr>
        <w:t>household</w:t>
      </w:r>
      <w:r w:rsidR="00C754D2" w:rsidRPr="00616699">
        <w:rPr>
          <w:color w:val="000000" w:themeColor="text1"/>
          <w:vertAlign w:val="superscript"/>
        </w:rPr>
        <w:footnoteReference w:id="18"/>
      </w:r>
      <w:r w:rsidR="00C754D2" w:rsidRPr="00616699">
        <w:rPr>
          <w:rFonts w:ascii="Times New Roman" w:hAnsi="Times New Roman" w:cs="Times New Roman"/>
          <w:color w:val="000000" w:themeColor="text1"/>
          <w:sz w:val="24"/>
          <w:szCs w:val="24"/>
          <w:vertAlign w:val="superscript"/>
        </w:rPr>
        <w:t xml:space="preserve">. </w:t>
      </w:r>
      <w:r w:rsidR="00C754D2" w:rsidRPr="00616699">
        <w:rPr>
          <w:rFonts w:ascii="Times New Roman" w:hAnsi="Times New Roman" w:cs="Times New Roman"/>
          <w:color w:val="000000" w:themeColor="text1"/>
          <w:sz w:val="24"/>
          <w:szCs w:val="24"/>
        </w:rPr>
        <w:t xml:space="preserve"> In some countries, customary and religious leaders go as far as attaching divine approval to certain practices so that people who do not experience enough guilt or shame for not complying may also experience the fear of divine punishment, in addition to the prospect of being less desirable in the marriage </w:t>
      </w:r>
      <w:r w:rsidR="00730FCE" w:rsidRPr="00616699">
        <w:rPr>
          <w:rFonts w:ascii="Times New Roman" w:hAnsi="Times New Roman" w:cs="Times New Roman"/>
          <w:color w:val="000000" w:themeColor="text1"/>
          <w:sz w:val="24"/>
          <w:szCs w:val="24"/>
        </w:rPr>
        <w:t>market</w:t>
      </w:r>
      <w:r w:rsidR="00C754D2" w:rsidRPr="00616699">
        <w:rPr>
          <w:color w:val="000000" w:themeColor="text1"/>
          <w:vertAlign w:val="superscript"/>
        </w:rPr>
        <w:footnoteReference w:id="19"/>
      </w:r>
      <w:r w:rsidR="00C754D2" w:rsidRPr="00616699">
        <w:rPr>
          <w:rFonts w:ascii="Times New Roman" w:hAnsi="Times New Roman" w:cs="Times New Roman"/>
          <w:color w:val="000000" w:themeColor="text1"/>
          <w:sz w:val="24"/>
          <w:szCs w:val="24"/>
          <w:vertAlign w:val="superscript"/>
        </w:rPr>
        <w:t>.</w:t>
      </w:r>
      <w:r w:rsidR="00C754D2" w:rsidRPr="00616699">
        <w:rPr>
          <w:rFonts w:ascii="Times New Roman" w:hAnsi="Times New Roman" w:cs="Times New Roman"/>
          <w:color w:val="000000" w:themeColor="text1"/>
          <w:sz w:val="24"/>
          <w:szCs w:val="24"/>
        </w:rPr>
        <w:t xml:space="preserve">  </w:t>
      </w:r>
      <w:r w:rsidR="007333D5" w:rsidRPr="00616699">
        <w:rPr>
          <w:rFonts w:ascii="Times New Roman" w:hAnsi="Times New Roman" w:cs="Times New Roman"/>
          <w:color w:val="000000" w:themeColor="text1"/>
          <w:sz w:val="24"/>
          <w:szCs w:val="24"/>
        </w:rPr>
        <w:t>S</w:t>
      </w:r>
      <w:r w:rsidR="00C754D2" w:rsidRPr="00616699">
        <w:rPr>
          <w:rFonts w:ascii="Times New Roman" w:hAnsi="Times New Roman" w:cs="Times New Roman"/>
          <w:color w:val="000000" w:themeColor="text1"/>
          <w:sz w:val="24"/>
          <w:szCs w:val="24"/>
        </w:rPr>
        <w:t>uch social and institutional structures produce mindsets, practices and conditions that impede women’s independence and leadership in the private sector and other areas.</w:t>
      </w:r>
      <w:r w:rsidR="00C754D2" w:rsidRPr="00616699">
        <w:rPr>
          <w:rFonts w:ascii="Times New Roman" w:hAnsi="Times New Roman" w:cs="Times New Roman"/>
          <w:color w:val="000000" w:themeColor="text1"/>
          <w:sz w:val="24"/>
          <w:szCs w:val="24"/>
          <w:shd w:val="clear" w:color="auto" w:fill="FFFFFF"/>
        </w:rPr>
        <w:t xml:space="preserve"> </w:t>
      </w:r>
    </w:p>
    <w:p w:rsidR="00EF3E3D" w:rsidRPr="00616699" w:rsidRDefault="00EF3E3D" w:rsidP="00EF3E3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EF3E3D" w:rsidRPr="00616699" w:rsidRDefault="00EF3E3D" w:rsidP="00EF3E3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616699">
        <w:rPr>
          <w:rFonts w:ascii="Times New Roman" w:hAnsi="Times New Roman" w:cs="Times New Roman"/>
          <w:color w:val="000000" w:themeColor="text1"/>
          <w:sz w:val="24"/>
          <w:szCs w:val="24"/>
          <w:shd w:val="clear" w:color="auto" w:fill="FFFFFF"/>
        </w:rPr>
        <w:t>In some parts of sub-Saharan Africa, such as Uganda, successful women and educated young women alike have been targeted, in recent years, in public places by men who take it upon themselves to reinforce ‘decency bills’ urging women not to undermine their African culture by dressing inappropriately. Much like in South Africa, mob mentality that leads to public stripping of women in urban milieus reaches dangerous levels when customary leaders (i.e. tribal and religious authorities) preach female subservience and blame women for dislodging men from their rightful places in modern societies</w:t>
      </w:r>
      <w:r w:rsidRPr="00616699">
        <w:rPr>
          <w:rStyle w:val="FootnoteReference"/>
          <w:rFonts w:ascii="Times New Roman" w:hAnsi="Times New Roman" w:cs="Times New Roman"/>
          <w:color w:val="000000" w:themeColor="text1"/>
          <w:sz w:val="24"/>
          <w:szCs w:val="24"/>
          <w:shd w:val="clear" w:color="auto" w:fill="FFFFFF"/>
        </w:rPr>
        <w:footnoteReference w:id="20"/>
      </w:r>
      <w:r w:rsidRPr="00616699">
        <w:rPr>
          <w:rFonts w:ascii="Times New Roman" w:hAnsi="Times New Roman" w:cs="Times New Roman"/>
          <w:color w:val="000000" w:themeColor="text1"/>
          <w:sz w:val="24"/>
          <w:szCs w:val="24"/>
          <w:shd w:val="clear" w:color="auto" w:fill="FFFFFF"/>
        </w:rPr>
        <w:t>. In this regard, destructive social and institutional norms or those that are constructive to some and destructive for others (women and girls in this case) can create norm traps that make nearly everyone worse off</w:t>
      </w:r>
      <w:r w:rsidRPr="00616699">
        <w:rPr>
          <w:rStyle w:val="FootnoteReference"/>
          <w:rFonts w:ascii="Times New Roman" w:hAnsi="Times New Roman" w:cs="Times New Roman"/>
          <w:color w:val="000000" w:themeColor="text1"/>
          <w:sz w:val="24"/>
          <w:szCs w:val="24"/>
          <w:shd w:val="clear" w:color="auto" w:fill="FFFFFF"/>
        </w:rPr>
        <w:footnoteReference w:id="21"/>
      </w:r>
      <w:r w:rsidRPr="00616699">
        <w:rPr>
          <w:rFonts w:ascii="Times New Roman" w:hAnsi="Times New Roman" w:cs="Times New Roman"/>
          <w:color w:val="000000" w:themeColor="text1"/>
          <w:sz w:val="24"/>
          <w:szCs w:val="24"/>
          <w:shd w:val="clear" w:color="auto" w:fill="FFFFFF"/>
        </w:rPr>
        <w:t xml:space="preserve">. </w:t>
      </w:r>
      <w:r w:rsidRPr="00616699">
        <w:rPr>
          <w:rFonts w:ascii="Times New Roman" w:hAnsi="Times New Roman" w:cs="Times New Roman"/>
          <w:color w:val="000000" w:themeColor="text1"/>
          <w:sz w:val="24"/>
          <w:szCs w:val="24"/>
        </w:rPr>
        <w:t>In economic terms this means that African countries are positioning themselves to lose an estimated $1.6 trillion USD in Purchasing Power Parity because of current gender gap in employment to population</w:t>
      </w:r>
      <w:r w:rsidRPr="00616699">
        <w:rPr>
          <w:rStyle w:val="FootnoteReference"/>
          <w:rFonts w:ascii="Times New Roman" w:hAnsi="Times New Roman" w:cs="Times New Roman"/>
          <w:color w:val="000000" w:themeColor="text1"/>
          <w:sz w:val="24"/>
          <w:szCs w:val="24"/>
        </w:rPr>
        <w:footnoteReference w:id="22"/>
      </w:r>
      <w:r w:rsidRPr="00616699">
        <w:rPr>
          <w:rFonts w:ascii="Times New Roman" w:hAnsi="Times New Roman" w:cs="Times New Roman"/>
          <w:color w:val="000000" w:themeColor="text1"/>
          <w:sz w:val="24"/>
          <w:szCs w:val="24"/>
        </w:rPr>
        <w:t xml:space="preserve">. </w:t>
      </w:r>
    </w:p>
    <w:p w:rsidR="00C754D2" w:rsidRPr="00CD0DE0" w:rsidRDefault="00C754D2" w:rsidP="00C754D2">
      <w:pPr>
        <w:rPr>
          <w:rFonts w:ascii="Times New Roman" w:hAnsi="Times New Roman" w:cs="Times New Roman"/>
          <w:color w:val="333333"/>
          <w:sz w:val="24"/>
          <w:szCs w:val="24"/>
          <w:shd w:val="clear" w:color="auto" w:fill="FFFFFF"/>
        </w:rPr>
      </w:pPr>
    </w:p>
    <w:p w:rsidR="00FA7230" w:rsidRPr="00CD0DE0" w:rsidRDefault="008120AC" w:rsidP="00FA7230">
      <w:pPr>
        <w:rPr>
          <w:rFonts w:ascii="Times New Roman" w:hAnsi="Times New Roman" w:cs="Times New Roman"/>
          <w:sz w:val="24"/>
          <w:szCs w:val="24"/>
        </w:rPr>
      </w:pPr>
      <w:r>
        <w:rPr>
          <w:rFonts w:ascii="Times New Roman" w:hAnsi="Times New Roman" w:cs="Times New Roman"/>
          <w:sz w:val="24"/>
          <w:szCs w:val="24"/>
        </w:rPr>
        <w:lastRenderedPageBreak/>
        <w:t>Meanwhile, s</w:t>
      </w:r>
      <w:r w:rsidR="00FA7230" w:rsidRPr="00CD0DE0">
        <w:rPr>
          <w:rFonts w:ascii="Times New Roman" w:hAnsi="Times New Roman" w:cs="Times New Roman"/>
          <w:sz w:val="24"/>
          <w:szCs w:val="24"/>
        </w:rPr>
        <w:t>ome contend that one of the reasons why it is difficult to sustain and increase the number of women in senior management is that a significant number of women in secondary and tertiary education do not specialize in areas of studies and career fields, such as in engineering and agricultural sciences, where very few women already work. In that respect gender disparities are particularly marked in the agricultural sciences, for instance. In Eastern, Central, and Southern Africa at the postgraduate level only about 16 percent of graduate students are women</w:t>
      </w:r>
      <w:r w:rsidR="00FA7230" w:rsidRPr="00CD0DE0">
        <w:rPr>
          <w:rStyle w:val="FootnoteReference"/>
          <w:rFonts w:ascii="Times New Roman" w:hAnsi="Times New Roman" w:cs="Times New Roman"/>
          <w:sz w:val="24"/>
          <w:szCs w:val="24"/>
        </w:rPr>
        <w:footnoteReference w:id="23"/>
      </w:r>
      <w:r w:rsidR="00FA7230" w:rsidRPr="00CD0DE0">
        <w:rPr>
          <w:rFonts w:ascii="Times New Roman" w:hAnsi="Times New Roman" w:cs="Times New Roman"/>
          <w:sz w:val="24"/>
          <w:szCs w:val="24"/>
        </w:rPr>
        <w:t>. Female students are concentrated in the humanities, social sciences, and health, with less than one third enrolled in science fields. Many considered agriculture as a masculine discipline, and women are not believed to have the physical, mental and social capabilities to succeed in it</w:t>
      </w:r>
      <w:r w:rsidR="00FA7230" w:rsidRPr="00CD0DE0">
        <w:rPr>
          <w:rStyle w:val="FootnoteReference"/>
          <w:rFonts w:ascii="Times New Roman" w:hAnsi="Times New Roman" w:cs="Times New Roman"/>
          <w:sz w:val="24"/>
          <w:szCs w:val="24"/>
        </w:rPr>
        <w:footnoteReference w:id="24"/>
      </w:r>
      <w:r w:rsidR="00FA7230" w:rsidRPr="00CD0DE0">
        <w:rPr>
          <w:rFonts w:ascii="Times New Roman" w:hAnsi="Times New Roman" w:cs="Times New Roman"/>
          <w:sz w:val="24"/>
          <w:szCs w:val="24"/>
        </w:rPr>
        <w:t xml:space="preserve">. </w:t>
      </w:r>
    </w:p>
    <w:p w:rsidR="00FA7230" w:rsidRPr="00CD0DE0" w:rsidRDefault="00FA7230" w:rsidP="00FA7230">
      <w:pPr>
        <w:rPr>
          <w:rFonts w:ascii="Times New Roman" w:hAnsi="Times New Roman" w:cs="Times New Roman"/>
          <w:sz w:val="24"/>
          <w:szCs w:val="24"/>
        </w:rPr>
      </w:pPr>
      <w:r w:rsidRPr="00CD0DE0">
        <w:rPr>
          <w:rFonts w:ascii="Times New Roman" w:hAnsi="Times New Roman" w:cs="Times New Roman"/>
          <w:sz w:val="24"/>
          <w:szCs w:val="24"/>
        </w:rPr>
        <w:t xml:space="preserve">IBR 2014 </w:t>
      </w:r>
      <w:r w:rsidR="008120AC">
        <w:rPr>
          <w:rFonts w:ascii="Times New Roman" w:hAnsi="Times New Roman" w:cs="Times New Roman"/>
          <w:sz w:val="24"/>
          <w:szCs w:val="24"/>
        </w:rPr>
        <w:t xml:space="preserve">points to </w:t>
      </w:r>
      <w:r w:rsidRPr="00CD0DE0">
        <w:rPr>
          <w:rFonts w:ascii="Times New Roman" w:hAnsi="Times New Roman" w:cs="Times New Roman"/>
          <w:sz w:val="24"/>
          <w:szCs w:val="24"/>
        </w:rPr>
        <w:t xml:space="preserve">similar </w:t>
      </w:r>
      <w:r w:rsidR="008120AC">
        <w:rPr>
          <w:rFonts w:ascii="Times New Roman" w:hAnsi="Times New Roman" w:cs="Times New Roman"/>
          <w:sz w:val="24"/>
          <w:szCs w:val="24"/>
        </w:rPr>
        <w:t>findings</w:t>
      </w:r>
      <w:r w:rsidRPr="00CD0DE0">
        <w:rPr>
          <w:rFonts w:ascii="Times New Roman" w:hAnsi="Times New Roman" w:cs="Times New Roman"/>
          <w:sz w:val="24"/>
          <w:szCs w:val="24"/>
        </w:rPr>
        <w:t>, indicating that at the global level fewer women than men enroll in subjects such as science and mathematics (which many businesses look for)</w:t>
      </w:r>
      <w:r w:rsidR="008120AC">
        <w:rPr>
          <w:rFonts w:ascii="Times New Roman" w:hAnsi="Times New Roman" w:cs="Times New Roman"/>
          <w:sz w:val="24"/>
          <w:szCs w:val="24"/>
        </w:rPr>
        <w:t>,</w:t>
      </w:r>
      <w:r w:rsidRPr="00CD0DE0">
        <w:rPr>
          <w:rFonts w:ascii="Times New Roman" w:hAnsi="Times New Roman" w:cs="Times New Roman"/>
          <w:sz w:val="24"/>
          <w:szCs w:val="24"/>
        </w:rPr>
        <w:t xml:space="preserve"> and that 66% of businesses globally report that less than half of the graduates they employ are women</w:t>
      </w:r>
      <w:r w:rsidRPr="00CD0DE0">
        <w:rPr>
          <w:rStyle w:val="FootnoteReference"/>
          <w:rFonts w:ascii="Times New Roman" w:hAnsi="Times New Roman" w:cs="Times New Roman"/>
          <w:sz w:val="24"/>
          <w:szCs w:val="24"/>
        </w:rPr>
        <w:footnoteReference w:id="25"/>
      </w:r>
      <w:r w:rsidRPr="00CD0DE0">
        <w:rPr>
          <w:rFonts w:ascii="Times New Roman" w:hAnsi="Times New Roman" w:cs="Times New Roman"/>
          <w:sz w:val="24"/>
          <w:szCs w:val="24"/>
        </w:rPr>
        <w:t>. Furthermore women are more likely to take jobs in the public sector where they hold over half of senior roles in education and social services (51%), more than double the global average. The survey pursues that businesses with strong links to the public sector are most likely to have women in their leadership teams, including education &amp; social services (51%), healthcare (29%), hospitality (37%), financial services (29%), and other professional services (27%)</w:t>
      </w:r>
      <w:r w:rsidRPr="00CD0DE0">
        <w:rPr>
          <w:rStyle w:val="FootnoteReference"/>
          <w:rFonts w:ascii="Times New Roman" w:hAnsi="Times New Roman" w:cs="Times New Roman"/>
          <w:sz w:val="24"/>
          <w:szCs w:val="24"/>
        </w:rPr>
        <w:footnoteReference w:id="26"/>
      </w:r>
      <w:r w:rsidRPr="00CD0DE0">
        <w:rPr>
          <w:rFonts w:ascii="Times New Roman" w:hAnsi="Times New Roman" w:cs="Times New Roman"/>
          <w:sz w:val="24"/>
          <w:szCs w:val="24"/>
        </w:rPr>
        <w:t xml:space="preserve">. </w:t>
      </w:r>
    </w:p>
    <w:p w:rsidR="00FA7230" w:rsidRPr="00CD0DE0" w:rsidRDefault="00FA7230" w:rsidP="00FA7230">
      <w:pPr>
        <w:rPr>
          <w:rFonts w:ascii="Times New Roman" w:hAnsi="Times New Roman" w:cs="Times New Roman"/>
          <w:sz w:val="24"/>
          <w:szCs w:val="24"/>
        </w:rPr>
      </w:pPr>
      <w:r w:rsidRPr="00CD0DE0">
        <w:rPr>
          <w:rFonts w:ascii="Times New Roman" w:hAnsi="Times New Roman" w:cs="Times New Roman"/>
          <w:sz w:val="24"/>
          <w:szCs w:val="24"/>
        </w:rPr>
        <w:t>While workplace gender discrimination is a global issue, Ernst &amp; Young reports that because of limited possibilities for advancement in their home continent, a significant proportion of degreed African women, nearly a third at 28 percent migrate out of Africa in search of suitable job opportunities. This is in contrast with only 17 percent of educated African men</w:t>
      </w:r>
      <w:r w:rsidRPr="00CD0DE0">
        <w:rPr>
          <w:rStyle w:val="FootnoteReference"/>
          <w:rFonts w:ascii="Times New Roman" w:hAnsi="Times New Roman" w:cs="Times New Roman"/>
          <w:sz w:val="24"/>
          <w:szCs w:val="24"/>
        </w:rPr>
        <w:footnoteReference w:id="27"/>
      </w:r>
      <w:r w:rsidRPr="00CD0DE0">
        <w:rPr>
          <w:rFonts w:ascii="Times New Roman" w:hAnsi="Times New Roman" w:cs="Times New Roman"/>
          <w:sz w:val="24"/>
          <w:szCs w:val="24"/>
        </w:rPr>
        <w:t xml:space="preserve">. </w:t>
      </w:r>
    </w:p>
    <w:p w:rsidR="008120AC" w:rsidRDefault="008120AC" w:rsidP="008120AC">
      <w:pPr>
        <w:rPr>
          <w:rFonts w:ascii="Times New Roman" w:hAnsi="Times New Roman" w:cs="Times New Roman"/>
          <w:sz w:val="24"/>
          <w:szCs w:val="24"/>
        </w:rPr>
      </w:pPr>
      <w:r w:rsidRPr="00536735">
        <w:rPr>
          <w:rFonts w:ascii="Times New Roman" w:hAnsi="Times New Roman" w:cs="Times New Roman"/>
          <w:color w:val="000000" w:themeColor="text1"/>
          <w:sz w:val="24"/>
          <w:szCs w:val="24"/>
        </w:rPr>
        <w:t>Another barrier for women business leaders and in particular those with families is th</w:t>
      </w:r>
      <w:r w:rsidR="00806F07" w:rsidRPr="00536735">
        <w:rPr>
          <w:rFonts w:ascii="Times New Roman" w:hAnsi="Times New Roman" w:cs="Times New Roman"/>
          <w:color w:val="000000" w:themeColor="text1"/>
          <w:sz w:val="24"/>
          <w:szCs w:val="24"/>
        </w:rPr>
        <w:t xml:space="preserve">e burden of care (unpaid) work. </w:t>
      </w:r>
      <w:r w:rsidR="00806F07" w:rsidRPr="00536735">
        <w:rPr>
          <w:rFonts w:ascii="Times New Roman" w:hAnsi="Times New Roman" w:cs="Times New Roman"/>
          <w:color w:val="000000" w:themeColor="text1"/>
          <w:sz w:val="24"/>
          <w:szCs w:val="24"/>
          <w:shd w:val="clear" w:color="auto" w:fill="FFFFFF"/>
        </w:rPr>
        <w:t>Women in Africa, as in all parts of the world, face many barriers to their ability to exercise leadership and participation in public institutions and business, including family obligations and lack of child care, inadequate training, as well as the lack of a favorable political and or economic environment</w:t>
      </w:r>
      <w:r w:rsidR="00806F07" w:rsidRPr="00536735">
        <w:rPr>
          <w:rStyle w:val="FootnoteReference"/>
          <w:rFonts w:ascii="Times New Roman" w:hAnsi="Times New Roman" w:cs="Times New Roman"/>
          <w:color w:val="000000" w:themeColor="text1"/>
          <w:sz w:val="24"/>
          <w:szCs w:val="24"/>
          <w:shd w:val="clear" w:color="auto" w:fill="FFFFFF"/>
        </w:rPr>
        <w:footnoteReference w:id="28"/>
      </w:r>
      <w:r w:rsidR="00806F07" w:rsidRPr="00536735">
        <w:rPr>
          <w:rFonts w:ascii="Times New Roman" w:hAnsi="Times New Roman" w:cs="Times New Roman"/>
          <w:color w:val="000000" w:themeColor="text1"/>
          <w:sz w:val="24"/>
          <w:szCs w:val="24"/>
          <w:shd w:val="clear" w:color="auto" w:fill="FFFFFF"/>
        </w:rPr>
        <w:t>.  W</w:t>
      </w:r>
      <w:r w:rsidRPr="00536735">
        <w:rPr>
          <w:rFonts w:ascii="Times New Roman" w:hAnsi="Times New Roman" w:cs="Times New Roman"/>
          <w:color w:val="000000" w:themeColor="text1"/>
          <w:sz w:val="24"/>
          <w:szCs w:val="24"/>
        </w:rPr>
        <w:t xml:space="preserve">omen continue to bear most of the responsibilities for the home—caring for children and other dependent household members, preparing meals and </w:t>
      </w:r>
      <w:r w:rsidRPr="00CD0DE0">
        <w:rPr>
          <w:rFonts w:ascii="Times New Roman" w:hAnsi="Times New Roman" w:cs="Times New Roman"/>
          <w:sz w:val="24"/>
          <w:szCs w:val="24"/>
        </w:rPr>
        <w:lastRenderedPageBreak/>
        <w:t>doing other housework</w:t>
      </w:r>
      <w:r w:rsidRPr="00CD0DE0">
        <w:rPr>
          <w:rFonts w:ascii="Times New Roman" w:hAnsi="Times New Roman" w:cs="Times New Roman"/>
          <w:sz w:val="24"/>
          <w:szCs w:val="24"/>
          <w:vertAlign w:val="superscript"/>
        </w:rPr>
        <w:footnoteReference w:id="29"/>
      </w:r>
      <w:r w:rsidRPr="00CD0DE0">
        <w:rPr>
          <w:rFonts w:ascii="Times New Roman" w:hAnsi="Times New Roman" w:cs="Times New Roman"/>
          <w:sz w:val="24"/>
          <w:szCs w:val="24"/>
        </w:rPr>
        <w:t>. In all regions, women spend at least twice as much time as men on unpaid domestic work</w:t>
      </w:r>
      <w:r>
        <w:rPr>
          <w:rFonts w:ascii="Times New Roman" w:hAnsi="Times New Roman" w:cs="Times New Roman"/>
          <w:sz w:val="24"/>
          <w:szCs w:val="24"/>
        </w:rPr>
        <w:t>.</w:t>
      </w:r>
      <w:r w:rsidRPr="00CD0DE0">
        <w:rPr>
          <w:rFonts w:ascii="Times New Roman" w:hAnsi="Times New Roman" w:cs="Times New Roman"/>
          <w:sz w:val="24"/>
          <w:szCs w:val="24"/>
        </w:rPr>
        <w:t xml:space="preserve"> Women who are employed spend an inordinate amount of time on the double burden of paid work (at the office) and family responsibilities; when unpaid work is taken into account, women’s total work hours are longer than men’s in all regions</w:t>
      </w:r>
      <w:r w:rsidRPr="00CD0DE0">
        <w:rPr>
          <w:rFonts w:ascii="Times New Roman" w:hAnsi="Times New Roman" w:cs="Times New Roman"/>
          <w:sz w:val="24"/>
          <w:szCs w:val="24"/>
          <w:vertAlign w:val="superscript"/>
        </w:rPr>
        <w:t>.</w:t>
      </w:r>
      <w:r w:rsidRPr="00CD0DE0">
        <w:rPr>
          <w:rFonts w:ascii="Times New Roman" w:hAnsi="Times New Roman" w:cs="Times New Roman"/>
          <w:sz w:val="24"/>
          <w:szCs w:val="24"/>
        </w:rPr>
        <w:t>. This problem is compounded by the fact that most business organizations in sub-Saharan Africa do not provide child care assistance to employees / working parents</w:t>
      </w:r>
      <w:r w:rsidRPr="00CD0DE0">
        <w:rPr>
          <w:rStyle w:val="FootnoteReference"/>
          <w:rFonts w:ascii="Times New Roman" w:hAnsi="Times New Roman" w:cs="Times New Roman"/>
          <w:sz w:val="24"/>
          <w:szCs w:val="24"/>
        </w:rPr>
        <w:footnoteReference w:id="30"/>
      </w:r>
      <w:r w:rsidRPr="00CD0DE0">
        <w:rPr>
          <w:rFonts w:ascii="Times New Roman" w:hAnsi="Times New Roman" w:cs="Times New Roman"/>
          <w:sz w:val="24"/>
          <w:szCs w:val="24"/>
        </w:rPr>
        <w:t xml:space="preserve"> and in some countries securing time off through parental leave does not necessarily mean that employees can return to work and perform the same job (i.e. in some cases, an employee may be assigned to a different and even lower post). Consequently, </w:t>
      </w:r>
      <w:r w:rsidR="00BB4716">
        <w:rPr>
          <w:rFonts w:ascii="Times New Roman" w:hAnsi="Times New Roman" w:cs="Times New Roman"/>
          <w:sz w:val="24"/>
          <w:szCs w:val="24"/>
        </w:rPr>
        <w:t xml:space="preserve">some women </w:t>
      </w:r>
      <w:r w:rsidRPr="00CD0DE0">
        <w:rPr>
          <w:rFonts w:ascii="Times New Roman" w:hAnsi="Times New Roman" w:cs="Times New Roman"/>
          <w:sz w:val="24"/>
          <w:szCs w:val="24"/>
        </w:rPr>
        <w:t xml:space="preserve">must often </w:t>
      </w:r>
      <w:r w:rsidR="00BB4716">
        <w:rPr>
          <w:rFonts w:ascii="Times New Roman" w:hAnsi="Times New Roman" w:cs="Times New Roman"/>
          <w:sz w:val="24"/>
          <w:szCs w:val="24"/>
        </w:rPr>
        <w:t>choose</w:t>
      </w:r>
      <w:r w:rsidRPr="00CD0DE0">
        <w:rPr>
          <w:rFonts w:ascii="Times New Roman" w:hAnsi="Times New Roman" w:cs="Times New Roman"/>
          <w:sz w:val="24"/>
          <w:szCs w:val="24"/>
        </w:rPr>
        <w:t xml:space="preserve"> between </w:t>
      </w:r>
      <w:r w:rsidR="00BB4716">
        <w:rPr>
          <w:rFonts w:ascii="Times New Roman" w:hAnsi="Times New Roman" w:cs="Times New Roman"/>
          <w:sz w:val="24"/>
          <w:szCs w:val="24"/>
        </w:rPr>
        <w:t>motherhood and c</w:t>
      </w:r>
      <w:r w:rsidRPr="00CD0DE0">
        <w:rPr>
          <w:rFonts w:ascii="Times New Roman" w:hAnsi="Times New Roman" w:cs="Times New Roman"/>
          <w:sz w:val="24"/>
          <w:szCs w:val="24"/>
        </w:rPr>
        <w:t>areer</w:t>
      </w:r>
      <w:r w:rsidR="00BB4716">
        <w:rPr>
          <w:rFonts w:ascii="Times New Roman" w:hAnsi="Times New Roman" w:cs="Times New Roman"/>
          <w:sz w:val="24"/>
          <w:szCs w:val="24"/>
        </w:rPr>
        <w:t>s</w:t>
      </w:r>
      <w:r w:rsidRPr="00CD0DE0">
        <w:rPr>
          <w:rFonts w:ascii="Times New Roman" w:hAnsi="Times New Roman" w:cs="Times New Roman"/>
          <w:sz w:val="24"/>
          <w:szCs w:val="24"/>
        </w:rPr>
        <w:t xml:space="preserve">. </w:t>
      </w:r>
      <w:r w:rsidR="00BB4716">
        <w:rPr>
          <w:rFonts w:ascii="Times New Roman" w:hAnsi="Times New Roman" w:cs="Times New Roman"/>
          <w:sz w:val="24"/>
          <w:szCs w:val="24"/>
        </w:rPr>
        <w:t>Whereas traditionally female jobs such as teaching mix well with motherhood (i.e. work hours and job expectations are manageable throughout the year), professional-services firms</w:t>
      </w:r>
      <w:r w:rsidR="00D22FBC">
        <w:rPr>
          <w:rFonts w:ascii="Times New Roman" w:hAnsi="Times New Roman" w:cs="Times New Roman"/>
          <w:sz w:val="24"/>
          <w:szCs w:val="24"/>
        </w:rPr>
        <w:t>’</w:t>
      </w:r>
      <w:r w:rsidR="00BB4716">
        <w:rPr>
          <w:rFonts w:ascii="Times New Roman" w:hAnsi="Times New Roman" w:cs="Times New Roman"/>
          <w:sz w:val="24"/>
          <w:szCs w:val="24"/>
        </w:rPr>
        <w:t xml:space="preserve"> schedules are demanding and organizational cultures often gravitate around an up-or-out system which rewards </w:t>
      </w:r>
      <w:r w:rsidR="00D22FBC">
        <w:rPr>
          <w:rFonts w:ascii="Times New Roman" w:hAnsi="Times New Roman" w:cs="Times New Roman"/>
          <w:sz w:val="24"/>
          <w:szCs w:val="24"/>
        </w:rPr>
        <w:t>those who are flexible—men and the few women work</w:t>
      </w:r>
      <w:r w:rsidR="00536735">
        <w:rPr>
          <w:rFonts w:ascii="Times New Roman" w:hAnsi="Times New Roman" w:cs="Times New Roman"/>
          <w:sz w:val="24"/>
          <w:szCs w:val="24"/>
        </w:rPr>
        <w:t>ing</w:t>
      </w:r>
      <w:r w:rsidR="00D22FBC">
        <w:rPr>
          <w:rFonts w:ascii="Times New Roman" w:hAnsi="Times New Roman" w:cs="Times New Roman"/>
          <w:sz w:val="24"/>
          <w:szCs w:val="24"/>
        </w:rPr>
        <w:t xml:space="preserve"> long hours</w:t>
      </w:r>
      <w:r w:rsidR="00536735">
        <w:rPr>
          <w:rFonts w:ascii="Times New Roman" w:hAnsi="Times New Roman" w:cs="Times New Roman"/>
          <w:sz w:val="24"/>
          <w:szCs w:val="24"/>
        </w:rPr>
        <w:t>, etc.</w:t>
      </w:r>
      <w:r w:rsidR="00D22FBC">
        <w:rPr>
          <w:rStyle w:val="FootnoteReference"/>
          <w:rFonts w:ascii="Times New Roman" w:hAnsi="Times New Roman" w:cs="Times New Roman"/>
          <w:sz w:val="24"/>
          <w:szCs w:val="24"/>
        </w:rPr>
        <w:footnoteReference w:id="31"/>
      </w:r>
    </w:p>
    <w:p w:rsidR="001F0016" w:rsidRPr="00CD0DE0" w:rsidRDefault="001F0016" w:rsidP="00FA7230">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4D246A" w:rsidRPr="00FA7230" w:rsidRDefault="004D246A" w:rsidP="00DC0E5E">
      <w:pPr>
        <w:pStyle w:val="ListParagraph"/>
        <w:numPr>
          <w:ilvl w:val="0"/>
          <w:numId w:val="14"/>
        </w:numPr>
        <w:autoSpaceDE w:val="0"/>
        <w:autoSpaceDN w:val="0"/>
        <w:adjustRightInd w:val="0"/>
        <w:spacing w:after="0" w:line="240" w:lineRule="auto"/>
        <w:rPr>
          <w:rFonts w:ascii="Times New Roman" w:hAnsi="Times New Roman" w:cs="Times New Roman"/>
          <w:b/>
          <w:i/>
          <w:color w:val="333333"/>
          <w:sz w:val="24"/>
          <w:szCs w:val="24"/>
          <w:shd w:val="clear" w:color="auto" w:fill="FFFFFF"/>
        </w:rPr>
      </w:pPr>
      <w:r w:rsidRPr="00FA7230">
        <w:rPr>
          <w:rFonts w:ascii="Times New Roman" w:hAnsi="Times New Roman" w:cs="Times New Roman"/>
          <w:b/>
          <w:i/>
          <w:color w:val="333333"/>
          <w:sz w:val="24"/>
          <w:szCs w:val="24"/>
          <w:shd w:val="clear" w:color="auto" w:fill="FFFFFF"/>
        </w:rPr>
        <w:t xml:space="preserve">Root Causes of Women’s Leadership Gap </w:t>
      </w:r>
      <w:r w:rsidR="002F28BA" w:rsidRPr="00FA7230">
        <w:rPr>
          <w:rFonts w:ascii="Times New Roman" w:hAnsi="Times New Roman" w:cs="Times New Roman"/>
          <w:b/>
          <w:i/>
          <w:color w:val="333333"/>
          <w:sz w:val="24"/>
          <w:szCs w:val="24"/>
          <w:shd w:val="clear" w:color="auto" w:fill="FFFFFF"/>
        </w:rPr>
        <w:t xml:space="preserve"> </w:t>
      </w:r>
    </w:p>
    <w:p w:rsidR="00DC0E5E" w:rsidRPr="00DC0E5E" w:rsidRDefault="00DC0E5E" w:rsidP="00DC0E5E">
      <w:pPr>
        <w:pStyle w:val="ListParagraph"/>
        <w:autoSpaceDE w:val="0"/>
        <w:autoSpaceDN w:val="0"/>
        <w:adjustRightInd w:val="0"/>
        <w:spacing w:after="0" w:line="240" w:lineRule="auto"/>
        <w:ind w:left="787"/>
        <w:rPr>
          <w:rFonts w:ascii="Times New Roman" w:hAnsi="Times New Roman" w:cs="Times New Roman"/>
          <w:b/>
          <w:i/>
          <w:color w:val="333333"/>
          <w:shd w:val="clear" w:color="auto" w:fill="FFFFFF"/>
        </w:rPr>
      </w:pPr>
    </w:p>
    <w:p w:rsidR="00DC0E5E" w:rsidRDefault="00910455" w:rsidP="00EB56BB">
      <w:pPr>
        <w:rPr>
          <w:rFonts w:ascii="Times New Roman" w:hAnsi="Times New Roman" w:cs="Times New Roman"/>
          <w:sz w:val="24"/>
          <w:szCs w:val="24"/>
        </w:rPr>
      </w:pPr>
      <w:r>
        <w:rPr>
          <w:rFonts w:ascii="Times New Roman" w:hAnsi="Times New Roman" w:cs="Times New Roman"/>
          <w:sz w:val="24"/>
          <w:szCs w:val="24"/>
        </w:rPr>
        <w:t>Over the last decades, i</w:t>
      </w:r>
      <w:r w:rsidRPr="00CD0DE0">
        <w:rPr>
          <w:rFonts w:ascii="Times New Roman" w:hAnsi="Times New Roman" w:cs="Times New Roman"/>
          <w:sz w:val="24"/>
          <w:szCs w:val="24"/>
        </w:rPr>
        <w:t xml:space="preserve">n some African countries, </w:t>
      </w:r>
      <w:r>
        <w:rPr>
          <w:rFonts w:ascii="Times New Roman" w:hAnsi="Times New Roman" w:cs="Times New Roman"/>
          <w:sz w:val="24"/>
          <w:szCs w:val="24"/>
        </w:rPr>
        <w:t>an increasing</w:t>
      </w:r>
      <w:r w:rsidRPr="00CD0DE0">
        <w:rPr>
          <w:rFonts w:ascii="Times New Roman" w:hAnsi="Times New Roman" w:cs="Times New Roman"/>
          <w:sz w:val="24"/>
          <w:szCs w:val="24"/>
        </w:rPr>
        <w:t xml:space="preserve"> </w:t>
      </w:r>
      <w:r>
        <w:rPr>
          <w:rFonts w:ascii="Times New Roman" w:hAnsi="Times New Roman" w:cs="Times New Roman"/>
          <w:sz w:val="24"/>
          <w:szCs w:val="24"/>
        </w:rPr>
        <w:t xml:space="preserve">number of </w:t>
      </w:r>
      <w:r w:rsidRPr="00CD0DE0">
        <w:rPr>
          <w:rFonts w:ascii="Times New Roman" w:hAnsi="Times New Roman" w:cs="Times New Roman"/>
          <w:sz w:val="24"/>
          <w:szCs w:val="24"/>
        </w:rPr>
        <w:t xml:space="preserve">women have been transitioning to secondary academic institutions of learning </w:t>
      </w:r>
      <w:r>
        <w:rPr>
          <w:rFonts w:ascii="Times New Roman" w:hAnsi="Times New Roman" w:cs="Times New Roman"/>
          <w:sz w:val="24"/>
          <w:szCs w:val="24"/>
        </w:rPr>
        <w:t xml:space="preserve">in comparison to their male counterparts </w:t>
      </w:r>
      <w:r w:rsidR="000378F3">
        <w:rPr>
          <w:rFonts w:ascii="Times New Roman" w:hAnsi="Times New Roman" w:cs="Times New Roman"/>
          <w:sz w:val="24"/>
          <w:szCs w:val="24"/>
        </w:rPr>
        <w:t>(see g</w:t>
      </w:r>
      <w:r w:rsidRPr="00CD0DE0">
        <w:rPr>
          <w:rFonts w:ascii="Times New Roman" w:hAnsi="Times New Roman" w:cs="Times New Roman"/>
          <w:sz w:val="24"/>
          <w:szCs w:val="24"/>
        </w:rPr>
        <w:t>raph</w:t>
      </w:r>
      <w:r w:rsidR="000378F3">
        <w:rPr>
          <w:rFonts w:ascii="Times New Roman" w:hAnsi="Times New Roman" w:cs="Times New Roman"/>
          <w:sz w:val="24"/>
          <w:szCs w:val="24"/>
        </w:rPr>
        <w:t xml:space="preserve"> </w:t>
      </w:r>
      <w:r>
        <w:rPr>
          <w:rFonts w:ascii="Times New Roman" w:hAnsi="Times New Roman" w:cs="Times New Roman"/>
          <w:sz w:val="24"/>
          <w:szCs w:val="24"/>
        </w:rPr>
        <w:t>2</w:t>
      </w:r>
      <w:r w:rsidRPr="00CD0DE0">
        <w:rPr>
          <w:rFonts w:ascii="Times New Roman" w:hAnsi="Times New Roman" w:cs="Times New Roman"/>
          <w:sz w:val="24"/>
          <w:szCs w:val="24"/>
        </w:rPr>
        <w:t>)</w:t>
      </w:r>
      <w:r>
        <w:rPr>
          <w:rFonts w:ascii="Times New Roman" w:hAnsi="Times New Roman" w:cs="Times New Roman"/>
          <w:sz w:val="24"/>
          <w:szCs w:val="24"/>
        </w:rPr>
        <w:t>.</w:t>
      </w:r>
      <w:r w:rsidRPr="00CD0DE0">
        <w:rPr>
          <w:rFonts w:ascii="Times New Roman" w:hAnsi="Times New Roman" w:cs="Times New Roman"/>
          <w:sz w:val="24"/>
          <w:szCs w:val="24"/>
        </w:rPr>
        <w:t xml:space="preserve"> In 2013-2014, average transition rates in general education from primary to secondary school in sub-Saharan Africa reached 68.97 percent for males and 69 percent for females</w:t>
      </w:r>
      <w:r w:rsidRPr="00CD0DE0">
        <w:rPr>
          <w:rStyle w:val="FootnoteReference"/>
          <w:rFonts w:ascii="Times New Roman" w:hAnsi="Times New Roman" w:cs="Times New Roman"/>
          <w:sz w:val="24"/>
          <w:szCs w:val="24"/>
        </w:rPr>
        <w:footnoteReference w:id="32"/>
      </w:r>
      <w:r w:rsidRPr="00CD0DE0">
        <w:rPr>
          <w:rFonts w:ascii="Times New Roman" w:hAnsi="Times New Roman" w:cs="Times New Roman"/>
          <w:sz w:val="24"/>
          <w:szCs w:val="24"/>
        </w:rPr>
        <w:t>.</w:t>
      </w:r>
      <w:r w:rsidR="0039337A">
        <w:rPr>
          <w:rFonts w:ascii="Times New Roman" w:hAnsi="Times New Roman" w:cs="Times New Roman"/>
          <w:sz w:val="24"/>
          <w:szCs w:val="24"/>
        </w:rPr>
        <w:t xml:space="preserve"> </w:t>
      </w:r>
      <w:r w:rsidR="00EB56BB" w:rsidRPr="00CD0DE0">
        <w:rPr>
          <w:rFonts w:ascii="Times New Roman" w:hAnsi="Times New Roman" w:cs="Times New Roman"/>
          <w:sz w:val="24"/>
          <w:szCs w:val="24"/>
        </w:rPr>
        <w:t xml:space="preserve">In light of noticeable increases in elementary female enrollment </w:t>
      </w:r>
      <w:r w:rsidR="001A68A7">
        <w:rPr>
          <w:rFonts w:ascii="Times New Roman" w:hAnsi="Times New Roman" w:cs="Times New Roman"/>
          <w:sz w:val="24"/>
          <w:szCs w:val="24"/>
        </w:rPr>
        <w:t xml:space="preserve">and completion rates in these </w:t>
      </w:r>
      <w:r w:rsidR="00EB56BB" w:rsidRPr="00CD0DE0">
        <w:rPr>
          <w:rFonts w:ascii="Times New Roman" w:hAnsi="Times New Roman" w:cs="Times New Roman"/>
          <w:sz w:val="24"/>
          <w:szCs w:val="24"/>
        </w:rPr>
        <w:t xml:space="preserve">countries, one might get the impression that at least through formal education the growing talent pool of educated women might inevitably </w:t>
      </w:r>
      <w:r w:rsidR="0095226E">
        <w:rPr>
          <w:rFonts w:ascii="Times New Roman" w:hAnsi="Times New Roman" w:cs="Times New Roman"/>
          <w:sz w:val="24"/>
          <w:szCs w:val="24"/>
        </w:rPr>
        <w:t>translate in</w:t>
      </w:r>
      <w:r w:rsidR="00EB56BB" w:rsidRPr="00CD0DE0">
        <w:rPr>
          <w:rFonts w:ascii="Times New Roman" w:hAnsi="Times New Roman" w:cs="Times New Roman"/>
          <w:sz w:val="24"/>
          <w:szCs w:val="24"/>
        </w:rPr>
        <w:t xml:space="preserve">to more women assuming senior leadership </w:t>
      </w:r>
      <w:r w:rsidR="00D46047">
        <w:rPr>
          <w:rFonts w:ascii="Times New Roman" w:hAnsi="Times New Roman" w:cs="Times New Roman"/>
          <w:sz w:val="24"/>
          <w:szCs w:val="24"/>
        </w:rPr>
        <w:t>roles</w:t>
      </w:r>
      <w:r w:rsidR="00EB56BB" w:rsidRPr="00CD0DE0">
        <w:rPr>
          <w:rFonts w:ascii="Times New Roman" w:hAnsi="Times New Roman" w:cs="Times New Roman"/>
          <w:sz w:val="24"/>
          <w:szCs w:val="24"/>
        </w:rPr>
        <w:t xml:space="preserve"> in Africa’s growing private sector. </w:t>
      </w:r>
      <w:r w:rsidR="00DC0E5E">
        <w:rPr>
          <w:rFonts w:ascii="Times New Roman" w:hAnsi="Times New Roman" w:cs="Times New Roman"/>
          <w:sz w:val="24"/>
          <w:szCs w:val="24"/>
        </w:rPr>
        <w:t xml:space="preserve"> </w:t>
      </w:r>
    </w:p>
    <w:p w:rsidR="00AF56F7" w:rsidRDefault="00AF56F7" w:rsidP="00EB56BB">
      <w:pPr>
        <w:rPr>
          <w:rFonts w:ascii="Times New Roman" w:hAnsi="Times New Roman" w:cs="Times New Roman"/>
          <w:sz w:val="24"/>
          <w:szCs w:val="24"/>
        </w:rPr>
      </w:pPr>
    </w:p>
    <w:p w:rsidR="002F4921" w:rsidRDefault="00DC0E5E" w:rsidP="00EB56BB">
      <w:pPr>
        <w:rPr>
          <w:rFonts w:ascii="Times New Roman" w:hAnsi="Times New Roman" w:cs="Times New Roman"/>
          <w:sz w:val="24"/>
          <w:szCs w:val="24"/>
        </w:rPr>
      </w:pPr>
      <w:r w:rsidRPr="00CD0DE0">
        <w:rPr>
          <w:rFonts w:ascii="Times New Roman" w:hAnsi="Times New Roman" w:cs="Times New Roman"/>
          <w:b/>
          <w:sz w:val="24"/>
          <w:szCs w:val="24"/>
        </w:rPr>
        <w:lastRenderedPageBreak/>
        <w:t xml:space="preserve">Graph </w:t>
      </w:r>
      <w:r w:rsidR="000378F3">
        <w:rPr>
          <w:rFonts w:ascii="Times New Roman" w:hAnsi="Times New Roman" w:cs="Times New Roman"/>
          <w:b/>
          <w:sz w:val="24"/>
          <w:szCs w:val="24"/>
        </w:rPr>
        <w:t>2</w:t>
      </w:r>
      <w:r w:rsidRPr="00CD0DE0">
        <w:rPr>
          <w:rFonts w:ascii="Times New Roman" w:hAnsi="Times New Roman" w:cs="Times New Roman"/>
          <w:b/>
          <w:sz w:val="24"/>
          <w:szCs w:val="24"/>
        </w:rPr>
        <w:t>: Transition rates (%) from Primary to Secondary, General Education (2013-2014)</w:t>
      </w:r>
      <w:r w:rsidRPr="00CD0DE0">
        <w:rPr>
          <w:rStyle w:val="FootnoteReference"/>
          <w:rFonts w:ascii="Times New Roman" w:hAnsi="Times New Roman" w:cs="Times New Roman"/>
          <w:b/>
          <w:sz w:val="24"/>
          <w:szCs w:val="24"/>
        </w:rPr>
        <w:footnoteReference w:id="33"/>
      </w:r>
      <w:r w:rsidRPr="00CD0DE0">
        <w:rPr>
          <w:rFonts w:ascii="Times New Roman" w:hAnsi="Times New Roman" w:cs="Times New Roman"/>
          <w:b/>
          <w:sz w:val="24"/>
          <w:szCs w:val="24"/>
        </w:rPr>
        <w:t xml:space="preserve"> </w:t>
      </w:r>
      <w:r w:rsidRPr="00CD0DE0">
        <w:rPr>
          <w:rFonts w:ascii="Times New Roman" w:hAnsi="Times New Roman" w:cs="Times New Roman"/>
          <w:noProof/>
          <w:sz w:val="24"/>
          <w:szCs w:val="24"/>
        </w:rPr>
        <w:drawing>
          <wp:inline distT="0" distB="0" distL="0" distR="0" wp14:anchorId="177434B8" wp14:editId="60173CE6">
            <wp:extent cx="5861586" cy="2481943"/>
            <wp:effectExtent l="19050" t="0" r="24864"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4921" w:rsidRDefault="002F4921" w:rsidP="00EB56BB">
      <w:pPr>
        <w:rPr>
          <w:rFonts w:ascii="Times New Roman" w:hAnsi="Times New Roman" w:cs="Times New Roman"/>
          <w:sz w:val="24"/>
          <w:szCs w:val="24"/>
        </w:rPr>
      </w:pPr>
    </w:p>
    <w:p w:rsidR="004E44D7" w:rsidRDefault="00127AB8" w:rsidP="00EB56BB">
      <w:pPr>
        <w:rPr>
          <w:rFonts w:ascii="Times New Roman" w:hAnsi="Times New Roman" w:cs="Times New Roman"/>
          <w:color w:val="FF0000"/>
          <w:sz w:val="24"/>
          <w:szCs w:val="24"/>
        </w:rPr>
      </w:pPr>
      <w:r>
        <w:rPr>
          <w:rFonts w:ascii="Times New Roman" w:hAnsi="Times New Roman" w:cs="Times New Roman"/>
          <w:sz w:val="24"/>
          <w:szCs w:val="24"/>
        </w:rPr>
        <w:t>Yet, g</w:t>
      </w:r>
      <w:r w:rsidR="00DC0E5E" w:rsidRPr="00CD0DE0">
        <w:rPr>
          <w:rFonts w:ascii="Times New Roman" w:hAnsi="Times New Roman" w:cs="Times New Roman"/>
          <w:sz w:val="24"/>
          <w:szCs w:val="24"/>
        </w:rPr>
        <w:t>ender</w:t>
      </w:r>
      <w:r w:rsidR="00EB56BB" w:rsidRPr="00CD0DE0">
        <w:rPr>
          <w:rFonts w:ascii="Times New Roman" w:hAnsi="Times New Roman" w:cs="Times New Roman"/>
          <w:sz w:val="24"/>
          <w:szCs w:val="24"/>
        </w:rPr>
        <w:t xml:space="preserve"> disparities and particularly women’s unequal access to senior management levels in the corporate world persist for various reasons, including </w:t>
      </w:r>
      <w:r w:rsidR="0081552C" w:rsidRPr="004E44D7">
        <w:rPr>
          <w:rFonts w:ascii="Times New Roman" w:hAnsi="Times New Roman" w:cs="Times New Roman"/>
          <w:sz w:val="24"/>
          <w:szCs w:val="24"/>
        </w:rPr>
        <w:t>gender stereotypes</w:t>
      </w:r>
      <w:r w:rsidR="00603530" w:rsidRPr="004E44D7">
        <w:rPr>
          <w:rFonts w:ascii="Times New Roman" w:hAnsi="Times New Roman" w:cs="Times New Roman"/>
          <w:sz w:val="24"/>
          <w:szCs w:val="24"/>
        </w:rPr>
        <w:t>.</w:t>
      </w:r>
      <w:r w:rsidR="00603530">
        <w:rPr>
          <w:rFonts w:ascii="Times New Roman" w:hAnsi="Times New Roman" w:cs="Times New Roman"/>
          <w:sz w:val="24"/>
          <w:szCs w:val="24"/>
        </w:rPr>
        <w:t xml:space="preserve"> </w:t>
      </w:r>
      <w:r w:rsidR="00305C3D" w:rsidRPr="004A65B0">
        <w:rPr>
          <w:rFonts w:ascii="Times New Roman" w:hAnsi="Times New Roman" w:cs="Times New Roman"/>
          <w:color w:val="000000" w:themeColor="text1"/>
          <w:sz w:val="24"/>
          <w:szCs w:val="24"/>
        </w:rPr>
        <w:t xml:space="preserve">Among </w:t>
      </w:r>
      <w:r w:rsidR="00417475">
        <w:rPr>
          <w:rFonts w:ascii="Times New Roman" w:hAnsi="Times New Roman" w:cs="Times New Roman"/>
          <w:color w:val="000000" w:themeColor="text1"/>
          <w:sz w:val="24"/>
          <w:szCs w:val="24"/>
        </w:rPr>
        <w:t>recent</w:t>
      </w:r>
      <w:r w:rsidR="00305C3D" w:rsidRPr="004A65B0">
        <w:rPr>
          <w:rFonts w:ascii="Times New Roman" w:hAnsi="Times New Roman" w:cs="Times New Roman"/>
          <w:color w:val="000000" w:themeColor="text1"/>
          <w:sz w:val="24"/>
          <w:szCs w:val="24"/>
        </w:rPr>
        <w:t xml:space="preserve"> studies on gender diversity in the workplace one indicates that sexism takes two main forms in the work environment </w:t>
      </w:r>
      <w:r w:rsidR="004A65B0" w:rsidRPr="004A65B0">
        <w:rPr>
          <w:rFonts w:ascii="Times New Roman" w:hAnsi="Times New Roman" w:cs="Times New Roman"/>
          <w:color w:val="000000" w:themeColor="text1"/>
          <w:sz w:val="24"/>
          <w:szCs w:val="24"/>
        </w:rPr>
        <w:t>that</w:t>
      </w:r>
      <w:r w:rsidR="00305C3D" w:rsidRPr="004A65B0">
        <w:rPr>
          <w:rFonts w:ascii="Times New Roman" w:hAnsi="Times New Roman" w:cs="Times New Roman"/>
          <w:color w:val="000000" w:themeColor="text1"/>
          <w:sz w:val="24"/>
          <w:szCs w:val="24"/>
        </w:rPr>
        <w:t xml:space="preserve"> affect women: hostile sexism and benevolent sexism</w:t>
      </w:r>
      <w:r w:rsidR="00305C3D" w:rsidRPr="004A65B0">
        <w:rPr>
          <w:rStyle w:val="FootnoteReference"/>
          <w:rFonts w:ascii="Times New Roman" w:hAnsi="Times New Roman" w:cs="Times New Roman"/>
          <w:color w:val="000000" w:themeColor="text1"/>
          <w:sz w:val="24"/>
          <w:szCs w:val="24"/>
        </w:rPr>
        <w:footnoteReference w:id="34"/>
      </w:r>
      <w:r w:rsidR="00305C3D" w:rsidRPr="004A65B0">
        <w:rPr>
          <w:rFonts w:ascii="Times New Roman" w:hAnsi="Times New Roman" w:cs="Times New Roman"/>
          <w:color w:val="000000" w:themeColor="text1"/>
          <w:sz w:val="24"/>
          <w:szCs w:val="24"/>
        </w:rPr>
        <w:t>. Whereas hostile sexism—feelings of antipathy and hostility toward women—marginalizes and denies women leadership positions regardless of their education and career achievements</w:t>
      </w:r>
      <w:r w:rsidR="004A65B0">
        <w:rPr>
          <w:rFonts w:ascii="Times New Roman" w:hAnsi="Times New Roman" w:cs="Times New Roman"/>
          <w:color w:val="000000" w:themeColor="text1"/>
          <w:sz w:val="24"/>
          <w:szCs w:val="24"/>
        </w:rPr>
        <w:t xml:space="preserve"> and experience</w:t>
      </w:r>
      <w:r w:rsidR="00305C3D" w:rsidRPr="004A65B0">
        <w:rPr>
          <w:rFonts w:ascii="Times New Roman" w:hAnsi="Times New Roman" w:cs="Times New Roman"/>
          <w:color w:val="000000" w:themeColor="text1"/>
          <w:sz w:val="24"/>
          <w:szCs w:val="24"/>
        </w:rPr>
        <w:t>, benevolent sexism—subjectively more positive and benevolent feelings toward women—justifies women’s lower position compared to men because it presumes women’s inferiority by believing that women need protection from men and cannot succeed without them.</w:t>
      </w:r>
      <w:r w:rsidR="00305C3D" w:rsidRPr="00305C3D">
        <w:rPr>
          <w:rFonts w:ascii="Times New Roman" w:hAnsi="Times New Roman" w:cs="Times New Roman"/>
          <w:color w:val="FF0000"/>
          <w:sz w:val="24"/>
          <w:szCs w:val="24"/>
        </w:rPr>
        <w:t xml:space="preserve"> </w:t>
      </w:r>
    </w:p>
    <w:p w:rsidR="004A65B0" w:rsidRDefault="004A65B0" w:rsidP="00EB56BB">
      <w:pPr>
        <w:rPr>
          <w:rFonts w:ascii="Times New Roman" w:hAnsi="Times New Roman" w:cs="Times New Roman"/>
          <w:sz w:val="24"/>
          <w:szCs w:val="24"/>
        </w:rPr>
      </w:pPr>
      <w:r w:rsidRPr="00CD0DE0">
        <w:rPr>
          <w:rFonts w:ascii="Times New Roman" w:hAnsi="Times New Roman" w:cs="Times New Roman"/>
          <w:sz w:val="24"/>
          <w:szCs w:val="24"/>
        </w:rPr>
        <w:t>The</w:t>
      </w:r>
      <w:r w:rsidR="0081552C" w:rsidRPr="00CD0DE0">
        <w:rPr>
          <w:rFonts w:ascii="Times New Roman" w:hAnsi="Times New Roman" w:cs="Times New Roman"/>
          <w:sz w:val="24"/>
          <w:szCs w:val="24"/>
        </w:rPr>
        <w:t xml:space="preserve"> research points to the fact that benevolent sexism is a benign form of sexism that can establish barriers to women leadership and career growth, just like the other more explicit </w:t>
      </w:r>
      <w:r>
        <w:rPr>
          <w:rFonts w:ascii="Times New Roman" w:hAnsi="Times New Roman" w:cs="Times New Roman"/>
          <w:sz w:val="24"/>
          <w:szCs w:val="24"/>
        </w:rPr>
        <w:t>and</w:t>
      </w:r>
      <w:r w:rsidR="004E44D7">
        <w:rPr>
          <w:rFonts w:ascii="Times New Roman" w:hAnsi="Times New Roman" w:cs="Times New Roman"/>
          <w:sz w:val="24"/>
          <w:szCs w:val="24"/>
        </w:rPr>
        <w:t xml:space="preserve"> hostile kind of sexism.</w:t>
      </w:r>
      <w:r w:rsidR="0081552C" w:rsidRPr="00CD0DE0">
        <w:rPr>
          <w:rFonts w:ascii="Times New Roman" w:hAnsi="Times New Roman" w:cs="Times New Roman"/>
          <w:sz w:val="24"/>
          <w:szCs w:val="24"/>
        </w:rPr>
        <w:t xml:space="preserve">While the duality of sexism is subject to further debate and reflection, it matters to only retain that sexism stands in the way of leadership-ready and </w:t>
      </w:r>
      <w:r w:rsidR="00726C18">
        <w:rPr>
          <w:rFonts w:ascii="Times New Roman" w:hAnsi="Times New Roman" w:cs="Times New Roman"/>
          <w:sz w:val="24"/>
          <w:szCs w:val="24"/>
        </w:rPr>
        <w:t>experienced</w:t>
      </w:r>
      <w:r w:rsidR="0081552C" w:rsidRPr="00CD0DE0">
        <w:rPr>
          <w:rFonts w:ascii="Times New Roman" w:hAnsi="Times New Roman" w:cs="Times New Roman"/>
          <w:sz w:val="24"/>
          <w:szCs w:val="24"/>
        </w:rPr>
        <w:t xml:space="preserve"> women who can make a difference in the private </w:t>
      </w:r>
      <w:r w:rsidR="001302BA">
        <w:rPr>
          <w:rFonts w:ascii="Times New Roman" w:hAnsi="Times New Roman" w:cs="Times New Roman"/>
          <w:sz w:val="24"/>
          <w:szCs w:val="24"/>
        </w:rPr>
        <w:t>sector and other vital economic areas</w:t>
      </w:r>
      <w:r w:rsidR="0081552C" w:rsidRPr="00CD0DE0">
        <w:rPr>
          <w:rFonts w:ascii="Times New Roman" w:hAnsi="Times New Roman" w:cs="Times New Roman"/>
          <w:sz w:val="24"/>
          <w:szCs w:val="24"/>
        </w:rPr>
        <w:t>.</w:t>
      </w:r>
      <w:r w:rsidR="00726C18" w:rsidRPr="00726C18">
        <w:rPr>
          <w:rFonts w:ascii="Times New Roman" w:hAnsi="Times New Roman" w:cs="Times New Roman"/>
          <w:sz w:val="24"/>
          <w:szCs w:val="24"/>
        </w:rPr>
        <w:t xml:space="preserve"> </w:t>
      </w:r>
      <w:r w:rsidR="00726C18">
        <w:rPr>
          <w:rFonts w:ascii="Times New Roman" w:hAnsi="Times New Roman" w:cs="Times New Roman"/>
          <w:sz w:val="24"/>
          <w:szCs w:val="24"/>
        </w:rPr>
        <w:t>Though</w:t>
      </w:r>
      <w:r w:rsidR="00726C18" w:rsidRPr="00CD0DE0">
        <w:rPr>
          <w:rFonts w:ascii="Times New Roman" w:hAnsi="Times New Roman" w:cs="Times New Roman"/>
          <w:sz w:val="24"/>
          <w:szCs w:val="24"/>
        </w:rPr>
        <w:t xml:space="preserve"> various measures and programs are being developed and tested to foster a </w:t>
      </w:r>
      <w:r w:rsidR="00726C18" w:rsidRPr="00DD5DDE">
        <w:rPr>
          <w:rFonts w:ascii="Times New Roman" w:hAnsi="Times New Roman" w:cs="Times New Roman"/>
          <w:sz w:val="24"/>
          <w:szCs w:val="24"/>
        </w:rPr>
        <w:t>culture of inclusion in board rooms in Africa and beyond, male obdurate attitude toward gender equality remains a serious  and yet very complex issue to diagnose and effectively address. This is despite well noted links between diversity and improvements in bu</w:t>
      </w:r>
      <w:r w:rsidR="00DD5DDE" w:rsidRPr="00DD5DDE">
        <w:rPr>
          <w:rFonts w:ascii="Times New Roman" w:hAnsi="Times New Roman" w:cs="Times New Roman"/>
          <w:sz w:val="24"/>
          <w:szCs w:val="24"/>
        </w:rPr>
        <w:t>siness and economic performance</w:t>
      </w:r>
      <w:r w:rsidR="00DD5DDE" w:rsidRPr="00CD0DE0">
        <w:rPr>
          <w:rStyle w:val="FootnoteReference"/>
          <w:rFonts w:ascii="Times New Roman" w:hAnsi="Times New Roman" w:cs="Times New Roman"/>
          <w:color w:val="333333"/>
          <w:sz w:val="24"/>
          <w:szCs w:val="24"/>
          <w:shd w:val="clear" w:color="auto" w:fill="FFFFFF"/>
        </w:rPr>
        <w:footnoteReference w:id="35"/>
      </w:r>
      <w:r w:rsidR="00DD5DDE" w:rsidRPr="00CD0DE0">
        <w:rPr>
          <w:rFonts w:ascii="Times New Roman" w:hAnsi="Times New Roman" w:cs="Times New Roman"/>
          <w:color w:val="333333"/>
          <w:sz w:val="24"/>
          <w:szCs w:val="24"/>
          <w:shd w:val="clear" w:color="auto" w:fill="FFFFFF"/>
        </w:rPr>
        <w:t>.</w:t>
      </w:r>
    </w:p>
    <w:p w:rsidR="007A054B" w:rsidRDefault="0081552C" w:rsidP="007A054B">
      <w:pPr>
        <w:autoSpaceDE w:val="0"/>
        <w:autoSpaceDN w:val="0"/>
        <w:adjustRightInd w:val="0"/>
        <w:spacing w:after="0" w:line="240" w:lineRule="auto"/>
        <w:rPr>
          <w:rFonts w:ascii="Times New Roman" w:hAnsi="Times New Roman" w:cs="Times New Roman"/>
          <w:color w:val="FF0000"/>
          <w:sz w:val="24"/>
          <w:szCs w:val="24"/>
          <w:shd w:val="clear" w:color="auto" w:fill="FFFFFF"/>
        </w:rPr>
      </w:pPr>
      <w:r w:rsidRPr="00CD0DE0">
        <w:rPr>
          <w:rFonts w:ascii="Times New Roman" w:hAnsi="Times New Roman" w:cs="Times New Roman"/>
          <w:sz w:val="24"/>
          <w:szCs w:val="24"/>
        </w:rPr>
        <w:lastRenderedPageBreak/>
        <w:t xml:space="preserve">Institutional frameworks and government policies </w:t>
      </w:r>
      <w:r w:rsidR="00726C18">
        <w:rPr>
          <w:rFonts w:ascii="Times New Roman" w:hAnsi="Times New Roman" w:cs="Times New Roman"/>
          <w:sz w:val="24"/>
          <w:szCs w:val="24"/>
        </w:rPr>
        <w:t>can a</w:t>
      </w:r>
      <w:r w:rsidRPr="00CD0DE0">
        <w:rPr>
          <w:rFonts w:ascii="Times New Roman" w:hAnsi="Times New Roman" w:cs="Times New Roman"/>
          <w:sz w:val="24"/>
          <w:szCs w:val="24"/>
        </w:rPr>
        <w:t>lso impact women</w:t>
      </w:r>
      <w:r w:rsidR="00726C18">
        <w:rPr>
          <w:rFonts w:ascii="Times New Roman" w:hAnsi="Times New Roman" w:cs="Times New Roman"/>
          <w:sz w:val="24"/>
          <w:szCs w:val="24"/>
        </w:rPr>
        <w:t>’s</w:t>
      </w:r>
      <w:r w:rsidRPr="00CD0DE0">
        <w:rPr>
          <w:rFonts w:ascii="Times New Roman" w:hAnsi="Times New Roman" w:cs="Times New Roman"/>
          <w:sz w:val="24"/>
          <w:szCs w:val="24"/>
        </w:rPr>
        <w:t xml:space="preserve"> career and </w:t>
      </w:r>
      <w:r w:rsidR="00726C18">
        <w:rPr>
          <w:rFonts w:ascii="Times New Roman" w:hAnsi="Times New Roman" w:cs="Times New Roman"/>
          <w:sz w:val="24"/>
          <w:szCs w:val="24"/>
        </w:rPr>
        <w:t>leadership</w:t>
      </w:r>
      <w:r w:rsidRPr="00CD0DE0">
        <w:rPr>
          <w:rFonts w:ascii="Times New Roman" w:hAnsi="Times New Roman" w:cs="Times New Roman"/>
          <w:sz w:val="24"/>
          <w:szCs w:val="24"/>
        </w:rPr>
        <w:t xml:space="preserve"> opportunities</w:t>
      </w:r>
      <w:r w:rsidRPr="00FA1E2B">
        <w:rPr>
          <w:rFonts w:ascii="Times New Roman" w:hAnsi="Times New Roman" w:cs="Times New Roman"/>
          <w:color w:val="000000" w:themeColor="text1"/>
          <w:sz w:val="24"/>
          <w:szCs w:val="24"/>
        </w:rPr>
        <w:t>.</w:t>
      </w:r>
      <w:r w:rsidR="00FA7230" w:rsidRPr="00FA1E2B">
        <w:rPr>
          <w:rFonts w:ascii="Times New Roman" w:hAnsi="Times New Roman" w:cs="Times New Roman"/>
          <w:color w:val="000000" w:themeColor="text1"/>
          <w:sz w:val="24"/>
          <w:szCs w:val="24"/>
        </w:rPr>
        <w:t xml:space="preserve"> </w:t>
      </w:r>
      <w:r w:rsidR="00FA1E2B" w:rsidRPr="00FA1E2B">
        <w:rPr>
          <w:rFonts w:ascii="Times New Roman" w:hAnsi="Times New Roman" w:cs="Times New Roman"/>
          <w:color w:val="000000" w:themeColor="text1"/>
          <w:sz w:val="24"/>
          <w:szCs w:val="24"/>
          <w:shd w:val="clear" w:color="auto" w:fill="FFFFFF"/>
        </w:rPr>
        <w:t xml:space="preserve">A recent survey released by the World Bank Group indicates: in about 20 percent of sub-Saharan states (including Cameroon, DRC, Mauritania and </w:t>
      </w:r>
      <w:r w:rsidR="008C60EC">
        <w:rPr>
          <w:rFonts w:ascii="Times New Roman" w:hAnsi="Times New Roman" w:cs="Times New Roman"/>
          <w:color w:val="000000" w:themeColor="text1"/>
          <w:sz w:val="24"/>
          <w:szCs w:val="24"/>
          <w:shd w:val="clear" w:color="auto" w:fill="FFFFFF"/>
        </w:rPr>
        <w:t>Niger) a married woman can</w:t>
      </w:r>
      <w:r w:rsidR="00FA1E2B" w:rsidRPr="00FA1E2B">
        <w:rPr>
          <w:rFonts w:ascii="Times New Roman" w:hAnsi="Times New Roman" w:cs="Times New Roman"/>
          <w:color w:val="000000" w:themeColor="text1"/>
          <w:sz w:val="24"/>
          <w:szCs w:val="24"/>
          <w:shd w:val="clear" w:color="auto" w:fill="FFFFFF"/>
        </w:rPr>
        <w:t>not pursue a trade, profession or job in the same way as a man; in approximately 23 percent of African countries (including Botswana, Uganda, Egypt, and Benin) a married woman cannot apply for a passport in the same way as a man; and in an estimated 28 percent of African countries, among those surveyed in 2014, customary law is a valid source of law—even if it violates constitutional provisions on non-discrimination or equality</w:t>
      </w:r>
      <w:r w:rsidR="00FA1E2B" w:rsidRPr="00FA1E2B">
        <w:rPr>
          <w:rStyle w:val="FootnoteReference"/>
          <w:rFonts w:ascii="Times New Roman" w:hAnsi="Times New Roman" w:cs="Times New Roman"/>
          <w:color w:val="000000" w:themeColor="text1"/>
          <w:sz w:val="24"/>
          <w:szCs w:val="24"/>
          <w:shd w:val="clear" w:color="auto" w:fill="FFFFFF"/>
        </w:rPr>
        <w:footnoteReference w:id="36"/>
      </w:r>
      <w:r w:rsidR="00FA1E2B" w:rsidRPr="00FA1E2B">
        <w:rPr>
          <w:rFonts w:ascii="Times New Roman" w:hAnsi="Times New Roman" w:cs="Times New Roman"/>
          <w:color w:val="000000" w:themeColor="text1"/>
          <w:sz w:val="24"/>
          <w:szCs w:val="24"/>
          <w:shd w:val="clear" w:color="auto" w:fill="FFFFFF"/>
        </w:rPr>
        <w:t xml:space="preserve">. </w:t>
      </w:r>
      <w:r w:rsidR="001679CD">
        <w:rPr>
          <w:rFonts w:ascii="Times New Roman" w:hAnsi="Times New Roman" w:cs="Times New Roman"/>
          <w:color w:val="000000" w:themeColor="text1"/>
          <w:sz w:val="24"/>
          <w:szCs w:val="24"/>
          <w:shd w:val="clear" w:color="auto" w:fill="FFFFFF"/>
        </w:rPr>
        <w:t>In some countries women also decry the nonexistence and in many cases the non-implementation of harassment laws</w:t>
      </w:r>
      <w:r w:rsidR="00DE6B30" w:rsidRPr="00CD0DE0">
        <w:rPr>
          <w:rStyle w:val="FootnoteReference"/>
          <w:rFonts w:ascii="Times New Roman" w:hAnsi="Times New Roman" w:cs="Times New Roman"/>
          <w:color w:val="333333"/>
          <w:sz w:val="24"/>
          <w:szCs w:val="24"/>
          <w:shd w:val="clear" w:color="auto" w:fill="FFFFFF"/>
        </w:rPr>
        <w:footnoteReference w:id="37"/>
      </w:r>
      <w:r w:rsidR="00DE6B30" w:rsidRPr="00CD0DE0">
        <w:rPr>
          <w:rFonts w:ascii="Times New Roman" w:hAnsi="Times New Roman" w:cs="Times New Roman"/>
          <w:color w:val="333333"/>
          <w:sz w:val="24"/>
          <w:szCs w:val="24"/>
          <w:shd w:val="clear" w:color="auto" w:fill="FFFFFF"/>
        </w:rPr>
        <w:t>.</w:t>
      </w:r>
      <w:r w:rsidR="001679CD">
        <w:rPr>
          <w:rFonts w:ascii="Times New Roman" w:hAnsi="Times New Roman" w:cs="Times New Roman"/>
          <w:color w:val="000000" w:themeColor="text1"/>
          <w:sz w:val="24"/>
          <w:szCs w:val="24"/>
          <w:shd w:val="clear" w:color="auto" w:fill="FFFFFF"/>
        </w:rPr>
        <w:t xml:space="preserve"> </w:t>
      </w:r>
      <w:r w:rsidR="00FA1E2B" w:rsidRPr="00FA1E2B">
        <w:rPr>
          <w:rFonts w:ascii="Times New Roman" w:hAnsi="Times New Roman" w:cs="Times New Roman"/>
          <w:color w:val="000000" w:themeColor="text1"/>
          <w:sz w:val="24"/>
          <w:szCs w:val="24"/>
          <w:shd w:val="clear" w:color="auto" w:fill="FFFFFF"/>
        </w:rPr>
        <w:t>These are just a few examples to illustrate some of the ways in which institutional roadblocks undermine women empowerment initiatives</w:t>
      </w:r>
      <w:r w:rsidR="003407E2">
        <w:rPr>
          <w:rFonts w:ascii="Times New Roman" w:hAnsi="Times New Roman" w:cs="Times New Roman"/>
          <w:color w:val="000000" w:themeColor="text1"/>
          <w:sz w:val="24"/>
          <w:szCs w:val="24"/>
          <w:shd w:val="clear" w:color="auto" w:fill="FFFFFF"/>
        </w:rPr>
        <w:t xml:space="preserve"> in private organizations and societies at large</w:t>
      </w:r>
      <w:r w:rsidR="00FA1E2B" w:rsidRPr="00FA1E2B">
        <w:rPr>
          <w:rFonts w:ascii="Times New Roman" w:hAnsi="Times New Roman" w:cs="Times New Roman"/>
          <w:color w:val="000000" w:themeColor="text1"/>
          <w:sz w:val="24"/>
          <w:szCs w:val="24"/>
          <w:shd w:val="clear" w:color="auto" w:fill="FFFFFF"/>
        </w:rPr>
        <w:t>.</w:t>
      </w:r>
      <w:r w:rsidR="00FA1E2B" w:rsidRPr="007025F5">
        <w:rPr>
          <w:rFonts w:ascii="Times New Roman" w:hAnsi="Times New Roman" w:cs="Times New Roman"/>
          <w:color w:val="FF0000"/>
          <w:sz w:val="24"/>
          <w:szCs w:val="24"/>
          <w:shd w:val="clear" w:color="auto" w:fill="FFFFFF"/>
        </w:rPr>
        <w:t xml:space="preserve"> </w:t>
      </w:r>
      <w:r w:rsidR="007A054B">
        <w:rPr>
          <w:rFonts w:ascii="Times New Roman" w:hAnsi="Times New Roman" w:cs="Times New Roman"/>
          <w:color w:val="FF0000"/>
          <w:sz w:val="24"/>
          <w:szCs w:val="24"/>
          <w:shd w:val="clear" w:color="auto" w:fill="FFFFFF"/>
        </w:rPr>
        <w:t xml:space="preserve"> </w:t>
      </w:r>
    </w:p>
    <w:p w:rsidR="007A054B" w:rsidRDefault="007A054B" w:rsidP="007A054B">
      <w:pPr>
        <w:autoSpaceDE w:val="0"/>
        <w:autoSpaceDN w:val="0"/>
        <w:adjustRightInd w:val="0"/>
        <w:spacing w:after="0" w:line="240" w:lineRule="auto"/>
        <w:rPr>
          <w:rFonts w:ascii="Times New Roman" w:hAnsi="Times New Roman" w:cs="Times New Roman"/>
          <w:color w:val="FF0000"/>
          <w:sz w:val="24"/>
          <w:szCs w:val="24"/>
          <w:shd w:val="clear" w:color="auto" w:fill="FFFFFF"/>
        </w:rPr>
      </w:pPr>
    </w:p>
    <w:p w:rsidR="001F0016" w:rsidRDefault="00AF4640" w:rsidP="00AF4640">
      <w:pPr>
        <w:pStyle w:val="ListParagraph"/>
        <w:numPr>
          <w:ilvl w:val="0"/>
          <w:numId w:val="14"/>
        </w:numPr>
        <w:autoSpaceDE w:val="0"/>
        <w:autoSpaceDN w:val="0"/>
        <w:adjustRightInd w:val="0"/>
        <w:spacing w:after="0" w:line="240" w:lineRule="auto"/>
        <w:rPr>
          <w:rFonts w:ascii="Times New Roman" w:hAnsi="Times New Roman" w:cs="Times New Roman"/>
          <w:b/>
          <w:i/>
          <w:color w:val="333333"/>
          <w:sz w:val="24"/>
          <w:szCs w:val="24"/>
          <w:shd w:val="clear" w:color="auto" w:fill="FFFFFF"/>
        </w:rPr>
      </w:pPr>
      <w:r w:rsidRPr="00AF4640">
        <w:rPr>
          <w:rFonts w:ascii="Times New Roman" w:hAnsi="Times New Roman" w:cs="Times New Roman"/>
          <w:b/>
          <w:i/>
          <w:color w:val="333333"/>
          <w:sz w:val="24"/>
          <w:szCs w:val="24"/>
          <w:shd w:val="clear" w:color="auto" w:fill="FFFFFF"/>
        </w:rPr>
        <w:t xml:space="preserve">Stakeholder Analysis </w:t>
      </w:r>
    </w:p>
    <w:p w:rsidR="00AF4640" w:rsidRPr="00AF4640" w:rsidRDefault="00AF4640" w:rsidP="00AF4640">
      <w:pPr>
        <w:pStyle w:val="ListParagraph"/>
        <w:autoSpaceDE w:val="0"/>
        <w:autoSpaceDN w:val="0"/>
        <w:adjustRightInd w:val="0"/>
        <w:spacing w:after="0" w:line="240" w:lineRule="auto"/>
        <w:ind w:left="787"/>
        <w:rPr>
          <w:rFonts w:ascii="Times New Roman" w:hAnsi="Times New Roman" w:cs="Times New Roman"/>
          <w:b/>
          <w:i/>
          <w:color w:val="333333"/>
          <w:sz w:val="24"/>
          <w:szCs w:val="24"/>
          <w:shd w:val="clear" w:color="auto" w:fill="FFFFFF"/>
        </w:rPr>
      </w:pPr>
    </w:p>
    <w:tbl>
      <w:tblPr>
        <w:tblStyle w:val="TableGrid"/>
        <w:tblW w:w="9625" w:type="dxa"/>
        <w:tblLook w:val="04A0" w:firstRow="1" w:lastRow="0" w:firstColumn="1" w:lastColumn="0" w:noHBand="0" w:noVBand="1"/>
      </w:tblPr>
      <w:tblGrid>
        <w:gridCol w:w="2875"/>
        <w:gridCol w:w="4230"/>
        <w:gridCol w:w="947"/>
        <w:gridCol w:w="1573"/>
      </w:tblGrid>
      <w:tr w:rsidR="002A21FE" w:rsidRPr="00087D1A" w:rsidTr="00B71F98">
        <w:tc>
          <w:tcPr>
            <w:tcW w:w="2875" w:type="dxa"/>
            <w:shd w:val="clear" w:color="auto" w:fill="EDEDED" w:themeFill="accent3" w:themeFillTint="33"/>
          </w:tcPr>
          <w:p w:rsidR="002A21FE" w:rsidRPr="00087D1A" w:rsidRDefault="002A21FE" w:rsidP="00B71F98">
            <w:pPr>
              <w:rPr>
                <w:b/>
                <w:sz w:val="18"/>
                <w:szCs w:val="18"/>
              </w:rPr>
            </w:pPr>
            <w:r w:rsidRPr="00087D1A">
              <w:rPr>
                <w:b/>
                <w:sz w:val="18"/>
                <w:szCs w:val="18"/>
              </w:rPr>
              <w:t>Stakeholder</w:t>
            </w:r>
            <w:r>
              <w:rPr>
                <w:b/>
                <w:sz w:val="18"/>
                <w:szCs w:val="18"/>
              </w:rPr>
              <w:t>s</w:t>
            </w:r>
          </w:p>
        </w:tc>
        <w:tc>
          <w:tcPr>
            <w:tcW w:w="4230" w:type="dxa"/>
            <w:shd w:val="clear" w:color="auto" w:fill="EDEDED" w:themeFill="accent3" w:themeFillTint="33"/>
          </w:tcPr>
          <w:p w:rsidR="002A21FE" w:rsidRPr="00081EB2" w:rsidRDefault="002A21FE" w:rsidP="00081EB2">
            <w:pPr>
              <w:rPr>
                <w:b/>
                <w:sz w:val="18"/>
                <w:szCs w:val="18"/>
              </w:rPr>
            </w:pPr>
            <w:r w:rsidRPr="00081EB2">
              <w:rPr>
                <w:b/>
                <w:sz w:val="18"/>
                <w:szCs w:val="18"/>
              </w:rPr>
              <w:t xml:space="preserve">Interest in reducing </w:t>
            </w:r>
            <w:r w:rsidR="00081EB2">
              <w:rPr>
                <w:b/>
                <w:sz w:val="18"/>
                <w:szCs w:val="18"/>
              </w:rPr>
              <w:t xml:space="preserve">gender </w:t>
            </w:r>
            <w:r w:rsidR="00A7265E">
              <w:rPr>
                <w:b/>
                <w:sz w:val="18"/>
                <w:szCs w:val="18"/>
              </w:rPr>
              <w:t xml:space="preserve">discrimination and gender </w:t>
            </w:r>
            <w:r w:rsidR="00081EB2">
              <w:rPr>
                <w:b/>
                <w:sz w:val="18"/>
                <w:szCs w:val="18"/>
              </w:rPr>
              <w:t xml:space="preserve">gap in leadership and participation in public and private institutions </w:t>
            </w:r>
          </w:p>
        </w:tc>
        <w:tc>
          <w:tcPr>
            <w:tcW w:w="947" w:type="dxa"/>
            <w:shd w:val="clear" w:color="auto" w:fill="EDEDED" w:themeFill="accent3" w:themeFillTint="33"/>
          </w:tcPr>
          <w:p w:rsidR="002A21FE" w:rsidRPr="00087D1A" w:rsidRDefault="002A21FE" w:rsidP="00B71F98">
            <w:pPr>
              <w:rPr>
                <w:b/>
                <w:sz w:val="18"/>
                <w:szCs w:val="18"/>
              </w:rPr>
            </w:pPr>
            <w:r w:rsidRPr="00087D1A">
              <w:rPr>
                <w:b/>
                <w:sz w:val="18"/>
                <w:szCs w:val="18"/>
              </w:rPr>
              <w:t>Potential Impact</w:t>
            </w:r>
            <w:r>
              <w:rPr>
                <w:b/>
                <w:sz w:val="18"/>
                <w:szCs w:val="18"/>
              </w:rPr>
              <w:t xml:space="preserve"> (+ve/-ve)</w:t>
            </w:r>
          </w:p>
        </w:tc>
        <w:tc>
          <w:tcPr>
            <w:tcW w:w="1573" w:type="dxa"/>
            <w:shd w:val="clear" w:color="auto" w:fill="EDEDED" w:themeFill="accent3" w:themeFillTint="33"/>
          </w:tcPr>
          <w:p w:rsidR="002A21FE" w:rsidRDefault="002A21FE" w:rsidP="00B71F98">
            <w:pPr>
              <w:rPr>
                <w:b/>
                <w:sz w:val="18"/>
                <w:szCs w:val="18"/>
              </w:rPr>
            </w:pPr>
            <w:r w:rsidRPr="00087D1A">
              <w:rPr>
                <w:b/>
                <w:sz w:val="18"/>
                <w:szCs w:val="18"/>
              </w:rPr>
              <w:t xml:space="preserve">Influence </w:t>
            </w:r>
          </w:p>
          <w:p w:rsidR="002A21FE" w:rsidRPr="00087D1A" w:rsidRDefault="002A21FE" w:rsidP="00B71F98">
            <w:pPr>
              <w:rPr>
                <w:b/>
                <w:sz w:val="18"/>
                <w:szCs w:val="18"/>
              </w:rPr>
            </w:pPr>
            <w:r w:rsidRPr="00087D1A">
              <w:rPr>
                <w:b/>
                <w:sz w:val="18"/>
                <w:szCs w:val="18"/>
              </w:rPr>
              <w:t>(power to facilitate/impede)</w:t>
            </w:r>
          </w:p>
        </w:tc>
      </w:tr>
      <w:tr w:rsidR="002A21FE" w:rsidTr="00664ACF">
        <w:tc>
          <w:tcPr>
            <w:tcW w:w="2875" w:type="dxa"/>
            <w:shd w:val="clear" w:color="auto" w:fill="00B0F0"/>
          </w:tcPr>
          <w:p w:rsidR="002A21FE" w:rsidRPr="00AE2ECB" w:rsidRDefault="002A21FE" w:rsidP="00B71F98">
            <w:pPr>
              <w:rPr>
                <w:b/>
                <w:sz w:val="18"/>
                <w:szCs w:val="18"/>
              </w:rPr>
            </w:pPr>
            <w:r w:rsidRPr="00AE2ECB">
              <w:rPr>
                <w:b/>
                <w:sz w:val="18"/>
                <w:szCs w:val="18"/>
              </w:rPr>
              <w:t>Primary</w:t>
            </w:r>
          </w:p>
        </w:tc>
        <w:tc>
          <w:tcPr>
            <w:tcW w:w="4230" w:type="dxa"/>
            <w:shd w:val="clear" w:color="auto" w:fill="00B0F0"/>
          </w:tcPr>
          <w:p w:rsidR="002A21FE" w:rsidRPr="00087D1A" w:rsidRDefault="002A21FE" w:rsidP="00B71F98">
            <w:pPr>
              <w:rPr>
                <w:sz w:val="18"/>
                <w:szCs w:val="18"/>
              </w:rPr>
            </w:pPr>
          </w:p>
        </w:tc>
        <w:tc>
          <w:tcPr>
            <w:tcW w:w="947" w:type="dxa"/>
            <w:shd w:val="clear" w:color="auto" w:fill="00B0F0"/>
          </w:tcPr>
          <w:p w:rsidR="002A21FE" w:rsidRPr="00087D1A" w:rsidRDefault="002A21FE" w:rsidP="00B71F98">
            <w:pPr>
              <w:rPr>
                <w:sz w:val="18"/>
                <w:szCs w:val="18"/>
              </w:rPr>
            </w:pPr>
          </w:p>
        </w:tc>
        <w:tc>
          <w:tcPr>
            <w:tcW w:w="1573" w:type="dxa"/>
            <w:shd w:val="clear" w:color="auto" w:fill="00B0F0"/>
          </w:tcPr>
          <w:p w:rsidR="002A21FE" w:rsidRPr="00087D1A" w:rsidRDefault="002A21FE" w:rsidP="00B71F98">
            <w:pPr>
              <w:rPr>
                <w:sz w:val="18"/>
                <w:szCs w:val="18"/>
              </w:rPr>
            </w:pPr>
          </w:p>
        </w:tc>
      </w:tr>
      <w:tr w:rsidR="002A21FE" w:rsidTr="002B0BB4">
        <w:tc>
          <w:tcPr>
            <w:tcW w:w="2875" w:type="dxa"/>
            <w:shd w:val="clear" w:color="auto" w:fill="auto"/>
          </w:tcPr>
          <w:p w:rsidR="002A21FE" w:rsidRPr="00087D1A" w:rsidRDefault="00664ACF" w:rsidP="00664ACF">
            <w:pPr>
              <w:pStyle w:val="ListParagraph"/>
              <w:numPr>
                <w:ilvl w:val="0"/>
                <w:numId w:val="15"/>
              </w:numPr>
              <w:rPr>
                <w:sz w:val="18"/>
                <w:szCs w:val="18"/>
              </w:rPr>
            </w:pPr>
            <w:r>
              <w:rPr>
                <w:sz w:val="18"/>
                <w:szCs w:val="18"/>
              </w:rPr>
              <w:t>Women senior executives (private institution)</w:t>
            </w:r>
          </w:p>
        </w:tc>
        <w:tc>
          <w:tcPr>
            <w:tcW w:w="4230" w:type="dxa"/>
            <w:shd w:val="clear" w:color="auto" w:fill="auto"/>
          </w:tcPr>
          <w:p w:rsidR="002A21FE" w:rsidRDefault="00781B07" w:rsidP="00B71F98">
            <w:pPr>
              <w:rPr>
                <w:sz w:val="18"/>
                <w:szCs w:val="18"/>
              </w:rPr>
            </w:pPr>
            <w:r>
              <w:rPr>
                <w:sz w:val="18"/>
                <w:szCs w:val="18"/>
              </w:rPr>
              <w:t>*More bargaining power</w:t>
            </w:r>
          </w:p>
          <w:p w:rsidR="00781B07" w:rsidRPr="00087D1A" w:rsidRDefault="00781B07" w:rsidP="00B71F98">
            <w:pPr>
              <w:rPr>
                <w:sz w:val="18"/>
                <w:szCs w:val="18"/>
              </w:rPr>
            </w:pPr>
            <w:r>
              <w:rPr>
                <w:sz w:val="18"/>
                <w:szCs w:val="18"/>
              </w:rPr>
              <w:t xml:space="preserve">*Increased networking opportunities and other resources </w:t>
            </w:r>
          </w:p>
        </w:tc>
        <w:tc>
          <w:tcPr>
            <w:tcW w:w="947" w:type="dxa"/>
            <w:shd w:val="clear" w:color="auto" w:fill="auto"/>
          </w:tcPr>
          <w:p w:rsidR="002A21FE" w:rsidRDefault="00781B07" w:rsidP="00B71F98">
            <w:pPr>
              <w:rPr>
                <w:sz w:val="18"/>
                <w:szCs w:val="18"/>
              </w:rPr>
            </w:pPr>
            <w:r>
              <w:rPr>
                <w:sz w:val="18"/>
                <w:szCs w:val="18"/>
              </w:rPr>
              <w:t>+</w:t>
            </w:r>
          </w:p>
          <w:p w:rsidR="00781B07" w:rsidRPr="00087D1A" w:rsidRDefault="00781B07" w:rsidP="00B71F98">
            <w:pPr>
              <w:rPr>
                <w:sz w:val="18"/>
                <w:szCs w:val="18"/>
              </w:rPr>
            </w:pPr>
            <w:r>
              <w:rPr>
                <w:sz w:val="18"/>
                <w:szCs w:val="18"/>
              </w:rPr>
              <w:t>+</w:t>
            </w:r>
          </w:p>
        </w:tc>
        <w:tc>
          <w:tcPr>
            <w:tcW w:w="1573" w:type="dxa"/>
            <w:shd w:val="clear" w:color="auto" w:fill="auto"/>
          </w:tcPr>
          <w:p w:rsidR="002A21FE" w:rsidRPr="00087D1A" w:rsidRDefault="00781B07" w:rsidP="00B71F98">
            <w:pPr>
              <w:rPr>
                <w:sz w:val="18"/>
                <w:szCs w:val="18"/>
              </w:rPr>
            </w:pPr>
            <w:r>
              <w:rPr>
                <w:sz w:val="18"/>
                <w:szCs w:val="18"/>
              </w:rPr>
              <w:t>High</w:t>
            </w:r>
          </w:p>
        </w:tc>
      </w:tr>
      <w:tr w:rsidR="002A21FE" w:rsidTr="002B0BB4">
        <w:tc>
          <w:tcPr>
            <w:tcW w:w="2875" w:type="dxa"/>
            <w:shd w:val="clear" w:color="auto" w:fill="auto"/>
          </w:tcPr>
          <w:p w:rsidR="00664ACF" w:rsidRDefault="00664ACF" w:rsidP="00664ACF">
            <w:pPr>
              <w:pStyle w:val="ListParagraph"/>
              <w:numPr>
                <w:ilvl w:val="0"/>
                <w:numId w:val="15"/>
              </w:numPr>
              <w:rPr>
                <w:sz w:val="18"/>
                <w:szCs w:val="18"/>
              </w:rPr>
            </w:pPr>
            <w:r>
              <w:rPr>
                <w:sz w:val="18"/>
                <w:szCs w:val="18"/>
              </w:rPr>
              <w:t xml:space="preserve">Men senior executives </w:t>
            </w:r>
          </w:p>
          <w:p w:rsidR="002A21FE" w:rsidRPr="00087D1A" w:rsidRDefault="00664ACF" w:rsidP="00664ACF">
            <w:pPr>
              <w:pStyle w:val="ListParagraph"/>
              <w:ind w:left="360"/>
              <w:rPr>
                <w:sz w:val="18"/>
                <w:szCs w:val="18"/>
              </w:rPr>
            </w:pPr>
            <w:r w:rsidRPr="00664ACF">
              <w:rPr>
                <w:sz w:val="18"/>
                <w:szCs w:val="18"/>
              </w:rPr>
              <w:t>(private institution)</w:t>
            </w:r>
          </w:p>
        </w:tc>
        <w:tc>
          <w:tcPr>
            <w:tcW w:w="4230" w:type="dxa"/>
            <w:shd w:val="clear" w:color="auto" w:fill="auto"/>
          </w:tcPr>
          <w:p w:rsidR="002A21FE" w:rsidRDefault="001B6B21" w:rsidP="00B71F98">
            <w:pPr>
              <w:rPr>
                <w:sz w:val="18"/>
                <w:szCs w:val="18"/>
              </w:rPr>
            </w:pPr>
            <w:r>
              <w:rPr>
                <w:sz w:val="18"/>
                <w:szCs w:val="18"/>
              </w:rPr>
              <w:t>*Diversified pool of qualified candidates for organization</w:t>
            </w:r>
          </w:p>
          <w:p w:rsidR="001B6B21" w:rsidRPr="00087D1A" w:rsidRDefault="001B6B21" w:rsidP="001B6B21">
            <w:pPr>
              <w:rPr>
                <w:sz w:val="18"/>
                <w:szCs w:val="18"/>
              </w:rPr>
            </w:pPr>
            <w:r>
              <w:rPr>
                <w:sz w:val="18"/>
                <w:szCs w:val="18"/>
              </w:rPr>
              <w:t xml:space="preserve">*Sharing privileges with other (women)  colleagues and peers </w:t>
            </w:r>
          </w:p>
        </w:tc>
        <w:tc>
          <w:tcPr>
            <w:tcW w:w="947" w:type="dxa"/>
            <w:shd w:val="clear" w:color="auto" w:fill="auto"/>
          </w:tcPr>
          <w:p w:rsidR="002A21FE" w:rsidRDefault="001B6B21" w:rsidP="00B71F98">
            <w:pPr>
              <w:rPr>
                <w:sz w:val="18"/>
                <w:szCs w:val="18"/>
              </w:rPr>
            </w:pPr>
            <w:r>
              <w:rPr>
                <w:sz w:val="18"/>
                <w:szCs w:val="18"/>
              </w:rPr>
              <w:t>+</w:t>
            </w:r>
          </w:p>
          <w:p w:rsidR="001B6B21" w:rsidRDefault="001B6B21" w:rsidP="00B71F98">
            <w:pPr>
              <w:rPr>
                <w:sz w:val="18"/>
                <w:szCs w:val="18"/>
              </w:rPr>
            </w:pPr>
          </w:p>
          <w:p w:rsidR="001B6B21" w:rsidRPr="00087D1A" w:rsidRDefault="001B6B21" w:rsidP="00B71F98">
            <w:pPr>
              <w:rPr>
                <w:sz w:val="18"/>
                <w:szCs w:val="18"/>
              </w:rPr>
            </w:pPr>
            <w:r>
              <w:rPr>
                <w:sz w:val="18"/>
                <w:szCs w:val="18"/>
              </w:rPr>
              <w:t>+/_</w:t>
            </w:r>
          </w:p>
        </w:tc>
        <w:tc>
          <w:tcPr>
            <w:tcW w:w="1573" w:type="dxa"/>
            <w:shd w:val="clear" w:color="auto" w:fill="auto"/>
          </w:tcPr>
          <w:p w:rsidR="002A21FE" w:rsidRPr="00087D1A" w:rsidRDefault="001B6B21" w:rsidP="00B71F98">
            <w:pPr>
              <w:rPr>
                <w:sz w:val="18"/>
                <w:szCs w:val="18"/>
              </w:rPr>
            </w:pPr>
            <w:r>
              <w:rPr>
                <w:sz w:val="18"/>
                <w:szCs w:val="18"/>
              </w:rPr>
              <w:t>High</w:t>
            </w:r>
          </w:p>
        </w:tc>
      </w:tr>
      <w:tr w:rsidR="00664ACF" w:rsidTr="002B0BB4">
        <w:tc>
          <w:tcPr>
            <w:tcW w:w="2875" w:type="dxa"/>
            <w:shd w:val="clear" w:color="auto" w:fill="auto"/>
          </w:tcPr>
          <w:p w:rsidR="007A6E7E" w:rsidRPr="007A6E7E" w:rsidRDefault="007A6E7E" w:rsidP="007A6E7E">
            <w:pPr>
              <w:pStyle w:val="ListParagraph"/>
              <w:numPr>
                <w:ilvl w:val="0"/>
                <w:numId w:val="15"/>
              </w:numPr>
              <w:rPr>
                <w:sz w:val="18"/>
                <w:szCs w:val="18"/>
              </w:rPr>
            </w:pPr>
            <w:r>
              <w:rPr>
                <w:sz w:val="18"/>
                <w:szCs w:val="18"/>
              </w:rPr>
              <w:t>Corporate - Investors and Shareholders</w:t>
            </w:r>
          </w:p>
        </w:tc>
        <w:tc>
          <w:tcPr>
            <w:tcW w:w="4230" w:type="dxa"/>
            <w:shd w:val="clear" w:color="auto" w:fill="auto"/>
          </w:tcPr>
          <w:p w:rsidR="00664ACF" w:rsidRDefault="000D3113" w:rsidP="000D3113">
            <w:pPr>
              <w:rPr>
                <w:sz w:val="18"/>
                <w:szCs w:val="18"/>
              </w:rPr>
            </w:pPr>
            <w:r>
              <w:rPr>
                <w:sz w:val="18"/>
                <w:szCs w:val="18"/>
              </w:rPr>
              <w:t>*</w:t>
            </w:r>
            <w:r w:rsidRPr="000D3113">
              <w:rPr>
                <w:sz w:val="18"/>
                <w:szCs w:val="18"/>
              </w:rPr>
              <w:t xml:space="preserve">Increased </w:t>
            </w:r>
            <w:r>
              <w:rPr>
                <w:sz w:val="18"/>
                <w:szCs w:val="18"/>
              </w:rPr>
              <w:t xml:space="preserve">human capital and improved </w:t>
            </w:r>
            <w:r w:rsidRPr="000D3113">
              <w:rPr>
                <w:sz w:val="18"/>
                <w:szCs w:val="18"/>
              </w:rPr>
              <w:t xml:space="preserve">productivity </w:t>
            </w:r>
          </w:p>
          <w:p w:rsidR="000D3113" w:rsidRDefault="000D3113" w:rsidP="000D3113">
            <w:pPr>
              <w:rPr>
                <w:sz w:val="18"/>
                <w:szCs w:val="18"/>
              </w:rPr>
            </w:pPr>
            <w:r>
              <w:rPr>
                <w:sz w:val="18"/>
                <w:szCs w:val="18"/>
              </w:rPr>
              <w:t xml:space="preserve">*better PR (ex: to be well regarded as an organization that is as committed to inclusive growth </w:t>
            </w:r>
            <w:r w:rsidR="009370A2">
              <w:rPr>
                <w:sz w:val="18"/>
                <w:szCs w:val="18"/>
              </w:rPr>
              <w:t>as it is to</w:t>
            </w:r>
            <w:r>
              <w:rPr>
                <w:sz w:val="18"/>
                <w:szCs w:val="18"/>
              </w:rPr>
              <w:t xml:space="preserve"> C</w:t>
            </w:r>
            <w:r w:rsidR="009370A2">
              <w:rPr>
                <w:sz w:val="18"/>
                <w:szCs w:val="18"/>
              </w:rPr>
              <w:t xml:space="preserve">orporate </w:t>
            </w:r>
            <w:r>
              <w:rPr>
                <w:sz w:val="18"/>
                <w:szCs w:val="18"/>
              </w:rPr>
              <w:t>S</w:t>
            </w:r>
            <w:r w:rsidR="009370A2">
              <w:rPr>
                <w:sz w:val="18"/>
                <w:szCs w:val="18"/>
              </w:rPr>
              <w:t xml:space="preserve">ocial </w:t>
            </w:r>
            <w:r>
              <w:rPr>
                <w:sz w:val="18"/>
                <w:szCs w:val="18"/>
              </w:rPr>
              <w:t>R</w:t>
            </w:r>
            <w:r w:rsidR="009370A2">
              <w:rPr>
                <w:sz w:val="18"/>
                <w:szCs w:val="18"/>
              </w:rPr>
              <w:t>esponsibility and s</w:t>
            </w:r>
            <w:r>
              <w:rPr>
                <w:sz w:val="18"/>
                <w:szCs w:val="18"/>
              </w:rPr>
              <w:t xml:space="preserve">hareholder profits) </w:t>
            </w:r>
          </w:p>
          <w:p w:rsidR="000D3113" w:rsidRPr="000D3113" w:rsidRDefault="000D3113" w:rsidP="000D3113">
            <w:pPr>
              <w:rPr>
                <w:sz w:val="18"/>
                <w:szCs w:val="18"/>
              </w:rPr>
            </w:pPr>
            <w:r>
              <w:rPr>
                <w:sz w:val="18"/>
                <w:szCs w:val="18"/>
              </w:rPr>
              <w:t xml:space="preserve">* New expenditures (programs) in support of working mothers </w:t>
            </w:r>
          </w:p>
        </w:tc>
        <w:tc>
          <w:tcPr>
            <w:tcW w:w="947" w:type="dxa"/>
            <w:shd w:val="clear" w:color="auto" w:fill="auto"/>
          </w:tcPr>
          <w:p w:rsidR="00664ACF" w:rsidRDefault="000D3113" w:rsidP="00B71F98">
            <w:pPr>
              <w:rPr>
                <w:sz w:val="18"/>
                <w:szCs w:val="18"/>
              </w:rPr>
            </w:pPr>
            <w:r>
              <w:rPr>
                <w:sz w:val="18"/>
                <w:szCs w:val="18"/>
              </w:rPr>
              <w:t>+</w:t>
            </w:r>
          </w:p>
          <w:p w:rsidR="000D3113" w:rsidRDefault="000D3113" w:rsidP="00B71F98">
            <w:pPr>
              <w:rPr>
                <w:sz w:val="18"/>
                <w:szCs w:val="18"/>
              </w:rPr>
            </w:pPr>
            <w:r>
              <w:rPr>
                <w:sz w:val="18"/>
                <w:szCs w:val="18"/>
              </w:rPr>
              <w:t>+</w:t>
            </w:r>
          </w:p>
          <w:p w:rsidR="000D3113" w:rsidRDefault="000D3113" w:rsidP="00B71F98">
            <w:pPr>
              <w:rPr>
                <w:sz w:val="18"/>
                <w:szCs w:val="18"/>
              </w:rPr>
            </w:pPr>
          </w:p>
          <w:p w:rsidR="000D3113" w:rsidRDefault="000D3113" w:rsidP="00B71F98">
            <w:pPr>
              <w:rPr>
                <w:sz w:val="18"/>
                <w:szCs w:val="18"/>
              </w:rPr>
            </w:pPr>
          </w:p>
          <w:p w:rsidR="000D3113" w:rsidRDefault="000D3113" w:rsidP="00B71F98">
            <w:pPr>
              <w:rPr>
                <w:sz w:val="18"/>
                <w:szCs w:val="18"/>
              </w:rPr>
            </w:pPr>
            <w:r>
              <w:rPr>
                <w:sz w:val="18"/>
                <w:szCs w:val="18"/>
              </w:rPr>
              <w:t>-</w:t>
            </w:r>
          </w:p>
        </w:tc>
        <w:tc>
          <w:tcPr>
            <w:tcW w:w="1573" w:type="dxa"/>
            <w:shd w:val="clear" w:color="auto" w:fill="auto"/>
          </w:tcPr>
          <w:p w:rsidR="00664ACF" w:rsidRDefault="000D3113" w:rsidP="00B71F98">
            <w:pPr>
              <w:rPr>
                <w:sz w:val="18"/>
                <w:szCs w:val="18"/>
              </w:rPr>
            </w:pPr>
            <w:r>
              <w:rPr>
                <w:sz w:val="18"/>
                <w:szCs w:val="18"/>
              </w:rPr>
              <w:t>High</w:t>
            </w:r>
          </w:p>
        </w:tc>
      </w:tr>
      <w:tr w:rsidR="00664ACF" w:rsidTr="002B0BB4">
        <w:tc>
          <w:tcPr>
            <w:tcW w:w="2875" w:type="dxa"/>
            <w:shd w:val="clear" w:color="auto" w:fill="auto"/>
          </w:tcPr>
          <w:p w:rsidR="00664ACF" w:rsidRDefault="007A6E7E" w:rsidP="002A21FE">
            <w:pPr>
              <w:pStyle w:val="ListParagraph"/>
              <w:numPr>
                <w:ilvl w:val="0"/>
                <w:numId w:val="15"/>
              </w:numPr>
              <w:rPr>
                <w:sz w:val="18"/>
                <w:szCs w:val="18"/>
              </w:rPr>
            </w:pPr>
            <w:r>
              <w:rPr>
                <w:sz w:val="18"/>
                <w:szCs w:val="18"/>
              </w:rPr>
              <w:t>Corporate – Board Members</w:t>
            </w:r>
            <w:r w:rsidR="0051531D">
              <w:rPr>
                <w:sz w:val="18"/>
                <w:szCs w:val="18"/>
              </w:rPr>
              <w:t xml:space="preserve"> and Directors</w:t>
            </w:r>
          </w:p>
        </w:tc>
        <w:tc>
          <w:tcPr>
            <w:tcW w:w="4230" w:type="dxa"/>
            <w:shd w:val="clear" w:color="auto" w:fill="auto"/>
          </w:tcPr>
          <w:p w:rsidR="00664ACF" w:rsidRDefault="00C07BD7" w:rsidP="00B71F98">
            <w:pPr>
              <w:rPr>
                <w:sz w:val="18"/>
                <w:szCs w:val="18"/>
              </w:rPr>
            </w:pPr>
            <w:r>
              <w:rPr>
                <w:sz w:val="18"/>
                <w:szCs w:val="18"/>
              </w:rPr>
              <w:t>*Improvements in s</w:t>
            </w:r>
            <w:r w:rsidR="0051531D">
              <w:rPr>
                <w:sz w:val="18"/>
                <w:szCs w:val="18"/>
              </w:rPr>
              <w:t xml:space="preserve">trategic advisory and leadership capacities: combining qualified women and men </w:t>
            </w:r>
            <w:r w:rsidR="000D3113">
              <w:rPr>
                <w:sz w:val="18"/>
                <w:szCs w:val="18"/>
              </w:rPr>
              <w:t>*M</w:t>
            </w:r>
            <w:r>
              <w:rPr>
                <w:sz w:val="18"/>
                <w:szCs w:val="18"/>
              </w:rPr>
              <w:t>aximizing good ideas; benefit</w:t>
            </w:r>
            <w:r w:rsidR="000D3113">
              <w:rPr>
                <w:sz w:val="18"/>
                <w:szCs w:val="18"/>
              </w:rPr>
              <w:t xml:space="preserve"> from </w:t>
            </w:r>
            <w:r w:rsidR="00412089">
              <w:rPr>
                <w:sz w:val="18"/>
                <w:szCs w:val="18"/>
              </w:rPr>
              <w:t>different experiences</w:t>
            </w:r>
            <w:r w:rsidR="000D3113">
              <w:rPr>
                <w:sz w:val="18"/>
                <w:szCs w:val="18"/>
              </w:rPr>
              <w:t xml:space="preserve"> and viewpoints that mirror the </w:t>
            </w:r>
            <w:r w:rsidR="00412089">
              <w:rPr>
                <w:sz w:val="18"/>
                <w:szCs w:val="18"/>
              </w:rPr>
              <w:t xml:space="preserve">interests, concerns, and expectations of men and women in consumer base.  </w:t>
            </w:r>
          </w:p>
          <w:p w:rsidR="000D3113" w:rsidRDefault="000D3113" w:rsidP="00B71F98">
            <w:pPr>
              <w:rPr>
                <w:sz w:val="18"/>
                <w:szCs w:val="18"/>
              </w:rPr>
            </w:pPr>
            <w:r>
              <w:rPr>
                <w:sz w:val="18"/>
                <w:szCs w:val="18"/>
              </w:rPr>
              <w:t>*Implementing board room quotas for women Leaders</w:t>
            </w:r>
            <w:r w:rsidR="00A5366E">
              <w:rPr>
                <w:sz w:val="18"/>
                <w:szCs w:val="18"/>
              </w:rPr>
              <w:t xml:space="preserve">—Affirmative Action </w:t>
            </w:r>
          </w:p>
        </w:tc>
        <w:tc>
          <w:tcPr>
            <w:tcW w:w="947" w:type="dxa"/>
            <w:shd w:val="clear" w:color="auto" w:fill="auto"/>
          </w:tcPr>
          <w:p w:rsidR="00664ACF" w:rsidRDefault="00412089" w:rsidP="00B71F98">
            <w:pPr>
              <w:rPr>
                <w:sz w:val="18"/>
                <w:szCs w:val="18"/>
              </w:rPr>
            </w:pPr>
            <w:r>
              <w:rPr>
                <w:sz w:val="18"/>
                <w:szCs w:val="18"/>
              </w:rPr>
              <w:t>+</w:t>
            </w:r>
          </w:p>
          <w:p w:rsidR="00412089" w:rsidRDefault="00412089" w:rsidP="00B71F98">
            <w:pPr>
              <w:rPr>
                <w:sz w:val="18"/>
                <w:szCs w:val="18"/>
              </w:rPr>
            </w:pPr>
          </w:p>
          <w:p w:rsidR="00412089" w:rsidRDefault="00412089" w:rsidP="00B71F98">
            <w:pPr>
              <w:rPr>
                <w:sz w:val="18"/>
                <w:szCs w:val="18"/>
              </w:rPr>
            </w:pPr>
          </w:p>
          <w:p w:rsidR="00412089" w:rsidRDefault="00412089" w:rsidP="00B71F98">
            <w:pPr>
              <w:rPr>
                <w:sz w:val="18"/>
                <w:szCs w:val="18"/>
              </w:rPr>
            </w:pPr>
          </w:p>
          <w:p w:rsidR="00412089" w:rsidRDefault="00412089" w:rsidP="00B71F98">
            <w:pPr>
              <w:rPr>
                <w:sz w:val="18"/>
                <w:szCs w:val="18"/>
              </w:rPr>
            </w:pPr>
            <w:r>
              <w:rPr>
                <w:sz w:val="18"/>
                <w:szCs w:val="18"/>
              </w:rPr>
              <w:t>-</w:t>
            </w:r>
          </w:p>
          <w:p w:rsidR="00412089" w:rsidRDefault="00412089" w:rsidP="00B71F98">
            <w:pPr>
              <w:rPr>
                <w:sz w:val="18"/>
                <w:szCs w:val="18"/>
              </w:rPr>
            </w:pPr>
          </w:p>
          <w:p w:rsidR="00C07BD7" w:rsidRDefault="00C07BD7" w:rsidP="00B71F98">
            <w:pPr>
              <w:rPr>
                <w:sz w:val="18"/>
                <w:szCs w:val="18"/>
              </w:rPr>
            </w:pPr>
          </w:p>
          <w:p w:rsidR="00C07BD7" w:rsidRDefault="00C07BD7" w:rsidP="00B71F98">
            <w:pPr>
              <w:rPr>
                <w:sz w:val="18"/>
                <w:szCs w:val="18"/>
              </w:rPr>
            </w:pPr>
            <w:r>
              <w:rPr>
                <w:sz w:val="18"/>
                <w:szCs w:val="18"/>
              </w:rPr>
              <w:t>+/-</w:t>
            </w:r>
          </w:p>
        </w:tc>
        <w:tc>
          <w:tcPr>
            <w:tcW w:w="1573" w:type="dxa"/>
            <w:shd w:val="clear" w:color="auto" w:fill="auto"/>
          </w:tcPr>
          <w:p w:rsidR="00664ACF" w:rsidRDefault="00412089" w:rsidP="00B71F98">
            <w:pPr>
              <w:rPr>
                <w:sz w:val="18"/>
                <w:szCs w:val="18"/>
              </w:rPr>
            </w:pPr>
            <w:r>
              <w:rPr>
                <w:sz w:val="18"/>
                <w:szCs w:val="18"/>
              </w:rPr>
              <w:t>High</w:t>
            </w:r>
          </w:p>
        </w:tc>
      </w:tr>
      <w:tr w:rsidR="00664ACF" w:rsidTr="002B0BB4">
        <w:tc>
          <w:tcPr>
            <w:tcW w:w="2875" w:type="dxa"/>
            <w:shd w:val="clear" w:color="auto" w:fill="auto"/>
          </w:tcPr>
          <w:p w:rsidR="003A5755" w:rsidRDefault="000E79DC" w:rsidP="002A21FE">
            <w:pPr>
              <w:pStyle w:val="ListParagraph"/>
              <w:numPr>
                <w:ilvl w:val="0"/>
                <w:numId w:val="15"/>
              </w:numPr>
              <w:rPr>
                <w:sz w:val="18"/>
                <w:szCs w:val="18"/>
              </w:rPr>
            </w:pPr>
            <w:r>
              <w:rPr>
                <w:sz w:val="18"/>
                <w:szCs w:val="18"/>
              </w:rPr>
              <w:t>Women senior public officials</w:t>
            </w:r>
            <w:r w:rsidR="003A5755">
              <w:rPr>
                <w:sz w:val="18"/>
                <w:szCs w:val="18"/>
              </w:rPr>
              <w:t xml:space="preserve"> </w:t>
            </w:r>
          </w:p>
          <w:p w:rsidR="00664ACF" w:rsidRDefault="003A5755" w:rsidP="003A5755">
            <w:pPr>
              <w:pStyle w:val="ListParagraph"/>
              <w:ind w:left="360"/>
              <w:rPr>
                <w:sz w:val="18"/>
                <w:szCs w:val="18"/>
              </w:rPr>
            </w:pPr>
            <w:r>
              <w:rPr>
                <w:sz w:val="18"/>
                <w:szCs w:val="18"/>
              </w:rPr>
              <w:t>(public institution)</w:t>
            </w:r>
          </w:p>
        </w:tc>
        <w:tc>
          <w:tcPr>
            <w:tcW w:w="4230" w:type="dxa"/>
            <w:shd w:val="clear" w:color="auto" w:fill="auto"/>
          </w:tcPr>
          <w:p w:rsidR="00664ACF" w:rsidRDefault="00BE1B64" w:rsidP="00B71F98">
            <w:pPr>
              <w:rPr>
                <w:sz w:val="18"/>
                <w:szCs w:val="18"/>
              </w:rPr>
            </w:pPr>
            <w:r>
              <w:rPr>
                <w:sz w:val="18"/>
                <w:szCs w:val="18"/>
              </w:rPr>
              <w:t>* Increased bargaining power and networking opportunities</w:t>
            </w:r>
          </w:p>
        </w:tc>
        <w:tc>
          <w:tcPr>
            <w:tcW w:w="947" w:type="dxa"/>
            <w:shd w:val="clear" w:color="auto" w:fill="auto"/>
          </w:tcPr>
          <w:p w:rsidR="00664ACF" w:rsidRDefault="00BE1B64" w:rsidP="00B71F98">
            <w:pPr>
              <w:rPr>
                <w:sz w:val="18"/>
                <w:szCs w:val="18"/>
              </w:rPr>
            </w:pPr>
            <w:r>
              <w:rPr>
                <w:sz w:val="18"/>
                <w:szCs w:val="18"/>
              </w:rPr>
              <w:t>+</w:t>
            </w:r>
          </w:p>
        </w:tc>
        <w:tc>
          <w:tcPr>
            <w:tcW w:w="1573" w:type="dxa"/>
            <w:shd w:val="clear" w:color="auto" w:fill="auto"/>
          </w:tcPr>
          <w:p w:rsidR="00664ACF" w:rsidRDefault="00BE1B64" w:rsidP="00B71F98">
            <w:pPr>
              <w:rPr>
                <w:sz w:val="18"/>
                <w:szCs w:val="18"/>
              </w:rPr>
            </w:pPr>
            <w:r>
              <w:rPr>
                <w:sz w:val="18"/>
                <w:szCs w:val="18"/>
              </w:rPr>
              <w:t>High</w:t>
            </w:r>
          </w:p>
          <w:p w:rsidR="00BE1B64" w:rsidRDefault="00BE1B64" w:rsidP="00B71F98">
            <w:pPr>
              <w:rPr>
                <w:sz w:val="18"/>
                <w:szCs w:val="18"/>
              </w:rPr>
            </w:pPr>
          </w:p>
        </w:tc>
      </w:tr>
      <w:tr w:rsidR="00664ACF" w:rsidTr="002B0BB4">
        <w:tc>
          <w:tcPr>
            <w:tcW w:w="2875" w:type="dxa"/>
            <w:shd w:val="clear" w:color="auto" w:fill="auto"/>
          </w:tcPr>
          <w:p w:rsidR="00664ACF" w:rsidRDefault="003A5755" w:rsidP="003A5755">
            <w:pPr>
              <w:pStyle w:val="ListParagraph"/>
              <w:numPr>
                <w:ilvl w:val="0"/>
                <w:numId w:val="15"/>
              </w:numPr>
              <w:rPr>
                <w:sz w:val="18"/>
                <w:szCs w:val="18"/>
              </w:rPr>
            </w:pPr>
            <w:r>
              <w:rPr>
                <w:sz w:val="18"/>
                <w:szCs w:val="18"/>
              </w:rPr>
              <w:t xml:space="preserve">Men senior public officials </w:t>
            </w:r>
            <w:r w:rsidRPr="003A5755">
              <w:rPr>
                <w:sz w:val="18"/>
                <w:szCs w:val="18"/>
              </w:rPr>
              <w:t>(public institution)</w:t>
            </w:r>
          </w:p>
        </w:tc>
        <w:tc>
          <w:tcPr>
            <w:tcW w:w="4230" w:type="dxa"/>
            <w:shd w:val="clear" w:color="auto" w:fill="auto"/>
          </w:tcPr>
          <w:p w:rsidR="005604D5" w:rsidRDefault="005604D5" w:rsidP="005604D5">
            <w:pPr>
              <w:rPr>
                <w:sz w:val="18"/>
                <w:szCs w:val="18"/>
              </w:rPr>
            </w:pPr>
            <w:r>
              <w:rPr>
                <w:sz w:val="18"/>
                <w:szCs w:val="18"/>
              </w:rPr>
              <w:t>*Diversified pool of qualified candidates for organization</w:t>
            </w:r>
          </w:p>
          <w:p w:rsidR="00664ACF" w:rsidRDefault="005604D5" w:rsidP="005604D5">
            <w:pPr>
              <w:rPr>
                <w:sz w:val="18"/>
                <w:szCs w:val="18"/>
              </w:rPr>
            </w:pPr>
            <w:r>
              <w:rPr>
                <w:sz w:val="18"/>
                <w:szCs w:val="18"/>
              </w:rPr>
              <w:t>*Sharing privileges with other (women)  colleagues and peers</w:t>
            </w:r>
          </w:p>
        </w:tc>
        <w:tc>
          <w:tcPr>
            <w:tcW w:w="947" w:type="dxa"/>
            <w:shd w:val="clear" w:color="auto" w:fill="auto"/>
          </w:tcPr>
          <w:p w:rsidR="00664ACF" w:rsidRDefault="005604D5" w:rsidP="00B71F98">
            <w:pPr>
              <w:rPr>
                <w:sz w:val="18"/>
                <w:szCs w:val="18"/>
              </w:rPr>
            </w:pPr>
            <w:r>
              <w:rPr>
                <w:sz w:val="18"/>
                <w:szCs w:val="18"/>
              </w:rPr>
              <w:t>+</w:t>
            </w:r>
          </w:p>
          <w:p w:rsidR="005604D5" w:rsidRDefault="005604D5" w:rsidP="00B71F98">
            <w:pPr>
              <w:rPr>
                <w:sz w:val="18"/>
                <w:szCs w:val="18"/>
              </w:rPr>
            </w:pPr>
          </w:p>
          <w:p w:rsidR="005604D5" w:rsidRDefault="005604D5" w:rsidP="00B71F98">
            <w:pPr>
              <w:rPr>
                <w:sz w:val="18"/>
                <w:szCs w:val="18"/>
              </w:rPr>
            </w:pPr>
            <w:r>
              <w:rPr>
                <w:sz w:val="18"/>
                <w:szCs w:val="18"/>
              </w:rPr>
              <w:t>_</w:t>
            </w:r>
          </w:p>
        </w:tc>
        <w:tc>
          <w:tcPr>
            <w:tcW w:w="1573" w:type="dxa"/>
            <w:shd w:val="clear" w:color="auto" w:fill="auto"/>
          </w:tcPr>
          <w:p w:rsidR="00664ACF" w:rsidRDefault="005604D5" w:rsidP="00B71F98">
            <w:pPr>
              <w:rPr>
                <w:sz w:val="18"/>
                <w:szCs w:val="18"/>
              </w:rPr>
            </w:pPr>
            <w:r>
              <w:rPr>
                <w:sz w:val="18"/>
                <w:szCs w:val="18"/>
              </w:rPr>
              <w:t>High</w:t>
            </w:r>
          </w:p>
        </w:tc>
      </w:tr>
      <w:tr w:rsidR="002A21FE" w:rsidTr="00664ACF">
        <w:tc>
          <w:tcPr>
            <w:tcW w:w="2875" w:type="dxa"/>
            <w:shd w:val="clear" w:color="auto" w:fill="00B0F0"/>
          </w:tcPr>
          <w:p w:rsidR="002A21FE" w:rsidRPr="00087D1A" w:rsidRDefault="002A21FE" w:rsidP="00B71F98">
            <w:pPr>
              <w:rPr>
                <w:b/>
                <w:sz w:val="18"/>
                <w:szCs w:val="18"/>
              </w:rPr>
            </w:pPr>
            <w:r w:rsidRPr="00087D1A">
              <w:rPr>
                <w:b/>
                <w:sz w:val="18"/>
                <w:szCs w:val="18"/>
              </w:rPr>
              <w:t>Secondary</w:t>
            </w:r>
          </w:p>
        </w:tc>
        <w:tc>
          <w:tcPr>
            <w:tcW w:w="4230" w:type="dxa"/>
            <w:shd w:val="clear" w:color="auto" w:fill="00B0F0"/>
          </w:tcPr>
          <w:p w:rsidR="002A21FE" w:rsidRPr="00087D1A" w:rsidRDefault="002A21FE" w:rsidP="00B71F98">
            <w:pPr>
              <w:rPr>
                <w:sz w:val="18"/>
                <w:szCs w:val="18"/>
              </w:rPr>
            </w:pPr>
          </w:p>
        </w:tc>
        <w:tc>
          <w:tcPr>
            <w:tcW w:w="947" w:type="dxa"/>
            <w:shd w:val="clear" w:color="auto" w:fill="00B0F0"/>
          </w:tcPr>
          <w:p w:rsidR="002A21FE" w:rsidRPr="00087D1A" w:rsidRDefault="002A21FE" w:rsidP="00B71F98">
            <w:pPr>
              <w:rPr>
                <w:sz w:val="18"/>
                <w:szCs w:val="18"/>
              </w:rPr>
            </w:pPr>
          </w:p>
        </w:tc>
        <w:tc>
          <w:tcPr>
            <w:tcW w:w="1573" w:type="dxa"/>
            <w:shd w:val="clear" w:color="auto" w:fill="00B0F0"/>
          </w:tcPr>
          <w:p w:rsidR="002A21FE" w:rsidRPr="00087D1A" w:rsidRDefault="002A21FE" w:rsidP="00B71F98">
            <w:pPr>
              <w:rPr>
                <w:sz w:val="18"/>
                <w:szCs w:val="18"/>
              </w:rPr>
            </w:pPr>
          </w:p>
        </w:tc>
      </w:tr>
      <w:tr w:rsidR="002A21FE" w:rsidTr="00F344BA">
        <w:tc>
          <w:tcPr>
            <w:tcW w:w="2875" w:type="dxa"/>
            <w:shd w:val="clear" w:color="auto" w:fill="auto"/>
          </w:tcPr>
          <w:p w:rsidR="002A21FE" w:rsidRPr="00087D1A" w:rsidRDefault="00B8024E" w:rsidP="002A21FE">
            <w:pPr>
              <w:pStyle w:val="ListParagraph"/>
              <w:numPr>
                <w:ilvl w:val="0"/>
                <w:numId w:val="16"/>
              </w:numPr>
              <w:rPr>
                <w:sz w:val="18"/>
                <w:szCs w:val="18"/>
              </w:rPr>
            </w:pPr>
            <w:r>
              <w:rPr>
                <w:sz w:val="18"/>
                <w:szCs w:val="18"/>
              </w:rPr>
              <w:t>Service Providing Organizations</w:t>
            </w:r>
          </w:p>
        </w:tc>
        <w:tc>
          <w:tcPr>
            <w:tcW w:w="4230" w:type="dxa"/>
            <w:shd w:val="clear" w:color="auto" w:fill="auto"/>
          </w:tcPr>
          <w:p w:rsidR="0015338B" w:rsidRDefault="0015338B" w:rsidP="00B71F98">
            <w:pPr>
              <w:rPr>
                <w:sz w:val="18"/>
                <w:szCs w:val="18"/>
              </w:rPr>
            </w:pPr>
            <w:r>
              <w:rPr>
                <w:sz w:val="18"/>
                <w:szCs w:val="18"/>
              </w:rPr>
              <w:t xml:space="preserve">*Higher Productivity, </w:t>
            </w:r>
          </w:p>
          <w:p w:rsidR="0015338B" w:rsidRDefault="0015338B" w:rsidP="00B71F98">
            <w:pPr>
              <w:rPr>
                <w:sz w:val="18"/>
                <w:szCs w:val="18"/>
              </w:rPr>
            </w:pPr>
            <w:r>
              <w:rPr>
                <w:sz w:val="18"/>
                <w:szCs w:val="18"/>
              </w:rPr>
              <w:t xml:space="preserve"> *</w:t>
            </w:r>
            <w:r w:rsidR="00954FE2">
              <w:rPr>
                <w:sz w:val="18"/>
                <w:szCs w:val="18"/>
              </w:rPr>
              <w:t>a more d</w:t>
            </w:r>
            <w:r>
              <w:rPr>
                <w:sz w:val="18"/>
                <w:szCs w:val="18"/>
              </w:rPr>
              <w:t>iverse</w:t>
            </w:r>
            <w:r w:rsidR="00954FE2">
              <w:rPr>
                <w:sz w:val="18"/>
                <w:szCs w:val="18"/>
              </w:rPr>
              <w:t xml:space="preserve"> t</w:t>
            </w:r>
            <w:r>
              <w:rPr>
                <w:sz w:val="18"/>
                <w:szCs w:val="18"/>
              </w:rPr>
              <w:t xml:space="preserve">alent pool </w:t>
            </w:r>
          </w:p>
          <w:p w:rsidR="00781B07" w:rsidRDefault="00C07BD7" w:rsidP="00B71F98">
            <w:pPr>
              <w:rPr>
                <w:sz w:val="18"/>
                <w:szCs w:val="18"/>
              </w:rPr>
            </w:pPr>
            <w:r>
              <w:rPr>
                <w:sz w:val="18"/>
                <w:szCs w:val="18"/>
              </w:rPr>
              <w:lastRenderedPageBreak/>
              <w:t>*Provide</w:t>
            </w:r>
            <w:r w:rsidR="00781B07">
              <w:rPr>
                <w:sz w:val="18"/>
                <w:szCs w:val="18"/>
              </w:rPr>
              <w:t xml:space="preserve"> </w:t>
            </w:r>
            <w:r>
              <w:rPr>
                <w:sz w:val="18"/>
                <w:szCs w:val="18"/>
              </w:rPr>
              <w:t xml:space="preserve">additional </w:t>
            </w:r>
            <w:r w:rsidR="00781B07">
              <w:rPr>
                <w:sz w:val="18"/>
                <w:szCs w:val="18"/>
              </w:rPr>
              <w:t>resources to working mothers (i.e flextime, etc.)</w:t>
            </w:r>
          </w:p>
          <w:p w:rsidR="0015338B" w:rsidRPr="00087D1A" w:rsidRDefault="0015338B" w:rsidP="00B71F98">
            <w:pPr>
              <w:rPr>
                <w:sz w:val="18"/>
                <w:szCs w:val="18"/>
              </w:rPr>
            </w:pPr>
          </w:p>
        </w:tc>
        <w:tc>
          <w:tcPr>
            <w:tcW w:w="947" w:type="dxa"/>
            <w:shd w:val="clear" w:color="auto" w:fill="auto"/>
          </w:tcPr>
          <w:p w:rsidR="002A21FE" w:rsidRDefault="0015338B" w:rsidP="00B71F98">
            <w:pPr>
              <w:rPr>
                <w:sz w:val="18"/>
                <w:szCs w:val="18"/>
              </w:rPr>
            </w:pPr>
            <w:r>
              <w:rPr>
                <w:sz w:val="18"/>
                <w:szCs w:val="18"/>
              </w:rPr>
              <w:lastRenderedPageBreak/>
              <w:t>+</w:t>
            </w:r>
          </w:p>
          <w:p w:rsidR="0015338B" w:rsidRDefault="0015338B" w:rsidP="00B71F98">
            <w:pPr>
              <w:rPr>
                <w:sz w:val="18"/>
                <w:szCs w:val="18"/>
              </w:rPr>
            </w:pPr>
            <w:r>
              <w:rPr>
                <w:sz w:val="18"/>
                <w:szCs w:val="18"/>
              </w:rPr>
              <w:t>+</w:t>
            </w:r>
          </w:p>
          <w:p w:rsidR="00781B07" w:rsidRPr="00087D1A" w:rsidRDefault="00781B07" w:rsidP="00B71F98">
            <w:pPr>
              <w:rPr>
                <w:sz w:val="18"/>
                <w:szCs w:val="18"/>
              </w:rPr>
            </w:pPr>
            <w:r>
              <w:rPr>
                <w:sz w:val="18"/>
                <w:szCs w:val="18"/>
              </w:rPr>
              <w:lastRenderedPageBreak/>
              <w:t>-</w:t>
            </w:r>
          </w:p>
        </w:tc>
        <w:tc>
          <w:tcPr>
            <w:tcW w:w="1573" w:type="dxa"/>
            <w:shd w:val="clear" w:color="auto" w:fill="auto"/>
          </w:tcPr>
          <w:p w:rsidR="002A21FE" w:rsidRDefault="0015338B" w:rsidP="00B71F98">
            <w:pPr>
              <w:rPr>
                <w:sz w:val="18"/>
                <w:szCs w:val="18"/>
              </w:rPr>
            </w:pPr>
            <w:r>
              <w:rPr>
                <w:sz w:val="18"/>
                <w:szCs w:val="18"/>
              </w:rPr>
              <w:lastRenderedPageBreak/>
              <w:t xml:space="preserve">High </w:t>
            </w:r>
          </w:p>
          <w:p w:rsidR="00954FE2" w:rsidRPr="00087D1A" w:rsidRDefault="00954FE2" w:rsidP="00B71F98">
            <w:pPr>
              <w:rPr>
                <w:sz w:val="18"/>
                <w:szCs w:val="18"/>
              </w:rPr>
            </w:pPr>
          </w:p>
        </w:tc>
      </w:tr>
      <w:tr w:rsidR="00954FE2" w:rsidTr="00F344BA">
        <w:tc>
          <w:tcPr>
            <w:tcW w:w="2875" w:type="dxa"/>
            <w:shd w:val="clear" w:color="auto" w:fill="auto"/>
          </w:tcPr>
          <w:p w:rsidR="00954FE2" w:rsidRPr="00087D1A" w:rsidRDefault="00954FE2" w:rsidP="00954FE2">
            <w:pPr>
              <w:pStyle w:val="ListParagraph"/>
              <w:numPr>
                <w:ilvl w:val="0"/>
                <w:numId w:val="16"/>
              </w:numPr>
              <w:rPr>
                <w:sz w:val="18"/>
                <w:szCs w:val="18"/>
              </w:rPr>
            </w:pPr>
            <w:r>
              <w:rPr>
                <w:sz w:val="18"/>
                <w:szCs w:val="18"/>
              </w:rPr>
              <w:lastRenderedPageBreak/>
              <w:t>Manufacturing Companies</w:t>
            </w:r>
          </w:p>
        </w:tc>
        <w:tc>
          <w:tcPr>
            <w:tcW w:w="4230" w:type="dxa"/>
            <w:shd w:val="clear" w:color="auto" w:fill="auto"/>
          </w:tcPr>
          <w:p w:rsidR="00954FE2" w:rsidRDefault="00954FE2" w:rsidP="00954FE2">
            <w:pPr>
              <w:rPr>
                <w:sz w:val="18"/>
                <w:szCs w:val="18"/>
              </w:rPr>
            </w:pPr>
            <w:r>
              <w:rPr>
                <w:sz w:val="18"/>
                <w:szCs w:val="18"/>
              </w:rPr>
              <w:t xml:space="preserve">*Higher Productivity, </w:t>
            </w:r>
          </w:p>
          <w:p w:rsidR="00954FE2" w:rsidRDefault="00954FE2" w:rsidP="00954FE2">
            <w:pPr>
              <w:rPr>
                <w:sz w:val="18"/>
                <w:szCs w:val="18"/>
              </w:rPr>
            </w:pPr>
            <w:r>
              <w:rPr>
                <w:sz w:val="18"/>
                <w:szCs w:val="18"/>
              </w:rPr>
              <w:t xml:space="preserve">*a more diverse talent pool </w:t>
            </w:r>
          </w:p>
          <w:p w:rsidR="00954FE2" w:rsidRPr="00087D1A" w:rsidRDefault="00781B07" w:rsidP="00954FE2">
            <w:pPr>
              <w:rPr>
                <w:sz w:val="18"/>
                <w:szCs w:val="18"/>
              </w:rPr>
            </w:pPr>
            <w:r w:rsidRPr="00781B07">
              <w:rPr>
                <w:sz w:val="18"/>
                <w:szCs w:val="18"/>
              </w:rPr>
              <w:t>*Providing extra resources to working mothers (i.e flextime, etc.)</w:t>
            </w:r>
          </w:p>
        </w:tc>
        <w:tc>
          <w:tcPr>
            <w:tcW w:w="947" w:type="dxa"/>
            <w:shd w:val="clear" w:color="auto" w:fill="auto"/>
          </w:tcPr>
          <w:p w:rsidR="00954FE2" w:rsidRDefault="00954FE2" w:rsidP="00954FE2">
            <w:pPr>
              <w:rPr>
                <w:sz w:val="18"/>
                <w:szCs w:val="18"/>
              </w:rPr>
            </w:pPr>
            <w:r>
              <w:rPr>
                <w:sz w:val="18"/>
                <w:szCs w:val="18"/>
              </w:rPr>
              <w:t>+</w:t>
            </w:r>
          </w:p>
          <w:p w:rsidR="00954FE2" w:rsidRDefault="00954FE2" w:rsidP="00954FE2">
            <w:pPr>
              <w:rPr>
                <w:sz w:val="18"/>
                <w:szCs w:val="18"/>
              </w:rPr>
            </w:pPr>
            <w:r>
              <w:rPr>
                <w:sz w:val="18"/>
                <w:szCs w:val="18"/>
              </w:rPr>
              <w:t>+</w:t>
            </w:r>
          </w:p>
          <w:p w:rsidR="00781B07" w:rsidRPr="00087D1A" w:rsidRDefault="00781B07" w:rsidP="00954FE2">
            <w:pPr>
              <w:rPr>
                <w:sz w:val="18"/>
                <w:szCs w:val="18"/>
              </w:rPr>
            </w:pPr>
            <w:r>
              <w:rPr>
                <w:sz w:val="18"/>
                <w:szCs w:val="18"/>
              </w:rPr>
              <w:t>-</w:t>
            </w:r>
          </w:p>
        </w:tc>
        <w:tc>
          <w:tcPr>
            <w:tcW w:w="1573" w:type="dxa"/>
            <w:shd w:val="clear" w:color="auto" w:fill="auto"/>
          </w:tcPr>
          <w:p w:rsidR="00954FE2" w:rsidRDefault="00954FE2" w:rsidP="00954FE2">
            <w:pPr>
              <w:rPr>
                <w:sz w:val="18"/>
                <w:szCs w:val="18"/>
              </w:rPr>
            </w:pPr>
            <w:r>
              <w:rPr>
                <w:sz w:val="18"/>
                <w:szCs w:val="18"/>
              </w:rPr>
              <w:t xml:space="preserve">High </w:t>
            </w:r>
          </w:p>
          <w:p w:rsidR="00954FE2" w:rsidRPr="00087D1A" w:rsidRDefault="00954FE2" w:rsidP="00954FE2">
            <w:pPr>
              <w:rPr>
                <w:sz w:val="18"/>
                <w:szCs w:val="18"/>
              </w:rPr>
            </w:pPr>
          </w:p>
        </w:tc>
      </w:tr>
      <w:tr w:rsidR="002A21FE" w:rsidTr="00F344BA">
        <w:tc>
          <w:tcPr>
            <w:tcW w:w="2875" w:type="dxa"/>
            <w:shd w:val="clear" w:color="auto" w:fill="auto"/>
          </w:tcPr>
          <w:p w:rsidR="002A21FE" w:rsidRPr="00087D1A" w:rsidRDefault="00185BAF" w:rsidP="002A21FE">
            <w:pPr>
              <w:pStyle w:val="ListParagraph"/>
              <w:numPr>
                <w:ilvl w:val="0"/>
                <w:numId w:val="16"/>
              </w:numPr>
              <w:rPr>
                <w:sz w:val="18"/>
                <w:szCs w:val="18"/>
              </w:rPr>
            </w:pPr>
            <w:r>
              <w:rPr>
                <w:sz w:val="18"/>
                <w:szCs w:val="18"/>
              </w:rPr>
              <w:t xml:space="preserve">Consumer Base </w:t>
            </w:r>
            <w:r w:rsidR="00C21B4D">
              <w:rPr>
                <w:sz w:val="18"/>
                <w:szCs w:val="18"/>
              </w:rPr>
              <w:t xml:space="preserve"> / Service </w:t>
            </w:r>
            <w:r w:rsidR="00954FE2">
              <w:rPr>
                <w:sz w:val="18"/>
                <w:szCs w:val="18"/>
              </w:rPr>
              <w:t xml:space="preserve">and Goods </w:t>
            </w:r>
            <w:r w:rsidR="00C21B4D">
              <w:rPr>
                <w:sz w:val="18"/>
                <w:szCs w:val="18"/>
              </w:rPr>
              <w:t>Recipients</w:t>
            </w:r>
          </w:p>
        </w:tc>
        <w:tc>
          <w:tcPr>
            <w:tcW w:w="4230" w:type="dxa"/>
            <w:shd w:val="clear" w:color="auto" w:fill="auto"/>
          </w:tcPr>
          <w:p w:rsidR="00954FE2" w:rsidRDefault="00C07BD7" w:rsidP="00B71F98">
            <w:pPr>
              <w:rPr>
                <w:sz w:val="18"/>
                <w:szCs w:val="18"/>
              </w:rPr>
            </w:pPr>
            <w:r>
              <w:rPr>
                <w:sz w:val="18"/>
                <w:szCs w:val="18"/>
              </w:rPr>
              <w:t>*Strong b</w:t>
            </w:r>
            <w:r w:rsidR="00954FE2">
              <w:rPr>
                <w:sz w:val="18"/>
                <w:szCs w:val="18"/>
              </w:rPr>
              <w:t xml:space="preserve">rand identification </w:t>
            </w:r>
          </w:p>
          <w:p w:rsidR="002A21FE" w:rsidRPr="00087D1A" w:rsidRDefault="00954FE2" w:rsidP="00954FE2">
            <w:pPr>
              <w:rPr>
                <w:sz w:val="18"/>
                <w:szCs w:val="18"/>
              </w:rPr>
            </w:pPr>
            <w:r>
              <w:rPr>
                <w:sz w:val="18"/>
                <w:szCs w:val="18"/>
              </w:rPr>
              <w:t xml:space="preserve">*increased customer loyalty   </w:t>
            </w:r>
          </w:p>
        </w:tc>
        <w:tc>
          <w:tcPr>
            <w:tcW w:w="947" w:type="dxa"/>
            <w:shd w:val="clear" w:color="auto" w:fill="auto"/>
          </w:tcPr>
          <w:p w:rsidR="002A21FE" w:rsidRDefault="00954FE2" w:rsidP="00B71F98">
            <w:pPr>
              <w:rPr>
                <w:sz w:val="18"/>
                <w:szCs w:val="18"/>
              </w:rPr>
            </w:pPr>
            <w:r>
              <w:rPr>
                <w:sz w:val="18"/>
                <w:szCs w:val="18"/>
              </w:rPr>
              <w:t>+</w:t>
            </w:r>
          </w:p>
          <w:p w:rsidR="00954FE2" w:rsidRPr="00087D1A" w:rsidRDefault="00954FE2" w:rsidP="00B71F98">
            <w:pPr>
              <w:rPr>
                <w:sz w:val="18"/>
                <w:szCs w:val="18"/>
              </w:rPr>
            </w:pPr>
            <w:r>
              <w:rPr>
                <w:sz w:val="18"/>
                <w:szCs w:val="18"/>
              </w:rPr>
              <w:t>+</w:t>
            </w:r>
          </w:p>
        </w:tc>
        <w:tc>
          <w:tcPr>
            <w:tcW w:w="1573" w:type="dxa"/>
            <w:shd w:val="clear" w:color="auto" w:fill="auto"/>
          </w:tcPr>
          <w:p w:rsidR="002A21FE" w:rsidRPr="00087D1A" w:rsidRDefault="00954FE2" w:rsidP="00B71F98">
            <w:pPr>
              <w:rPr>
                <w:sz w:val="18"/>
                <w:szCs w:val="18"/>
              </w:rPr>
            </w:pPr>
            <w:r>
              <w:rPr>
                <w:sz w:val="18"/>
                <w:szCs w:val="18"/>
              </w:rPr>
              <w:t>High</w:t>
            </w:r>
          </w:p>
        </w:tc>
      </w:tr>
      <w:tr w:rsidR="002A21FE" w:rsidTr="00F344BA">
        <w:tc>
          <w:tcPr>
            <w:tcW w:w="2875" w:type="dxa"/>
            <w:shd w:val="clear" w:color="auto" w:fill="auto"/>
          </w:tcPr>
          <w:p w:rsidR="002A21FE" w:rsidRPr="00087D1A" w:rsidRDefault="00376FD4" w:rsidP="002A21FE">
            <w:pPr>
              <w:pStyle w:val="ListParagraph"/>
              <w:numPr>
                <w:ilvl w:val="0"/>
                <w:numId w:val="16"/>
              </w:numPr>
              <w:rPr>
                <w:sz w:val="18"/>
                <w:szCs w:val="18"/>
              </w:rPr>
            </w:pPr>
            <w:r>
              <w:rPr>
                <w:sz w:val="18"/>
                <w:szCs w:val="18"/>
              </w:rPr>
              <w:t>Chamber of Commerce</w:t>
            </w:r>
            <w:r w:rsidR="005F0005">
              <w:rPr>
                <w:sz w:val="18"/>
                <w:szCs w:val="18"/>
              </w:rPr>
              <w:t xml:space="preserve"> </w:t>
            </w:r>
          </w:p>
        </w:tc>
        <w:tc>
          <w:tcPr>
            <w:tcW w:w="4230" w:type="dxa"/>
            <w:shd w:val="clear" w:color="auto" w:fill="auto"/>
          </w:tcPr>
          <w:p w:rsidR="002A21FE" w:rsidRDefault="00954FE2" w:rsidP="00954FE2">
            <w:pPr>
              <w:rPr>
                <w:sz w:val="18"/>
                <w:szCs w:val="18"/>
              </w:rPr>
            </w:pPr>
            <w:r>
              <w:rPr>
                <w:sz w:val="18"/>
                <w:szCs w:val="18"/>
              </w:rPr>
              <w:t>*increasing government support (ex: putting in place quotas for women in corporations</w:t>
            </w:r>
            <w:r w:rsidR="00C07BD7">
              <w:rPr>
                <w:sz w:val="18"/>
                <w:szCs w:val="18"/>
              </w:rPr>
              <w:t xml:space="preserve"> can</w:t>
            </w:r>
            <w:r>
              <w:rPr>
                <w:sz w:val="18"/>
                <w:szCs w:val="18"/>
              </w:rPr>
              <w:t xml:space="preserve"> lead to corporate tax breaks and other state perks)</w:t>
            </w:r>
            <w:r w:rsidR="00781B07">
              <w:rPr>
                <w:sz w:val="18"/>
                <w:szCs w:val="18"/>
              </w:rPr>
              <w:t xml:space="preserve"> </w:t>
            </w:r>
          </w:p>
          <w:p w:rsidR="00781B07" w:rsidRPr="00954FE2" w:rsidRDefault="00781B07" w:rsidP="00781B07">
            <w:pPr>
              <w:rPr>
                <w:sz w:val="18"/>
                <w:szCs w:val="18"/>
              </w:rPr>
            </w:pPr>
            <w:r>
              <w:rPr>
                <w:sz w:val="18"/>
                <w:szCs w:val="18"/>
              </w:rPr>
              <w:t xml:space="preserve">* Implement industry-wide measures to support career women and working mothers  </w:t>
            </w:r>
          </w:p>
        </w:tc>
        <w:tc>
          <w:tcPr>
            <w:tcW w:w="947" w:type="dxa"/>
            <w:shd w:val="clear" w:color="auto" w:fill="auto"/>
          </w:tcPr>
          <w:p w:rsidR="002A21FE" w:rsidRDefault="0057579C" w:rsidP="00B71F98">
            <w:pPr>
              <w:rPr>
                <w:sz w:val="18"/>
                <w:szCs w:val="18"/>
              </w:rPr>
            </w:pPr>
            <w:r>
              <w:rPr>
                <w:sz w:val="18"/>
                <w:szCs w:val="18"/>
              </w:rPr>
              <w:t>+</w:t>
            </w:r>
          </w:p>
          <w:p w:rsidR="001B6B21" w:rsidRDefault="001B6B21" w:rsidP="00B71F98">
            <w:pPr>
              <w:rPr>
                <w:sz w:val="18"/>
                <w:szCs w:val="18"/>
              </w:rPr>
            </w:pPr>
          </w:p>
          <w:p w:rsidR="001B6B21" w:rsidRDefault="001B6B21" w:rsidP="00B71F98">
            <w:pPr>
              <w:rPr>
                <w:sz w:val="18"/>
                <w:szCs w:val="18"/>
              </w:rPr>
            </w:pPr>
          </w:p>
          <w:p w:rsidR="001B6B21" w:rsidRPr="00087D1A" w:rsidRDefault="001B6B21" w:rsidP="00B71F98">
            <w:pPr>
              <w:rPr>
                <w:sz w:val="18"/>
                <w:szCs w:val="18"/>
              </w:rPr>
            </w:pPr>
            <w:r>
              <w:rPr>
                <w:sz w:val="18"/>
                <w:szCs w:val="18"/>
              </w:rPr>
              <w:t>-</w:t>
            </w:r>
          </w:p>
        </w:tc>
        <w:tc>
          <w:tcPr>
            <w:tcW w:w="1573" w:type="dxa"/>
            <w:shd w:val="clear" w:color="auto" w:fill="auto"/>
          </w:tcPr>
          <w:p w:rsidR="002A21FE" w:rsidRPr="00087D1A" w:rsidRDefault="0057579C" w:rsidP="00B71F98">
            <w:pPr>
              <w:rPr>
                <w:sz w:val="18"/>
                <w:szCs w:val="18"/>
              </w:rPr>
            </w:pPr>
            <w:r>
              <w:rPr>
                <w:sz w:val="18"/>
                <w:szCs w:val="18"/>
              </w:rPr>
              <w:t>High</w:t>
            </w:r>
          </w:p>
        </w:tc>
      </w:tr>
      <w:tr w:rsidR="0057579C" w:rsidTr="00F344BA">
        <w:tc>
          <w:tcPr>
            <w:tcW w:w="2875" w:type="dxa"/>
            <w:shd w:val="clear" w:color="auto" w:fill="auto"/>
          </w:tcPr>
          <w:p w:rsidR="0057579C" w:rsidRPr="00087D1A" w:rsidRDefault="0057579C" w:rsidP="0057579C">
            <w:pPr>
              <w:pStyle w:val="ListParagraph"/>
              <w:numPr>
                <w:ilvl w:val="0"/>
                <w:numId w:val="16"/>
              </w:numPr>
              <w:rPr>
                <w:sz w:val="18"/>
                <w:szCs w:val="18"/>
              </w:rPr>
            </w:pPr>
            <w:r>
              <w:rPr>
                <w:sz w:val="18"/>
                <w:szCs w:val="18"/>
              </w:rPr>
              <w:t>Labour Unions</w:t>
            </w:r>
          </w:p>
        </w:tc>
        <w:tc>
          <w:tcPr>
            <w:tcW w:w="4230" w:type="dxa"/>
            <w:shd w:val="clear" w:color="auto" w:fill="auto"/>
          </w:tcPr>
          <w:p w:rsidR="0057579C" w:rsidRPr="00087D1A" w:rsidRDefault="0057579C" w:rsidP="0057579C">
            <w:pPr>
              <w:rPr>
                <w:sz w:val="18"/>
                <w:szCs w:val="18"/>
              </w:rPr>
            </w:pPr>
            <w:r>
              <w:rPr>
                <w:sz w:val="18"/>
                <w:szCs w:val="18"/>
              </w:rPr>
              <w:t>*Increased influence (if women drive up membership)</w:t>
            </w:r>
          </w:p>
        </w:tc>
        <w:tc>
          <w:tcPr>
            <w:tcW w:w="947" w:type="dxa"/>
            <w:shd w:val="clear" w:color="auto" w:fill="auto"/>
          </w:tcPr>
          <w:p w:rsidR="0057579C" w:rsidRPr="00805067" w:rsidRDefault="0057579C" w:rsidP="0057579C">
            <w:r w:rsidRPr="00805067">
              <w:t>+</w:t>
            </w:r>
          </w:p>
        </w:tc>
        <w:tc>
          <w:tcPr>
            <w:tcW w:w="1573" w:type="dxa"/>
            <w:shd w:val="clear" w:color="auto" w:fill="auto"/>
          </w:tcPr>
          <w:p w:rsidR="0057579C" w:rsidRDefault="0057579C" w:rsidP="0057579C">
            <w:r w:rsidRPr="00805067">
              <w:t>High</w:t>
            </w:r>
          </w:p>
        </w:tc>
      </w:tr>
      <w:tr w:rsidR="002A21FE" w:rsidTr="00F344BA">
        <w:tc>
          <w:tcPr>
            <w:tcW w:w="2875" w:type="dxa"/>
            <w:shd w:val="clear" w:color="auto" w:fill="auto"/>
          </w:tcPr>
          <w:p w:rsidR="002A21FE" w:rsidRPr="00087D1A" w:rsidRDefault="005F0005" w:rsidP="002A21FE">
            <w:pPr>
              <w:pStyle w:val="ListParagraph"/>
              <w:numPr>
                <w:ilvl w:val="0"/>
                <w:numId w:val="16"/>
              </w:numPr>
              <w:rPr>
                <w:sz w:val="18"/>
                <w:szCs w:val="18"/>
              </w:rPr>
            </w:pPr>
            <w:r>
              <w:rPr>
                <w:sz w:val="18"/>
                <w:szCs w:val="18"/>
              </w:rPr>
              <w:t>Women Advocacy Groups</w:t>
            </w:r>
          </w:p>
        </w:tc>
        <w:tc>
          <w:tcPr>
            <w:tcW w:w="4230" w:type="dxa"/>
            <w:shd w:val="clear" w:color="auto" w:fill="auto"/>
          </w:tcPr>
          <w:p w:rsidR="002A21FE" w:rsidRPr="00087D1A" w:rsidRDefault="0057579C" w:rsidP="0057579C">
            <w:pPr>
              <w:rPr>
                <w:sz w:val="18"/>
                <w:szCs w:val="18"/>
              </w:rPr>
            </w:pPr>
            <w:r>
              <w:rPr>
                <w:sz w:val="18"/>
                <w:szCs w:val="18"/>
              </w:rPr>
              <w:t>*More visibility and influence in policy design and  decision making processes</w:t>
            </w:r>
          </w:p>
        </w:tc>
        <w:tc>
          <w:tcPr>
            <w:tcW w:w="947" w:type="dxa"/>
            <w:shd w:val="clear" w:color="auto" w:fill="auto"/>
          </w:tcPr>
          <w:p w:rsidR="002A21FE" w:rsidRPr="00087D1A" w:rsidRDefault="002A21FE" w:rsidP="00B71F98">
            <w:pPr>
              <w:rPr>
                <w:sz w:val="18"/>
                <w:szCs w:val="18"/>
              </w:rPr>
            </w:pPr>
          </w:p>
        </w:tc>
        <w:tc>
          <w:tcPr>
            <w:tcW w:w="1573" w:type="dxa"/>
            <w:shd w:val="clear" w:color="auto" w:fill="auto"/>
          </w:tcPr>
          <w:p w:rsidR="002A21FE" w:rsidRPr="00087D1A" w:rsidRDefault="002A21FE" w:rsidP="00B71F98">
            <w:pPr>
              <w:rPr>
                <w:sz w:val="18"/>
                <w:szCs w:val="18"/>
              </w:rPr>
            </w:pPr>
          </w:p>
        </w:tc>
      </w:tr>
      <w:tr w:rsidR="002A21FE" w:rsidTr="00B71F98">
        <w:tc>
          <w:tcPr>
            <w:tcW w:w="2875" w:type="dxa"/>
          </w:tcPr>
          <w:p w:rsidR="002A21FE" w:rsidRDefault="00A7265E" w:rsidP="002A21FE">
            <w:pPr>
              <w:pStyle w:val="ListParagraph"/>
              <w:numPr>
                <w:ilvl w:val="0"/>
                <w:numId w:val="16"/>
              </w:numPr>
              <w:rPr>
                <w:sz w:val="18"/>
                <w:szCs w:val="18"/>
              </w:rPr>
            </w:pPr>
            <w:r>
              <w:rPr>
                <w:sz w:val="18"/>
                <w:szCs w:val="18"/>
              </w:rPr>
              <w:t>Vocation</w:t>
            </w:r>
            <w:r w:rsidR="00E31996">
              <w:rPr>
                <w:sz w:val="18"/>
                <w:szCs w:val="18"/>
              </w:rPr>
              <w:t>al</w:t>
            </w:r>
            <w:r>
              <w:rPr>
                <w:sz w:val="18"/>
                <w:szCs w:val="18"/>
              </w:rPr>
              <w:t xml:space="preserve"> and </w:t>
            </w:r>
            <w:r w:rsidR="006D65B5">
              <w:rPr>
                <w:sz w:val="18"/>
                <w:szCs w:val="18"/>
              </w:rPr>
              <w:t>Tertiary Education Institution</w:t>
            </w:r>
          </w:p>
        </w:tc>
        <w:tc>
          <w:tcPr>
            <w:tcW w:w="4230" w:type="dxa"/>
          </w:tcPr>
          <w:p w:rsidR="002A21FE" w:rsidRDefault="00C07BD7" w:rsidP="00AC1FCC">
            <w:pPr>
              <w:rPr>
                <w:sz w:val="18"/>
                <w:szCs w:val="18"/>
              </w:rPr>
            </w:pPr>
            <w:r>
              <w:rPr>
                <w:sz w:val="18"/>
                <w:szCs w:val="18"/>
              </w:rPr>
              <w:t>*Support</w:t>
            </w:r>
            <w:r w:rsidR="00E31996">
              <w:rPr>
                <w:sz w:val="18"/>
                <w:szCs w:val="18"/>
              </w:rPr>
              <w:t xml:space="preserve"> women training, education and job placement / apprenticeship in non-traditional career fields creates opportunities for collaboration with industry leaders and </w:t>
            </w:r>
            <w:r w:rsidR="00AC1FCC">
              <w:rPr>
                <w:sz w:val="18"/>
                <w:szCs w:val="18"/>
              </w:rPr>
              <w:t>getting feedback f</w:t>
            </w:r>
            <w:r w:rsidR="00E31996">
              <w:rPr>
                <w:sz w:val="18"/>
                <w:szCs w:val="18"/>
              </w:rPr>
              <w:t>r</w:t>
            </w:r>
            <w:r w:rsidR="00AC1FCC">
              <w:rPr>
                <w:sz w:val="18"/>
                <w:szCs w:val="18"/>
              </w:rPr>
              <w:t>om prospective employers on ways to improve</w:t>
            </w:r>
            <w:r w:rsidR="00E31996">
              <w:rPr>
                <w:sz w:val="18"/>
                <w:szCs w:val="18"/>
              </w:rPr>
              <w:t xml:space="preserve"> quality of education and </w:t>
            </w:r>
            <w:r w:rsidR="00AC1FCC">
              <w:rPr>
                <w:sz w:val="18"/>
                <w:szCs w:val="18"/>
              </w:rPr>
              <w:t xml:space="preserve">those of all </w:t>
            </w:r>
            <w:r w:rsidR="00E31996">
              <w:rPr>
                <w:sz w:val="18"/>
                <w:szCs w:val="18"/>
              </w:rPr>
              <w:t xml:space="preserve">graduates—not just women </w:t>
            </w:r>
          </w:p>
        </w:tc>
        <w:tc>
          <w:tcPr>
            <w:tcW w:w="947" w:type="dxa"/>
          </w:tcPr>
          <w:p w:rsidR="002A21FE" w:rsidRDefault="00AC1FCC" w:rsidP="00B71F98">
            <w:pPr>
              <w:rPr>
                <w:sz w:val="18"/>
                <w:szCs w:val="18"/>
              </w:rPr>
            </w:pPr>
            <w:r>
              <w:rPr>
                <w:sz w:val="18"/>
                <w:szCs w:val="18"/>
              </w:rPr>
              <w:t>+</w:t>
            </w:r>
          </w:p>
        </w:tc>
        <w:tc>
          <w:tcPr>
            <w:tcW w:w="1573" w:type="dxa"/>
          </w:tcPr>
          <w:p w:rsidR="002A21FE" w:rsidRPr="00087D1A" w:rsidRDefault="00AC1FCC" w:rsidP="00B71F98">
            <w:pPr>
              <w:rPr>
                <w:sz w:val="18"/>
                <w:szCs w:val="18"/>
              </w:rPr>
            </w:pPr>
            <w:r>
              <w:rPr>
                <w:sz w:val="18"/>
                <w:szCs w:val="18"/>
              </w:rPr>
              <w:t>High</w:t>
            </w:r>
          </w:p>
        </w:tc>
      </w:tr>
      <w:tr w:rsidR="00802ACB" w:rsidTr="00B71F98">
        <w:tc>
          <w:tcPr>
            <w:tcW w:w="2875" w:type="dxa"/>
          </w:tcPr>
          <w:p w:rsidR="00802ACB" w:rsidRDefault="006D65B5" w:rsidP="00D56A8D">
            <w:pPr>
              <w:pStyle w:val="ListParagraph"/>
              <w:numPr>
                <w:ilvl w:val="0"/>
                <w:numId w:val="16"/>
              </w:numPr>
              <w:rPr>
                <w:sz w:val="18"/>
                <w:szCs w:val="18"/>
              </w:rPr>
            </w:pPr>
            <w:r>
              <w:rPr>
                <w:sz w:val="18"/>
                <w:szCs w:val="18"/>
              </w:rPr>
              <w:t xml:space="preserve">Ministry of </w:t>
            </w:r>
            <w:r w:rsidR="00D56A8D">
              <w:rPr>
                <w:sz w:val="18"/>
                <w:szCs w:val="18"/>
              </w:rPr>
              <w:t>Gender</w:t>
            </w:r>
            <w:r>
              <w:rPr>
                <w:sz w:val="18"/>
                <w:szCs w:val="18"/>
              </w:rPr>
              <w:t xml:space="preserve"> and Youth</w:t>
            </w:r>
            <w:r w:rsidR="006D170A">
              <w:rPr>
                <w:sz w:val="18"/>
                <w:szCs w:val="18"/>
              </w:rPr>
              <w:t xml:space="preserve"> </w:t>
            </w:r>
          </w:p>
        </w:tc>
        <w:tc>
          <w:tcPr>
            <w:tcW w:w="4230" w:type="dxa"/>
          </w:tcPr>
          <w:p w:rsidR="00E54AF3" w:rsidRDefault="00E54AF3" w:rsidP="00E54AF3">
            <w:pPr>
              <w:rPr>
                <w:sz w:val="18"/>
                <w:szCs w:val="18"/>
              </w:rPr>
            </w:pPr>
            <w:r>
              <w:rPr>
                <w:sz w:val="18"/>
                <w:szCs w:val="18"/>
              </w:rPr>
              <w:t xml:space="preserve">Increase in number of educated </w:t>
            </w:r>
            <w:r w:rsidR="00ED20EC">
              <w:rPr>
                <w:sz w:val="18"/>
                <w:szCs w:val="18"/>
              </w:rPr>
              <w:t xml:space="preserve">women </w:t>
            </w:r>
            <w:r w:rsidR="006D170A">
              <w:rPr>
                <w:sz w:val="18"/>
                <w:szCs w:val="18"/>
              </w:rPr>
              <w:t xml:space="preserve">professionals </w:t>
            </w:r>
            <w:r>
              <w:rPr>
                <w:sz w:val="18"/>
                <w:szCs w:val="18"/>
              </w:rPr>
              <w:t>and high skilled wo</w:t>
            </w:r>
            <w:r w:rsidR="006D170A">
              <w:rPr>
                <w:sz w:val="18"/>
                <w:szCs w:val="18"/>
              </w:rPr>
              <w:t xml:space="preserve">men laborers who can act as role models and  most importantly as generators of </w:t>
            </w:r>
            <w:r w:rsidR="00ED20EC">
              <w:rPr>
                <w:sz w:val="18"/>
                <w:szCs w:val="18"/>
              </w:rPr>
              <w:t xml:space="preserve">development activities and employment </w:t>
            </w:r>
            <w:r w:rsidR="006D170A">
              <w:rPr>
                <w:sz w:val="18"/>
                <w:szCs w:val="18"/>
              </w:rPr>
              <w:t>for youth</w:t>
            </w:r>
            <w:r w:rsidR="00ED20EC">
              <w:rPr>
                <w:sz w:val="18"/>
                <w:szCs w:val="18"/>
              </w:rPr>
              <w:t xml:space="preserve"> </w:t>
            </w:r>
            <w:r w:rsidR="00417132">
              <w:rPr>
                <w:sz w:val="18"/>
                <w:szCs w:val="18"/>
              </w:rPr>
              <w:t xml:space="preserve"> </w:t>
            </w:r>
          </w:p>
          <w:p w:rsidR="00802ACB" w:rsidRDefault="00802ACB" w:rsidP="00B71F98">
            <w:pPr>
              <w:rPr>
                <w:sz w:val="18"/>
                <w:szCs w:val="18"/>
              </w:rPr>
            </w:pPr>
          </w:p>
        </w:tc>
        <w:tc>
          <w:tcPr>
            <w:tcW w:w="947" w:type="dxa"/>
          </w:tcPr>
          <w:p w:rsidR="00802ACB" w:rsidRDefault="006D170A" w:rsidP="00B71F98">
            <w:pPr>
              <w:rPr>
                <w:sz w:val="18"/>
                <w:szCs w:val="18"/>
              </w:rPr>
            </w:pPr>
            <w:r>
              <w:rPr>
                <w:sz w:val="18"/>
                <w:szCs w:val="18"/>
              </w:rPr>
              <w:t>+</w:t>
            </w:r>
          </w:p>
        </w:tc>
        <w:tc>
          <w:tcPr>
            <w:tcW w:w="1573" w:type="dxa"/>
          </w:tcPr>
          <w:p w:rsidR="00802ACB" w:rsidRPr="00087D1A" w:rsidRDefault="00ED20EC" w:rsidP="00B71F98">
            <w:pPr>
              <w:rPr>
                <w:sz w:val="18"/>
                <w:szCs w:val="18"/>
              </w:rPr>
            </w:pPr>
            <w:r>
              <w:rPr>
                <w:sz w:val="18"/>
                <w:szCs w:val="18"/>
              </w:rPr>
              <w:t>High</w:t>
            </w:r>
          </w:p>
        </w:tc>
      </w:tr>
      <w:tr w:rsidR="00802ACB" w:rsidTr="00B71F98">
        <w:tc>
          <w:tcPr>
            <w:tcW w:w="2875" w:type="dxa"/>
          </w:tcPr>
          <w:p w:rsidR="00802ACB" w:rsidRDefault="006D65B5" w:rsidP="002A21FE">
            <w:pPr>
              <w:pStyle w:val="ListParagraph"/>
              <w:numPr>
                <w:ilvl w:val="0"/>
                <w:numId w:val="16"/>
              </w:numPr>
              <w:rPr>
                <w:sz w:val="18"/>
                <w:szCs w:val="18"/>
              </w:rPr>
            </w:pPr>
            <w:r>
              <w:rPr>
                <w:sz w:val="18"/>
                <w:szCs w:val="18"/>
              </w:rPr>
              <w:t>Ministry of Labor and Employment</w:t>
            </w:r>
          </w:p>
        </w:tc>
        <w:tc>
          <w:tcPr>
            <w:tcW w:w="4230" w:type="dxa"/>
          </w:tcPr>
          <w:p w:rsidR="00A7265E" w:rsidRDefault="00A7265E" w:rsidP="00A7265E">
            <w:pPr>
              <w:rPr>
                <w:sz w:val="18"/>
                <w:szCs w:val="18"/>
              </w:rPr>
            </w:pPr>
            <w:r>
              <w:rPr>
                <w:sz w:val="18"/>
                <w:szCs w:val="18"/>
              </w:rPr>
              <w:t xml:space="preserve">Increased human capital and economic actors; </w:t>
            </w:r>
          </w:p>
          <w:p w:rsidR="00802ACB" w:rsidRDefault="00A7265E" w:rsidP="00C07BD7">
            <w:pPr>
              <w:rPr>
                <w:sz w:val="18"/>
                <w:szCs w:val="18"/>
              </w:rPr>
            </w:pPr>
            <w:r>
              <w:rPr>
                <w:sz w:val="18"/>
                <w:szCs w:val="18"/>
              </w:rPr>
              <w:t>N</w:t>
            </w:r>
            <w:r w:rsidR="00C07BD7">
              <w:rPr>
                <w:sz w:val="18"/>
                <w:szCs w:val="18"/>
              </w:rPr>
              <w:t>ew businesses and employers can</w:t>
            </w:r>
            <w:r>
              <w:rPr>
                <w:sz w:val="18"/>
                <w:szCs w:val="18"/>
              </w:rPr>
              <w:t xml:space="preserve"> </w:t>
            </w:r>
            <w:r w:rsidR="00C07BD7">
              <w:rPr>
                <w:sz w:val="18"/>
                <w:szCs w:val="18"/>
              </w:rPr>
              <w:t>emerge</w:t>
            </w:r>
          </w:p>
        </w:tc>
        <w:tc>
          <w:tcPr>
            <w:tcW w:w="947" w:type="dxa"/>
          </w:tcPr>
          <w:p w:rsidR="00802ACB" w:rsidRDefault="00A7265E" w:rsidP="00B71F98">
            <w:pPr>
              <w:rPr>
                <w:sz w:val="18"/>
                <w:szCs w:val="18"/>
              </w:rPr>
            </w:pPr>
            <w:r>
              <w:rPr>
                <w:sz w:val="18"/>
                <w:szCs w:val="18"/>
              </w:rPr>
              <w:t>+</w:t>
            </w:r>
          </w:p>
          <w:p w:rsidR="00A7265E" w:rsidRDefault="00A7265E" w:rsidP="00B71F98">
            <w:pPr>
              <w:rPr>
                <w:sz w:val="18"/>
                <w:szCs w:val="18"/>
              </w:rPr>
            </w:pPr>
            <w:r>
              <w:rPr>
                <w:sz w:val="18"/>
                <w:szCs w:val="18"/>
              </w:rPr>
              <w:t>+</w:t>
            </w:r>
          </w:p>
        </w:tc>
        <w:tc>
          <w:tcPr>
            <w:tcW w:w="1573" w:type="dxa"/>
          </w:tcPr>
          <w:p w:rsidR="00802ACB" w:rsidRPr="00087D1A" w:rsidRDefault="00931F2B" w:rsidP="00B71F98">
            <w:pPr>
              <w:rPr>
                <w:sz w:val="18"/>
                <w:szCs w:val="18"/>
              </w:rPr>
            </w:pPr>
            <w:r>
              <w:rPr>
                <w:sz w:val="18"/>
                <w:szCs w:val="18"/>
              </w:rPr>
              <w:t>High</w:t>
            </w:r>
          </w:p>
        </w:tc>
      </w:tr>
      <w:tr w:rsidR="006D65B5" w:rsidTr="00B71F98">
        <w:tc>
          <w:tcPr>
            <w:tcW w:w="2875" w:type="dxa"/>
          </w:tcPr>
          <w:p w:rsidR="006D65B5" w:rsidRDefault="006F3C2C" w:rsidP="00D56A8D">
            <w:pPr>
              <w:pStyle w:val="ListParagraph"/>
              <w:numPr>
                <w:ilvl w:val="0"/>
                <w:numId w:val="16"/>
              </w:numPr>
              <w:rPr>
                <w:sz w:val="18"/>
                <w:szCs w:val="18"/>
              </w:rPr>
            </w:pPr>
            <w:r>
              <w:rPr>
                <w:sz w:val="18"/>
                <w:szCs w:val="18"/>
              </w:rPr>
              <w:t xml:space="preserve">Ministry of Health </w:t>
            </w:r>
          </w:p>
        </w:tc>
        <w:tc>
          <w:tcPr>
            <w:tcW w:w="4230" w:type="dxa"/>
          </w:tcPr>
          <w:p w:rsidR="006D65B5" w:rsidRDefault="00E54AF3" w:rsidP="00B71F98">
            <w:pPr>
              <w:rPr>
                <w:sz w:val="18"/>
                <w:szCs w:val="18"/>
              </w:rPr>
            </w:pPr>
            <w:r>
              <w:rPr>
                <w:sz w:val="18"/>
                <w:szCs w:val="18"/>
              </w:rPr>
              <w:t xml:space="preserve">*More educated and economically empowered women and girls </w:t>
            </w:r>
          </w:p>
          <w:p w:rsidR="00E54AF3" w:rsidRDefault="00C07BD7" w:rsidP="00E54AF3">
            <w:pPr>
              <w:rPr>
                <w:sz w:val="18"/>
                <w:szCs w:val="18"/>
              </w:rPr>
            </w:pPr>
            <w:r>
              <w:rPr>
                <w:sz w:val="18"/>
                <w:szCs w:val="18"/>
              </w:rPr>
              <w:t>*L</w:t>
            </w:r>
            <w:r w:rsidR="00E54AF3">
              <w:rPr>
                <w:sz w:val="18"/>
                <w:szCs w:val="18"/>
              </w:rPr>
              <w:t>ow maternal mortality rates, HIV infections, etc.</w:t>
            </w:r>
          </w:p>
        </w:tc>
        <w:tc>
          <w:tcPr>
            <w:tcW w:w="947" w:type="dxa"/>
          </w:tcPr>
          <w:p w:rsidR="006D65B5" w:rsidRDefault="00E54AF3" w:rsidP="00B71F98">
            <w:pPr>
              <w:rPr>
                <w:sz w:val="18"/>
                <w:szCs w:val="18"/>
              </w:rPr>
            </w:pPr>
            <w:r>
              <w:rPr>
                <w:sz w:val="18"/>
                <w:szCs w:val="18"/>
              </w:rPr>
              <w:t>+</w:t>
            </w:r>
          </w:p>
          <w:p w:rsidR="00E54AF3" w:rsidRDefault="00E54AF3" w:rsidP="00B71F98">
            <w:pPr>
              <w:rPr>
                <w:sz w:val="18"/>
                <w:szCs w:val="18"/>
              </w:rPr>
            </w:pPr>
          </w:p>
          <w:p w:rsidR="00E54AF3" w:rsidRDefault="00E54AF3" w:rsidP="00B71F98">
            <w:pPr>
              <w:rPr>
                <w:sz w:val="18"/>
                <w:szCs w:val="18"/>
              </w:rPr>
            </w:pPr>
            <w:r>
              <w:rPr>
                <w:sz w:val="18"/>
                <w:szCs w:val="18"/>
              </w:rPr>
              <w:t>+</w:t>
            </w:r>
          </w:p>
        </w:tc>
        <w:tc>
          <w:tcPr>
            <w:tcW w:w="1573" w:type="dxa"/>
          </w:tcPr>
          <w:p w:rsidR="006D65B5" w:rsidRPr="00087D1A" w:rsidRDefault="006D65B5" w:rsidP="00B71F98">
            <w:pPr>
              <w:rPr>
                <w:sz w:val="18"/>
                <w:szCs w:val="18"/>
              </w:rPr>
            </w:pPr>
          </w:p>
        </w:tc>
      </w:tr>
      <w:tr w:rsidR="006D65B5" w:rsidTr="00B71F98">
        <w:tc>
          <w:tcPr>
            <w:tcW w:w="2875" w:type="dxa"/>
          </w:tcPr>
          <w:p w:rsidR="006D65B5" w:rsidRDefault="00A7265E" w:rsidP="002A21FE">
            <w:pPr>
              <w:pStyle w:val="ListParagraph"/>
              <w:numPr>
                <w:ilvl w:val="0"/>
                <w:numId w:val="16"/>
              </w:numPr>
              <w:rPr>
                <w:sz w:val="18"/>
                <w:szCs w:val="18"/>
              </w:rPr>
            </w:pPr>
            <w:r>
              <w:rPr>
                <w:sz w:val="18"/>
                <w:szCs w:val="18"/>
              </w:rPr>
              <w:t>Ministry of Justice</w:t>
            </w:r>
          </w:p>
        </w:tc>
        <w:tc>
          <w:tcPr>
            <w:tcW w:w="4230" w:type="dxa"/>
          </w:tcPr>
          <w:p w:rsidR="006D65B5" w:rsidRDefault="00850749" w:rsidP="00B71F98">
            <w:pPr>
              <w:rPr>
                <w:sz w:val="18"/>
                <w:szCs w:val="18"/>
              </w:rPr>
            </w:pPr>
            <w:r>
              <w:rPr>
                <w:sz w:val="18"/>
                <w:szCs w:val="18"/>
              </w:rPr>
              <w:t>*Adopting and consistently reinforcing anti… discrimination, sexual harassment and other legislations</w:t>
            </w:r>
            <w:r w:rsidR="00A5366E">
              <w:rPr>
                <w:sz w:val="18"/>
                <w:szCs w:val="18"/>
              </w:rPr>
              <w:t xml:space="preserve">—Labor Law Amendments </w:t>
            </w:r>
          </w:p>
          <w:p w:rsidR="00850749" w:rsidRDefault="00850749" w:rsidP="00B71F98">
            <w:pPr>
              <w:rPr>
                <w:sz w:val="18"/>
                <w:szCs w:val="18"/>
              </w:rPr>
            </w:pPr>
            <w:r>
              <w:rPr>
                <w:sz w:val="18"/>
                <w:szCs w:val="18"/>
              </w:rPr>
              <w:t>*Create deterrence value; self-policing among employers</w:t>
            </w:r>
          </w:p>
          <w:p w:rsidR="00850749" w:rsidRDefault="00850749" w:rsidP="00B71F98">
            <w:pPr>
              <w:rPr>
                <w:sz w:val="18"/>
                <w:szCs w:val="18"/>
              </w:rPr>
            </w:pPr>
            <w:r>
              <w:rPr>
                <w:sz w:val="18"/>
                <w:szCs w:val="18"/>
              </w:rPr>
              <w:t xml:space="preserve">*improved legal framework for </w:t>
            </w:r>
            <w:r w:rsidR="00F45194">
              <w:rPr>
                <w:sz w:val="18"/>
                <w:szCs w:val="18"/>
              </w:rPr>
              <w:t xml:space="preserve">big </w:t>
            </w:r>
            <w:r>
              <w:rPr>
                <w:sz w:val="18"/>
                <w:szCs w:val="18"/>
              </w:rPr>
              <w:t>business</w:t>
            </w:r>
            <w:r w:rsidR="00F45194">
              <w:rPr>
                <w:sz w:val="18"/>
                <w:szCs w:val="18"/>
              </w:rPr>
              <w:t xml:space="preserve"> (FDI)</w:t>
            </w:r>
            <w:r>
              <w:rPr>
                <w:sz w:val="18"/>
                <w:szCs w:val="18"/>
              </w:rPr>
              <w:t>, entrepreneurs and society at large</w:t>
            </w:r>
          </w:p>
          <w:p w:rsidR="00850749" w:rsidRDefault="00850749" w:rsidP="00B71F98">
            <w:pPr>
              <w:rPr>
                <w:sz w:val="18"/>
                <w:szCs w:val="18"/>
              </w:rPr>
            </w:pPr>
          </w:p>
        </w:tc>
        <w:tc>
          <w:tcPr>
            <w:tcW w:w="947" w:type="dxa"/>
          </w:tcPr>
          <w:p w:rsidR="006D65B5" w:rsidRDefault="00850749" w:rsidP="00B71F98">
            <w:pPr>
              <w:rPr>
                <w:sz w:val="18"/>
                <w:szCs w:val="18"/>
              </w:rPr>
            </w:pPr>
            <w:r>
              <w:rPr>
                <w:sz w:val="18"/>
                <w:szCs w:val="18"/>
              </w:rPr>
              <w:t xml:space="preserve">+ </w:t>
            </w:r>
          </w:p>
          <w:p w:rsidR="00850749" w:rsidRDefault="00850749" w:rsidP="00B71F98">
            <w:pPr>
              <w:rPr>
                <w:sz w:val="18"/>
                <w:szCs w:val="18"/>
              </w:rPr>
            </w:pPr>
          </w:p>
          <w:p w:rsidR="00850749" w:rsidRDefault="00850749" w:rsidP="00B71F98">
            <w:pPr>
              <w:rPr>
                <w:sz w:val="18"/>
                <w:szCs w:val="18"/>
              </w:rPr>
            </w:pPr>
          </w:p>
          <w:p w:rsidR="00850749" w:rsidRDefault="00850749" w:rsidP="00B71F98">
            <w:pPr>
              <w:rPr>
                <w:sz w:val="18"/>
                <w:szCs w:val="18"/>
              </w:rPr>
            </w:pPr>
            <w:r>
              <w:rPr>
                <w:sz w:val="18"/>
                <w:szCs w:val="18"/>
              </w:rPr>
              <w:t>+ / -</w:t>
            </w:r>
          </w:p>
          <w:p w:rsidR="00850749" w:rsidRDefault="00850749" w:rsidP="00B71F98">
            <w:pPr>
              <w:rPr>
                <w:sz w:val="18"/>
                <w:szCs w:val="18"/>
              </w:rPr>
            </w:pPr>
          </w:p>
          <w:p w:rsidR="00850749" w:rsidRDefault="00850749" w:rsidP="00B71F98">
            <w:pPr>
              <w:rPr>
                <w:sz w:val="18"/>
                <w:szCs w:val="18"/>
              </w:rPr>
            </w:pPr>
            <w:r>
              <w:rPr>
                <w:sz w:val="18"/>
                <w:szCs w:val="18"/>
              </w:rPr>
              <w:t>+</w:t>
            </w:r>
            <w:r w:rsidR="00E54AF3">
              <w:rPr>
                <w:sz w:val="18"/>
                <w:szCs w:val="18"/>
              </w:rPr>
              <w:t xml:space="preserve"> / -</w:t>
            </w:r>
          </w:p>
        </w:tc>
        <w:tc>
          <w:tcPr>
            <w:tcW w:w="1573" w:type="dxa"/>
          </w:tcPr>
          <w:p w:rsidR="006D65B5" w:rsidRDefault="00850749" w:rsidP="00B71F98">
            <w:pPr>
              <w:rPr>
                <w:sz w:val="18"/>
                <w:szCs w:val="18"/>
              </w:rPr>
            </w:pPr>
            <w:r>
              <w:rPr>
                <w:sz w:val="18"/>
                <w:szCs w:val="18"/>
              </w:rPr>
              <w:t>High</w:t>
            </w:r>
          </w:p>
          <w:p w:rsidR="00E54AF3" w:rsidRDefault="00E54AF3" w:rsidP="00B71F98">
            <w:pPr>
              <w:rPr>
                <w:sz w:val="18"/>
                <w:szCs w:val="18"/>
              </w:rPr>
            </w:pPr>
          </w:p>
          <w:p w:rsidR="00E54AF3" w:rsidRDefault="00E54AF3" w:rsidP="00B71F98">
            <w:pPr>
              <w:rPr>
                <w:sz w:val="18"/>
                <w:szCs w:val="18"/>
              </w:rPr>
            </w:pPr>
          </w:p>
          <w:p w:rsidR="00E54AF3" w:rsidRDefault="00E54AF3" w:rsidP="00B71F98">
            <w:pPr>
              <w:rPr>
                <w:sz w:val="18"/>
                <w:szCs w:val="18"/>
              </w:rPr>
            </w:pPr>
            <w:r>
              <w:rPr>
                <w:sz w:val="18"/>
                <w:szCs w:val="18"/>
              </w:rPr>
              <w:t>Medium / High</w:t>
            </w:r>
          </w:p>
          <w:p w:rsidR="00E54AF3" w:rsidRDefault="00E54AF3" w:rsidP="00B71F98">
            <w:pPr>
              <w:rPr>
                <w:sz w:val="18"/>
                <w:szCs w:val="18"/>
              </w:rPr>
            </w:pPr>
          </w:p>
          <w:p w:rsidR="00E54AF3" w:rsidRDefault="00E54AF3" w:rsidP="00B71F98">
            <w:pPr>
              <w:rPr>
                <w:sz w:val="18"/>
                <w:szCs w:val="18"/>
              </w:rPr>
            </w:pPr>
            <w:r>
              <w:rPr>
                <w:sz w:val="18"/>
                <w:szCs w:val="18"/>
              </w:rPr>
              <w:t>Medium / High</w:t>
            </w:r>
          </w:p>
          <w:p w:rsidR="00E54AF3" w:rsidRPr="00087D1A" w:rsidRDefault="00E54AF3" w:rsidP="00B71F98">
            <w:pPr>
              <w:rPr>
                <w:sz w:val="18"/>
                <w:szCs w:val="18"/>
              </w:rPr>
            </w:pPr>
          </w:p>
        </w:tc>
      </w:tr>
      <w:tr w:rsidR="002A21FE" w:rsidTr="00664ACF">
        <w:tc>
          <w:tcPr>
            <w:tcW w:w="2875" w:type="dxa"/>
            <w:shd w:val="clear" w:color="auto" w:fill="00B0F0"/>
          </w:tcPr>
          <w:p w:rsidR="002A21FE" w:rsidRPr="00230962" w:rsidRDefault="002A21FE" w:rsidP="00B71F98">
            <w:pPr>
              <w:rPr>
                <w:b/>
                <w:sz w:val="18"/>
                <w:szCs w:val="18"/>
              </w:rPr>
            </w:pPr>
            <w:r w:rsidRPr="00230962">
              <w:rPr>
                <w:b/>
                <w:sz w:val="18"/>
                <w:szCs w:val="18"/>
              </w:rPr>
              <w:t>External</w:t>
            </w:r>
          </w:p>
        </w:tc>
        <w:tc>
          <w:tcPr>
            <w:tcW w:w="4230" w:type="dxa"/>
            <w:shd w:val="clear" w:color="auto" w:fill="00B0F0"/>
          </w:tcPr>
          <w:p w:rsidR="002A21FE" w:rsidRPr="00087D1A" w:rsidRDefault="002A21FE" w:rsidP="00B71F98">
            <w:pPr>
              <w:rPr>
                <w:sz w:val="18"/>
                <w:szCs w:val="18"/>
              </w:rPr>
            </w:pPr>
          </w:p>
        </w:tc>
        <w:tc>
          <w:tcPr>
            <w:tcW w:w="947" w:type="dxa"/>
            <w:shd w:val="clear" w:color="auto" w:fill="00B0F0"/>
          </w:tcPr>
          <w:p w:rsidR="002A21FE" w:rsidRPr="00087D1A" w:rsidRDefault="002A21FE" w:rsidP="00B71F98">
            <w:pPr>
              <w:rPr>
                <w:sz w:val="18"/>
                <w:szCs w:val="18"/>
              </w:rPr>
            </w:pPr>
          </w:p>
        </w:tc>
        <w:tc>
          <w:tcPr>
            <w:tcW w:w="1573" w:type="dxa"/>
            <w:shd w:val="clear" w:color="auto" w:fill="00B0F0"/>
          </w:tcPr>
          <w:p w:rsidR="002A21FE" w:rsidRPr="00087D1A" w:rsidRDefault="002A21FE" w:rsidP="00B71F98">
            <w:pPr>
              <w:rPr>
                <w:sz w:val="18"/>
                <w:szCs w:val="18"/>
              </w:rPr>
            </w:pPr>
          </w:p>
        </w:tc>
      </w:tr>
      <w:tr w:rsidR="002A21FE" w:rsidTr="00B71F98">
        <w:tc>
          <w:tcPr>
            <w:tcW w:w="2875" w:type="dxa"/>
          </w:tcPr>
          <w:p w:rsidR="002A21FE" w:rsidRPr="00230962" w:rsidRDefault="00A9793A" w:rsidP="00A9793A">
            <w:pPr>
              <w:pStyle w:val="ListParagraph"/>
              <w:numPr>
                <w:ilvl w:val="0"/>
                <w:numId w:val="17"/>
              </w:numPr>
              <w:rPr>
                <w:sz w:val="18"/>
                <w:szCs w:val="18"/>
              </w:rPr>
            </w:pPr>
            <w:r>
              <w:rPr>
                <w:sz w:val="18"/>
                <w:szCs w:val="18"/>
              </w:rPr>
              <w:t xml:space="preserve">UN Organizations &amp; </w:t>
            </w:r>
          </w:p>
        </w:tc>
        <w:tc>
          <w:tcPr>
            <w:tcW w:w="4230" w:type="dxa"/>
          </w:tcPr>
          <w:p w:rsidR="002A21FE" w:rsidRPr="00087D1A" w:rsidRDefault="0057579C" w:rsidP="00B71F98">
            <w:pPr>
              <w:rPr>
                <w:sz w:val="18"/>
                <w:szCs w:val="18"/>
              </w:rPr>
            </w:pPr>
            <w:r>
              <w:rPr>
                <w:sz w:val="18"/>
                <w:szCs w:val="18"/>
              </w:rPr>
              <w:t xml:space="preserve">*Increased development outcomes </w:t>
            </w:r>
          </w:p>
        </w:tc>
        <w:tc>
          <w:tcPr>
            <w:tcW w:w="947" w:type="dxa"/>
          </w:tcPr>
          <w:p w:rsidR="002A21FE" w:rsidRPr="00087D1A" w:rsidRDefault="00936D17" w:rsidP="00B71F98">
            <w:pPr>
              <w:rPr>
                <w:sz w:val="18"/>
                <w:szCs w:val="18"/>
              </w:rPr>
            </w:pPr>
            <w:r>
              <w:rPr>
                <w:sz w:val="18"/>
                <w:szCs w:val="18"/>
              </w:rPr>
              <w:t>+</w:t>
            </w:r>
          </w:p>
        </w:tc>
        <w:tc>
          <w:tcPr>
            <w:tcW w:w="1573" w:type="dxa"/>
          </w:tcPr>
          <w:p w:rsidR="002A21FE" w:rsidRPr="00087D1A" w:rsidRDefault="00936D17" w:rsidP="00B71F98">
            <w:pPr>
              <w:rPr>
                <w:sz w:val="18"/>
                <w:szCs w:val="18"/>
              </w:rPr>
            </w:pPr>
            <w:r>
              <w:rPr>
                <w:sz w:val="18"/>
                <w:szCs w:val="18"/>
              </w:rPr>
              <w:t>Medium</w:t>
            </w:r>
          </w:p>
        </w:tc>
      </w:tr>
      <w:tr w:rsidR="002A21FE" w:rsidTr="00B71F98">
        <w:tc>
          <w:tcPr>
            <w:tcW w:w="2875" w:type="dxa"/>
          </w:tcPr>
          <w:p w:rsidR="002A21FE" w:rsidRPr="00230962" w:rsidRDefault="00A9793A" w:rsidP="002A21FE">
            <w:pPr>
              <w:pStyle w:val="ListParagraph"/>
              <w:numPr>
                <w:ilvl w:val="0"/>
                <w:numId w:val="17"/>
              </w:numPr>
              <w:rPr>
                <w:sz w:val="18"/>
                <w:szCs w:val="18"/>
              </w:rPr>
            </w:pPr>
            <w:r>
              <w:rPr>
                <w:sz w:val="18"/>
                <w:szCs w:val="18"/>
              </w:rPr>
              <w:t>Regional Organizations (AU, etc.)</w:t>
            </w:r>
          </w:p>
        </w:tc>
        <w:tc>
          <w:tcPr>
            <w:tcW w:w="4230" w:type="dxa"/>
          </w:tcPr>
          <w:p w:rsidR="002A21FE" w:rsidRPr="00087D1A" w:rsidRDefault="0057579C" w:rsidP="00936D17">
            <w:pPr>
              <w:rPr>
                <w:sz w:val="18"/>
                <w:szCs w:val="18"/>
              </w:rPr>
            </w:pPr>
            <w:r>
              <w:rPr>
                <w:sz w:val="18"/>
                <w:szCs w:val="18"/>
              </w:rPr>
              <w:t>*</w:t>
            </w:r>
            <w:r w:rsidR="00936D17">
              <w:rPr>
                <w:sz w:val="18"/>
                <w:szCs w:val="18"/>
              </w:rPr>
              <w:t>Increased</w:t>
            </w:r>
            <w:r>
              <w:rPr>
                <w:sz w:val="18"/>
                <w:szCs w:val="18"/>
              </w:rPr>
              <w:t xml:space="preserve"> </w:t>
            </w:r>
            <w:r w:rsidR="00936D17">
              <w:rPr>
                <w:sz w:val="18"/>
                <w:szCs w:val="18"/>
              </w:rPr>
              <w:t xml:space="preserve">influence </w:t>
            </w:r>
            <w:r>
              <w:rPr>
                <w:sz w:val="18"/>
                <w:szCs w:val="18"/>
              </w:rPr>
              <w:t xml:space="preserve">of regional </w:t>
            </w:r>
            <w:r w:rsidR="00936D17">
              <w:rPr>
                <w:sz w:val="18"/>
                <w:szCs w:val="18"/>
              </w:rPr>
              <w:t>agenda and cohesion of member states (improvements in level of cooperation)</w:t>
            </w:r>
          </w:p>
        </w:tc>
        <w:tc>
          <w:tcPr>
            <w:tcW w:w="947" w:type="dxa"/>
          </w:tcPr>
          <w:p w:rsidR="002A21FE" w:rsidRPr="00087D1A" w:rsidRDefault="00936D17" w:rsidP="00B71F98">
            <w:pPr>
              <w:rPr>
                <w:sz w:val="18"/>
                <w:szCs w:val="18"/>
              </w:rPr>
            </w:pPr>
            <w:r>
              <w:rPr>
                <w:sz w:val="18"/>
                <w:szCs w:val="18"/>
              </w:rPr>
              <w:t>+</w:t>
            </w:r>
          </w:p>
        </w:tc>
        <w:tc>
          <w:tcPr>
            <w:tcW w:w="1573" w:type="dxa"/>
          </w:tcPr>
          <w:p w:rsidR="002A21FE" w:rsidRPr="00087D1A" w:rsidRDefault="00936D17" w:rsidP="00B71F98">
            <w:pPr>
              <w:rPr>
                <w:sz w:val="18"/>
                <w:szCs w:val="18"/>
              </w:rPr>
            </w:pPr>
            <w:r>
              <w:rPr>
                <w:sz w:val="18"/>
                <w:szCs w:val="18"/>
              </w:rPr>
              <w:t>Medium</w:t>
            </w:r>
          </w:p>
        </w:tc>
      </w:tr>
      <w:tr w:rsidR="002A21FE" w:rsidTr="00B71F98">
        <w:tc>
          <w:tcPr>
            <w:tcW w:w="2875" w:type="dxa"/>
          </w:tcPr>
          <w:p w:rsidR="002A21FE" w:rsidRPr="00230962" w:rsidRDefault="00A9793A" w:rsidP="002A21FE">
            <w:pPr>
              <w:pStyle w:val="ListParagraph"/>
              <w:numPr>
                <w:ilvl w:val="0"/>
                <w:numId w:val="17"/>
              </w:numPr>
              <w:rPr>
                <w:sz w:val="18"/>
                <w:szCs w:val="18"/>
              </w:rPr>
            </w:pPr>
            <w:r>
              <w:rPr>
                <w:sz w:val="18"/>
                <w:szCs w:val="18"/>
              </w:rPr>
              <w:t xml:space="preserve">International Development Partners </w:t>
            </w:r>
          </w:p>
        </w:tc>
        <w:tc>
          <w:tcPr>
            <w:tcW w:w="4230" w:type="dxa"/>
          </w:tcPr>
          <w:p w:rsidR="00936D17" w:rsidRDefault="00936D17" w:rsidP="00B71F98">
            <w:pPr>
              <w:rPr>
                <w:sz w:val="18"/>
                <w:szCs w:val="18"/>
              </w:rPr>
            </w:pPr>
            <w:r>
              <w:rPr>
                <w:sz w:val="18"/>
                <w:szCs w:val="18"/>
              </w:rPr>
              <w:t>*Priorities implemented</w:t>
            </w:r>
          </w:p>
          <w:p w:rsidR="002A21FE" w:rsidRPr="00087D1A" w:rsidRDefault="00936D17" w:rsidP="00936D17">
            <w:pPr>
              <w:rPr>
                <w:sz w:val="18"/>
                <w:szCs w:val="18"/>
              </w:rPr>
            </w:pPr>
            <w:r>
              <w:rPr>
                <w:sz w:val="18"/>
                <w:szCs w:val="18"/>
              </w:rPr>
              <w:t xml:space="preserve">*Opportunities for further collaboration </w:t>
            </w:r>
          </w:p>
        </w:tc>
        <w:tc>
          <w:tcPr>
            <w:tcW w:w="947" w:type="dxa"/>
          </w:tcPr>
          <w:p w:rsidR="002A21FE" w:rsidRPr="00087D1A" w:rsidRDefault="00936D17" w:rsidP="00B71F98">
            <w:pPr>
              <w:rPr>
                <w:sz w:val="18"/>
                <w:szCs w:val="18"/>
              </w:rPr>
            </w:pPr>
            <w:r>
              <w:rPr>
                <w:sz w:val="18"/>
                <w:szCs w:val="18"/>
              </w:rPr>
              <w:t>+</w:t>
            </w:r>
          </w:p>
        </w:tc>
        <w:tc>
          <w:tcPr>
            <w:tcW w:w="1573" w:type="dxa"/>
          </w:tcPr>
          <w:p w:rsidR="002A21FE" w:rsidRPr="00087D1A" w:rsidRDefault="00936D17" w:rsidP="00B71F98">
            <w:pPr>
              <w:rPr>
                <w:sz w:val="18"/>
                <w:szCs w:val="18"/>
              </w:rPr>
            </w:pPr>
            <w:r>
              <w:rPr>
                <w:sz w:val="18"/>
                <w:szCs w:val="18"/>
              </w:rPr>
              <w:t>Low / Medium</w:t>
            </w:r>
          </w:p>
        </w:tc>
      </w:tr>
    </w:tbl>
    <w:p w:rsidR="002A21FE" w:rsidRDefault="002A21FE" w:rsidP="008120AC">
      <w:pPr>
        <w:rPr>
          <w:rFonts w:ascii="Times New Roman" w:hAnsi="Times New Roman" w:cs="Times New Roman"/>
          <w:color w:val="333333"/>
          <w:sz w:val="24"/>
          <w:szCs w:val="24"/>
          <w:shd w:val="clear" w:color="auto" w:fill="FFFFFF"/>
        </w:rPr>
      </w:pPr>
    </w:p>
    <w:p w:rsidR="00D56A8D" w:rsidRDefault="00D56A8D" w:rsidP="008120AC">
      <w:pPr>
        <w:rPr>
          <w:rFonts w:ascii="Times New Roman" w:hAnsi="Times New Roman" w:cs="Times New Roman"/>
          <w:color w:val="333333"/>
          <w:sz w:val="24"/>
          <w:szCs w:val="24"/>
          <w:shd w:val="clear" w:color="auto" w:fill="FFFFFF"/>
        </w:rPr>
      </w:pPr>
    </w:p>
    <w:p w:rsidR="00D56A8D" w:rsidRDefault="00D56A8D" w:rsidP="008120AC">
      <w:pPr>
        <w:rPr>
          <w:rFonts w:ascii="Times New Roman" w:hAnsi="Times New Roman" w:cs="Times New Roman"/>
          <w:color w:val="333333"/>
          <w:sz w:val="24"/>
          <w:szCs w:val="24"/>
          <w:shd w:val="clear" w:color="auto" w:fill="FFFFFF"/>
        </w:rPr>
      </w:pPr>
    </w:p>
    <w:p w:rsidR="00C8156D" w:rsidRDefault="00C8156D" w:rsidP="008120AC">
      <w:pPr>
        <w:rPr>
          <w:rFonts w:ascii="Times New Roman" w:hAnsi="Times New Roman" w:cs="Times New Roman"/>
          <w:color w:val="333333"/>
          <w:sz w:val="24"/>
          <w:szCs w:val="24"/>
          <w:shd w:val="clear" w:color="auto" w:fill="FFFFFF"/>
        </w:rPr>
      </w:pPr>
    </w:p>
    <w:p w:rsidR="00C8156D" w:rsidRDefault="00C8156D" w:rsidP="008120AC">
      <w:pPr>
        <w:rPr>
          <w:rFonts w:ascii="Times New Roman" w:hAnsi="Times New Roman" w:cs="Times New Roman"/>
          <w:color w:val="333333"/>
          <w:sz w:val="24"/>
          <w:szCs w:val="24"/>
          <w:shd w:val="clear" w:color="auto" w:fill="FFFFFF"/>
        </w:rPr>
      </w:pPr>
    </w:p>
    <w:tbl>
      <w:tblPr>
        <w:tblStyle w:val="TableGrid"/>
        <w:tblW w:w="0" w:type="auto"/>
        <w:tblInd w:w="-360" w:type="dxa"/>
        <w:tblLook w:val="04A0" w:firstRow="1" w:lastRow="0" w:firstColumn="1" w:lastColumn="0" w:noHBand="0" w:noVBand="1"/>
      </w:tblPr>
      <w:tblGrid>
        <w:gridCol w:w="850"/>
        <w:gridCol w:w="4117"/>
        <w:gridCol w:w="4568"/>
      </w:tblGrid>
      <w:tr w:rsidR="00C8156D" w:rsidTr="00270047">
        <w:trPr>
          <w:trHeight w:val="1862"/>
        </w:trPr>
        <w:tc>
          <w:tcPr>
            <w:tcW w:w="850" w:type="dxa"/>
            <w:tcBorders>
              <w:top w:val="nil"/>
              <w:left w:val="nil"/>
              <w:bottom w:val="nil"/>
              <w:right w:val="single" w:sz="4" w:space="0" w:color="auto"/>
            </w:tcBorders>
          </w:tcPr>
          <w:p w:rsidR="00C8156D" w:rsidRPr="008609D7" w:rsidRDefault="00E0675A" w:rsidP="00270047">
            <w:pPr>
              <w:rPr>
                <w:b/>
                <w:sz w:val="16"/>
              </w:rPr>
            </w:pPr>
            <w:r>
              <w:rPr>
                <w:noProof/>
                <w:lang w:eastAsia="en-US"/>
              </w:rPr>
              <w:lastRenderedPageBreak/>
              <mc:AlternateContent>
                <mc:Choice Requires="wps">
                  <w:drawing>
                    <wp:anchor distT="0" distB="0" distL="114299" distR="114299" simplePos="0" relativeHeight="251660288" behindDoc="0" locked="0" layoutInCell="1" allowOverlap="1">
                      <wp:simplePos x="0" y="0"/>
                      <wp:positionH relativeFrom="column">
                        <wp:posOffset>483869</wp:posOffset>
                      </wp:positionH>
                      <wp:positionV relativeFrom="paragraph">
                        <wp:posOffset>-354330</wp:posOffset>
                      </wp:positionV>
                      <wp:extent cx="0" cy="3676650"/>
                      <wp:effectExtent l="50800" t="50800" r="76200" b="317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76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38.1pt;margin-top:-27.85pt;width:0;height:289.5pt;flip:y;z-index:25166028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" strokecolor="black [3200]" strokeweight="1.5pt">
                      <v:stroke endarrow="block" joinstyle="miter"/>
                      <o:lock v:ext="edit" shapetype="f"/>
                    </v:shape>
                  </w:pict>
                </mc:Fallback>
              </mc:AlternateContent>
            </w:r>
            <w:r w:rsidR="00C8156D" w:rsidRPr="008609D7">
              <w:rPr>
                <w:b/>
                <w:sz w:val="16"/>
              </w:rPr>
              <w:t>High</w:t>
            </w:r>
          </w:p>
        </w:tc>
        <w:tc>
          <w:tcPr>
            <w:tcW w:w="4117" w:type="dxa"/>
            <w:tcBorders>
              <w:left w:val="single" w:sz="4" w:space="0" w:color="auto"/>
            </w:tcBorders>
          </w:tcPr>
          <w:p w:rsidR="00C8156D" w:rsidRPr="007B453B" w:rsidRDefault="00C8156D" w:rsidP="00270047">
            <w:pPr>
              <w:jc w:val="center"/>
              <w:rPr>
                <w:b/>
                <w:sz w:val="40"/>
              </w:rPr>
            </w:pPr>
            <w:r w:rsidRPr="007B453B">
              <w:rPr>
                <w:b/>
                <w:sz w:val="40"/>
              </w:rPr>
              <w:t>Advocacy</w:t>
            </w:r>
          </w:p>
          <w:p w:rsidR="00165E4A" w:rsidRDefault="00165E4A" w:rsidP="00165E4A">
            <w:pPr>
              <w:ind w:left="706"/>
              <w:rPr>
                <w:sz w:val="18"/>
              </w:rPr>
            </w:pPr>
          </w:p>
          <w:p w:rsidR="00165E4A" w:rsidRDefault="00165E4A" w:rsidP="00165E4A">
            <w:pPr>
              <w:ind w:left="706"/>
              <w:rPr>
                <w:sz w:val="18"/>
              </w:rPr>
            </w:pPr>
            <w:r w:rsidRPr="00165E4A">
              <w:rPr>
                <w:sz w:val="18"/>
              </w:rPr>
              <w:t>Corporate – Board Members and Directors</w:t>
            </w:r>
          </w:p>
          <w:p w:rsidR="00165E4A" w:rsidRPr="007B453B" w:rsidRDefault="00165E4A" w:rsidP="00165E4A">
            <w:pPr>
              <w:ind w:left="706"/>
              <w:rPr>
                <w:sz w:val="18"/>
              </w:rPr>
            </w:pPr>
            <w:r w:rsidRPr="00165E4A">
              <w:rPr>
                <w:sz w:val="18"/>
              </w:rPr>
              <w:t xml:space="preserve"> </w:t>
            </w:r>
            <w:r>
              <w:rPr>
                <w:sz w:val="18"/>
              </w:rPr>
              <w:t xml:space="preserve">                   </w:t>
            </w:r>
            <w:r w:rsidRPr="00165E4A">
              <w:rPr>
                <w:sz w:val="18"/>
              </w:rPr>
              <w:t xml:space="preserve">– </w:t>
            </w:r>
            <w:r>
              <w:rPr>
                <w:sz w:val="18"/>
              </w:rPr>
              <w:t>Investors / shareholders</w:t>
            </w:r>
          </w:p>
          <w:p w:rsidR="00C8156D" w:rsidRDefault="00165E4A" w:rsidP="00270047">
            <w:pPr>
              <w:ind w:left="706"/>
              <w:rPr>
                <w:sz w:val="18"/>
              </w:rPr>
            </w:pPr>
            <w:r>
              <w:rPr>
                <w:sz w:val="18"/>
              </w:rPr>
              <w:t>Men senior executives</w:t>
            </w:r>
          </w:p>
          <w:p w:rsidR="00165E4A" w:rsidRDefault="00165E4A" w:rsidP="00270047">
            <w:pPr>
              <w:ind w:left="706"/>
              <w:rPr>
                <w:sz w:val="18"/>
              </w:rPr>
            </w:pPr>
            <w:r>
              <w:rPr>
                <w:sz w:val="18"/>
              </w:rPr>
              <w:t xml:space="preserve">Men senior public officials </w:t>
            </w:r>
          </w:p>
          <w:p w:rsidR="00165E4A" w:rsidRDefault="00165E4A" w:rsidP="00270047">
            <w:pPr>
              <w:ind w:left="706"/>
              <w:rPr>
                <w:sz w:val="18"/>
              </w:rPr>
            </w:pPr>
            <w:r>
              <w:rPr>
                <w:sz w:val="18"/>
              </w:rPr>
              <w:t>Service providing organizations</w:t>
            </w:r>
          </w:p>
          <w:p w:rsidR="00165E4A" w:rsidRDefault="00165E4A" w:rsidP="00270047">
            <w:pPr>
              <w:ind w:left="706"/>
              <w:rPr>
                <w:sz w:val="18"/>
              </w:rPr>
            </w:pPr>
            <w:r>
              <w:rPr>
                <w:sz w:val="18"/>
              </w:rPr>
              <w:t>Manufacturing companies</w:t>
            </w:r>
          </w:p>
          <w:p w:rsidR="00165E4A" w:rsidRDefault="00165E4A" w:rsidP="00270047">
            <w:pPr>
              <w:ind w:left="706"/>
              <w:rPr>
                <w:sz w:val="18"/>
              </w:rPr>
            </w:pPr>
          </w:p>
          <w:p w:rsidR="00165E4A" w:rsidRPr="00165E4A" w:rsidRDefault="00165E4A" w:rsidP="00270047">
            <w:pPr>
              <w:ind w:left="706"/>
              <w:rPr>
                <w:sz w:val="18"/>
              </w:rPr>
            </w:pPr>
          </w:p>
          <w:p w:rsidR="00C8156D" w:rsidRDefault="00C8156D" w:rsidP="00165E4A">
            <w:pPr>
              <w:ind w:left="706"/>
            </w:pPr>
          </w:p>
        </w:tc>
        <w:tc>
          <w:tcPr>
            <w:tcW w:w="4568" w:type="dxa"/>
          </w:tcPr>
          <w:p w:rsidR="00C8156D" w:rsidRPr="007B453B" w:rsidRDefault="00C8156D" w:rsidP="00270047">
            <w:pPr>
              <w:jc w:val="center"/>
              <w:rPr>
                <w:b/>
                <w:sz w:val="40"/>
              </w:rPr>
            </w:pPr>
            <w:r w:rsidRPr="007B453B">
              <w:rPr>
                <w:b/>
                <w:sz w:val="40"/>
              </w:rPr>
              <w:t>Close Engagement</w:t>
            </w:r>
          </w:p>
          <w:p w:rsidR="00C8156D" w:rsidRDefault="00C8156D" w:rsidP="00270047"/>
          <w:p w:rsidR="00C8156D" w:rsidRPr="007B453B" w:rsidRDefault="00C8156D" w:rsidP="00270047">
            <w:pPr>
              <w:ind w:left="706"/>
              <w:rPr>
                <w:sz w:val="18"/>
              </w:rPr>
            </w:pPr>
            <w:r w:rsidRPr="007B453B">
              <w:rPr>
                <w:sz w:val="18"/>
              </w:rPr>
              <w:t>Women traders</w:t>
            </w:r>
          </w:p>
          <w:p w:rsidR="00C8156D" w:rsidRPr="007B453B" w:rsidRDefault="00C8156D" w:rsidP="00270047">
            <w:pPr>
              <w:ind w:left="706"/>
              <w:rPr>
                <w:sz w:val="18"/>
              </w:rPr>
            </w:pPr>
            <w:r w:rsidRPr="007B453B">
              <w:rPr>
                <w:sz w:val="18"/>
              </w:rPr>
              <w:t>Ministry of labor</w:t>
            </w:r>
          </w:p>
          <w:p w:rsidR="00C8156D" w:rsidRPr="007B453B" w:rsidRDefault="00C8156D" w:rsidP="00270047">
            <w:pPr>
              <w:ind w:left="706"/>
              <w:rPr>
                <w:sz w:val="18"/>
              </w:rPr>
            </w:pPr>
            <w:r>
              <w:rPr>
                <w:sz w:val="18"/>
              </w:rPr>
              <w:t>Labor u</w:t>
            </w:r>
            <w:r w:rsidRPr="007B453B">
              <w:rPr>
                <w:sz w:val="18"/>
              </w:rPr>
              <w:t xml:space="preserve">nions </w:t>
            </w:r>
          </w:p>
          <w:p w:rsidR="00C8156D" w:rsidRPr="007B453B" w:rsidRDefault="00C8156D" w:rsidP="00270047">
            <w:pPr>
              <w:ind w:left="706"/>
              <w:rPr>
                <w:sz w:val="18"/>
              </w:rPr>
            </w:pPr>
            <w:r w:rsidRPr="007B453B">
              <w:rPr>
                <w:sz w:val="18"/>
              </w:rPr>
              <w:t xml:space="preserve">UN </w:t>
            </w:r>
            <w:r w:rsidR="00732B1E" w:rsidRPr="007B453B">
              <w:rPr>
                <w:sz w:val="18"/>
              </w:rPr>
              <w:t>organizations</w:t>
            </w:r>
            <w:r>
              <w:rPr>
                <w:sz w:val="18"/>
              </w:rPr>
              <w:t xml:space="preserve"> (ILO, UNWomen, UNFPA)</w:t>
            </w:r>
          </w:p>
          <w:p w:rsidR="00165E4A" w:rsidRDefault="00165E4A" w:rsidP="00165E4A">
            <w:pPr>
              <w:ind w:left="706"/>
              <w:rPr>
                <w:sz w:val="18"/>
              </w:rPr>
            </w:pPr>
            <w:r>
              <w:rPr>
                <w:sz w:val="18"/>
              </w:rPr>
              <w:t>Chamber of commerce</w:t>
            </w:r>
          </w:p>
          <w:p w:rsidR="00C8156D" w:rsidRDefault="00165E4A" w:rsidP="00270047">
            <w:pPr>
              <w:rPr>
                <w:sz w:val="18"/>
              </w:rPr>
            </w:pPr>
            <w:r>
              <w:rPr>
                <w:sz w:val="18"/>
              </w:rPr>
              <w:t xml:space="preserve">                  </w:t>
            </w:r>
            <w:r w:rsidRPr="00165E4A">
              <w:rPr>
                <w:sz w:val="18"/>
              </w:rPr>
              <w:t>Ministry of Gender and Youth</w:t>
            </w:r>
          </w:p>
          <w:p w:rsidR="00165E4A" w:rsidRDefault="00165E4A" w:rsidP="00270047">
            <w:pPr>
              <w:rPr>
                <w:sz w:val="18"/>
              </w:rPr>
            </w:pPr>
            <w:r>
              <w:rPr>
                <w:sz w:val="18"/>
              </w:rPr>
              <w:t xml:space="preserve">                  Ministry of Health </w:t>
            </w:r>
          </w:p>
          <w:p w:rsidR="00165E4A" w:rsidRDefault="00D61255" w:rsidP="00270047">
            <w:pPr>
              <w:rPr>
                <w:sz w:val="18"/>
              </w:rPr>
            </w:pPr>
            <w:r>
              <w:rPr>
                <w:sz w:val="18"/>
              </w:rPr>
              <w:t xml:space="preserve">                  Ministry of Justice </w:t>
            </w:r>
          </w:p>
          <w:p w:rsidR="00165E4A" w:rsidRDefault="00165E4A" w:rsidP="00270047"/>
        </w:tc>
      </w:tr>
      <w:tr w:rsidR="00C8156D" w:rsidTr="00270047">
        <w:trPr>
          <w:trHeight w:val="2618"/>
        </w:trPr>
        <w:tc>
          <w:tcPr>
            <w:tcW w:w="850" w:type="dxa"/>
            <w:tcBorders>
              <w:top w:val="nil"/>
              <w:left w:val="nil"/>
              <w:bottom w:val="nil"/>
              <w:right w:val="single" w:sz="4" w:space="0" w:color="auto"/>
            </w:tcBorders>
          </w:tcPr>
          <w:p w:rsidR="00C8156D" w:rsidRPr="007B453B" w:rsidRDefault="00C8156D" w:rsidP="00270047">
            <w:pPr>
              <w:rPr>
                <w:b/>
                <w:sz w:val="20"/>
              </w:rPr>
            </w:pPr>
            <w:r>
              <w:rPr>
                <w:b/>
                <w:sz w:val="20"/>
              </w:rPr>
              <w:t>POWER</w:t>
            </w:r>
          </w:p>
          <w:p w:rsidR="00C8156D" w:rsidRPr="008609D7" w:rsidRDefault="00C8156D" w:rsidP="00270047">
            <w:pPr>
              <w:rPr>
                <w:b/>
                <w:sz w:val="16"/>
              </w:rPr>
            </w:pPr>
          </w:p>
          <w:p w:rsidR="00C8156D" w:rsidRPr="008609D7" w:rsidRDefault="00C8156D" w:rsidP="00270047">
            <w:pPr>
              <w:rPr>
                <w:b/>
                <w:sz w:val="16"/>
              </w:rPr>
            </w:pPr>
          </w:p>
          <w:p w:rsidR="00C8156D" w:rsidRPr="008609D7" w:rsidRDefault="00C8156D" w:rsidP="00270047">
            <w:pPr>
              <w:rPr>
                <w:b/>
                <w:sz w:val="16"/>
              </w:rPr>
            </w:pPr>
          </w:p>
          <w:p w:rsidR="00C8156D" w:rsidRPr="008609D7" w:rsidRDefault="00C8156D" w:rsidP="00270047">
            <w:pPr>
              <w:rPr>
                <w:b/>
                <w:sz w:val="16"/>
              </w:rPr>
            </w:pPr>
          </w:p>
          <w:p w:rsidR="00C8156D" w:rsidRPr="008609D7" w:rsidRDefault="00C8156D" w:rsidP="00270047">
            <w:pPr>
              <w:rPr>
                <w:b/>
                <w:sz w:val="16"/>
              </w:rPr>
            </w:pPr>
          </w:p>
          <w:p w:rsidR="00C8156D" w:rsidRPr="008609D7" w:rsidRDefault="00C8156D" w:rsidP="00270047">
            <w:pPr>
              <w:rPr>
                <w:b/>
                <w:sz w:val="16"/>
              </w:rPr>
            </w:pPr>
            <w:r w:rsidRPr="008609D7">
              <w:rPr>
                <w:b/>
                <w:sz w:val="16"/>
              </w:rPr>
              <w:t>Low</w:t>
            </w:r>
          </w:p>
        </w:tc>
        <w:tc>
          <w:tcPr>
            <w:tcW w:w="4117" w:type="dxa"/>
            <w:tcBorders>
              <w:left w:val="single" w:sz="4" w:space="0" w:color="auto"/>
              <w:bottom w:val="single" w:sz="4" w:space="0" w:color="auto"/>
            </w:tcBorders>
          </w:tcPr>
          <w:p w:rsidR="00C8156D" w:rsidRPr="007B453B" w:rsidRDefault="00C8156D" w:rsidP="00270047">
            <w:pPr>
              <w:jc w:val="center"/>
              <w:rPr>
                <w:b/>
                <w:sz w:val="40"/>
              </w:rPr>
            </w:pPr>
            <w:r w:rsidRPr="007B453B">
              <w:rPr>
                <w:b/>
                <w:sz w:val="40"/>
              </w:rPr>
              <w:t>Awareness Raising</w:t>
            </w:r>
          </w:p>
          <w:p w:rsidR="00C8156D" w:rsidRDefault="00C8156D" w:rsidP="00270047">
            <w:pPr>
              <w:ind w:left="706"/>
            </w:pPr>
          </w:p>
          <w:p w:rsidR="00C8156D" w:rsidRDefault="00C8156D" w:rsidP="00270047">
            <w:pPr>
              <w:ind w:left="706"/>
              <w:rPr>
                <w:sz w:val="18"/>
              </w:rPr>
            </w:pPr>
            <w:r w:rsidRPr="004B0976">
              <w:rPr>
                <w:sz w:val="18"/>
              </w:rPr>
              <w:t>Ministry of education</w:t>
            </w:r>
          </w:p>
          <w:p w:rsidR="00165E4A" w:rsidRPr="004B0976" w:rsidRDefault="00165E4A" w:rsidP="00270047">
            <w:pPr>
              <w:ind w:left="706"/>
              <w:rPr>
                <w:sz w:val="18"/>
              </w:rPr>
            </w:pPr>
            <w:r>
              <w:rPr>
                <w:sz w:val="18"/>
              </w:rPr>
              <w:t>Consumer base/service &amp; goods recipients</w:t>
            </w:r>
          </w:p>
          <w:p w:rsidR="00C8156D" w:rsidRDefault="00165E4A" w:rsidP="00165E4A">
            <w:pPr>
              <w:rPr>
                <w:sz w:val="18"/>
              </w:rPr>
            </w:pPr>
            <w:r>
              <w:rPr>
                <w:sz w:val="18"/>
              </w:rPr>
              <w:t xml:space="preserve">                  </w:t>
            </w:r>
            <w:r w:rsidRPr="00165E4A">
              <w:rPr>
                <w:sz w:val="18"/>
              </w:rPr>
              <w:t>Vocational and Tertiary Educ</w:t>
            </w:r>
            <w:r>
              <w:rPr>
                <w:sz w:val="18"/>
              </w:rPr>
              <w:t xml:space="preserve">. </w:t>
            </w:r>
            <w:r w:rsidRPr="00165E4A">
              <w:rPr>
                <w:sz w:val="18"/>
              </w:rPr>
              <w:t>Institution</w:t>
            </w:r>
            <w:r>
              <w:rPr>
                <w:sz w:val="18"/>
              </w:rPr>
              <w:t>s</w:t>
            </w:r>
          </w:p>
          <w:p w:rsidR="00165E4A" w:rsidRDefault="00165E4A" w:rsidP="00165E4A"/>
        </w:tc>
        <w:tc>
          <w:tcPr>
            <w:tcW w:w="4568" w:type="dxa"/>
            <w:tcBorders>
              <w:bottom w:val="single" w:sz="4" w:space="0" w:color="auto"/>
            </w:tcBorders>
          </w:tcPr>
          <w:p w:rsidR="00C8156D" w:rsidRPr="007B453B" w:rsidRDefault="00C8156D" w:rsidP="00270047">
            <w:pPr>
              <w:jc w:val="center"/>
              <w:rPr>
                <w:b/>
                <w:sz w:val="40"/>
              </w:rPr>
            </w:pPr>
            <w:r w:rsidRPr="007B453B">
              <w:rPr>
                <w:b/>
                <w:sz w:val="40"/>
              </w:rPr>
              <w:t>Empowerment</w:t>
            </w:r>
          </w:p>
          <w:p w:rsidR="00C8156D" w:rsidRDefault="00C8156D" w:rsidP="00270047"/>
          <w:p w:rsidR="00C8156D" w:rsidRPr="00165E4A" w:rsidRDefault="00C8156D" w:rsidP="00270047">
            <w:pPr>
              <w:ind w:left="706"/>
              <w:rPr>
                <w:sz w:val="18"/>
              </w:rPr>
            </w:pPr>
            <w:r w:rsidRPr="00165E4A">
              <w:rPr>
                <w:sz w:val="18"/>
              </w:rPr>
              <w:t xml:space="preserve">Women </w:t>
            </w:r>
            <w:r w:rsidR="00165E4A" w:rsidRPr="00165E4A">
              <w:rPr>
                <w:sz w:val="18"/>
              </w:rPr>
              <w:t>senior executives</w:t>
            </w:r>
          </w:p>
          <w:p w:rsidR="00C8156D" w:rsidRPr="00165E4A" w:rsidRDefault="00165E4A" w:rsidP="00270047">
            <w:pPr>
              <w:ind w:left="706"/>
              <w:rPr>
                <w:sz w:val="18"/>
              </w:rPr>
            </w:pPr>
            <w:r w:rsidRPr="00165E4A">
              <w:rPr>
                <w:sz w:val="18"/>
              </w:rPr>
              <w:t>Women Senior public officials</w:t>
            </w:r>
          </w:p>
          <w:p w:rsidR="00C8156D" w:rsidRDefault="00C8156D" w:rsidP="00165E4A">
            <w:pPr>
              <w:ind w:left="706"/>
            </w:pPr>
          </w:p>
        </w:tc>
      </w:tr>
      <w:tr w:rsidR="00C8156D" w:rsidTr="00270047">
        <w:trPr>
          <w:trHeight w:val="350"/>
        </w:trPr>
        <w:tc>
          <w:tcPr>
            <w:tcW w:w="850" w:type="dxa"/>
            <w:tcBorders>
              <w:top w:val="nil"/>
              <w:left w:val="nil"/>
              <w:bottom w:val="nil"/>
              <w:right w:val="nil"/>
            </w:tcBorders>
          </w:tcPr>
          <w:p w:rsidR="00C8156D" w:rsidRPr="00137F7A" w:rsidRDefault="00C8156D" w:rsidP="00270047">
            <w:pPr>
              <w:rPr>
                <w:sz w:val="16"/>
              </w:rPr>
            </w:pPr>
          </w:p>
        </w:tc>
        <w:tc>
          <w:tcPr>
            <w:tcW w:w="4117" w:type="dxa"/>
            <w:tcBorders>
              <w:top w:val="single" w:sz="4" w:space="0" w:color="auto"/>
              <w:left w:val="nil"/>
              <w:bottom w:val="nil"/>
              <w:right w:val="nil"/>
            </w:tcBorders>
          </w:tcPr>
          <w:p w:rsidR="00C8156D" w:rsidRDefault="00E0675A" w:rsidP="00270047">
            <w:pPr>
              <w:rPr>
                <w:b/>
                <w:sz w:val="16"/>
              </w:r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6985</wp:posOffset>
                      </wp:positionV>
                      <wp:extent cx="5876925" cy="9525"/>
                      <wp:effectExtent l="0" t="76200" r="41275" b="920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76925"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5.3pt;margin-top:.55pt;width:462.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" strokecolor="black [3200]" strokeweight="1.5pt">
                      <v:stroke endarrow="block" joinstyle="miter"/>
                      <o:lock v:ext="edit" shapetype="f"/>
                    </v:shape>
                  </w:pict>
                </mc:Fallback>
              </mc:AlternateContent>
            </w:r>
          </w:p>
          <w:p w:rsidR="00C8156D" w:rsidRPr="008609D7" w:rsidRDefault="00C8156D" w:rsidP="00270047">
            <w:pPr>
              <w:rPr>
                <w:b/>
                <w:sz w:val="16"/>
              </w:rPr>
            </w:pPr>
            <w:r w:rsidRPr="008609D7">
              <w:rPr>
                <w:b/>
                <w:sz w:val="16"/>
              </w:rPr>
              <w:t>Low</w:t>
            </w:r>
          </w:p>
        </w:tc>
        <w:tc>
          <w:tcPr>
            <w:tcW w:w="4568" w:type="dxa"/>
            <w:tcBorders>
              <w:top w:val="single" w:sz="4" w:space="0" w:color="auto"/>
              <w:left w:val="nil"/>
              <w:bottom w:val="nil"/>
              <w:right w:val="nil"/>
            </w:tcBorders>
          </w:tcPr>
          <w:p w:rsidR="00C8156D" w:rsidRDefault="00C8156D" w:rsidP="00270047">
            <w:pPr>
              <w:rPr>
                <w:b/>
                <w:sz w:val="18"/>
              </w:rPr>
            </w:pPr>
          </w:p>
          <w:p w:rsidR="00C8156D" w:rsidRPr="008609D7" w:rsidRDefault="00C8156D" w:rsidP="00270047">
            <w:pPr>
              <w:rPr>
                <w:b/>
                <w:sz w:val="16"/>
              </w:rPr>
            </w:pPr>
            <w:r>
              <w:rPr>
                <w:b/>
                <w:sz w:val="18"/>
              </w:rPr>
              <w:t>INTEREST</w:t>
            </w:r>
            <w:r w:rsidRPr="008609D7">
              <w:rPr>
                <w:b/>
                <w:sz w:val="16"/>
              </w:rPr>
              <w:t xml:space="preserve">                                                                                            High</w:t>
            </w:r>
          </w:p>
        </w:tc>
      </w:tr>
    </w:tbl>
    <w:p w:rsidR="00C8156D" w:rsidRDefault="00C8156D" w:rsidP="008120AC">
      <w:pPr>
        <w:rPr>
          <w:rFonts w:ascii="Times New Roman" w:hAnsi="Times New Roman" w:cs="Times New Roman"/>
          <w:color w:val="333333"/>
          <w:sz w:val="24"/>
          <w:szCs w:val="24"/>
          <w:shd w:val="clear" w:color="auto" w:fill="FFFFFF"/>
        </w:rPr>
      </w:pPr>
    </w:p>
    <w:p w:rsidR="00695BB0" w:rsidRDefault="00695BB0" w:rsidP="008120AC">
      <w:pPr>
        <w:rPr>
          <w:rFonts w:ascii="Times New Roman" w:hAnsi="Times New Roman" w:cs="Times New Roman"/>
          <w:color w:val="333333"/>
          <w:sz w:val="24"/>
          <w:szCs w:val="24"/>
          <w:shd w:val="clear" w:color="auto" w:fill="FFFFFF"/>
        </w:rPr>
      </w:pPr>
      <w:r w:rsidRPr="00695BB0">
        <w:rPr>
          <w:rFonts w:ascii="Times New Roman" w:hAnsi="Times New Roman" w:cs="Times New Roman"/>
          <w:i/>
          <w:sz w:val="28"/>
          <w:szCs w:val="28"/>
        </w:rPr>
        <w:t xml:space="preserve">3.2 Barriers to effective participation in Leadership </w:t>
      </w:r>
      <w:r w:rsidR="003836D2">
        <w:rPr>
          <w:rFonts w:ascii="Times New Roman" w:hAnsi="Times New Roman" w:cs="Times New Roman"/>
          <w:i/>
          <w:sz w:val="28"/>
          <w:szCs w:val="28"/>
        </w:rPr>
        <w:t>in</w:t>
      </w:r>
      <w:r w:rsidRPr="00695BB0">
        <w:rPr>
          <w:rFonts w:ascii="Times New Roman" w:hAnsi="Times New Roman" w:cs="Times New Roman"/>
          <w:i/>
          <w:sz w:val="28"/>
          <w:szCs w:val="28"/>
        </w:rPr>
        <w:t xml:space="preserve"> Public and Private Institutions</w:t>
      </w:r>
      <w:r w:rsidRPr="00695BB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
    <w:p w:rsidR="00431981" w:rsidRPr="00431981" w:rsidRDefault="00431981" w:rsidP="00431981">
      <w:pPr>
        <w:ind w:firstLine="720"/>
        <w:rPr>
          <w:rFonts w:ascii="Times New Roman" w:hAnsi="Times New Roman" w:cs="Times New Roman"/>
          <w:b/>
          <w:i/>
          <w:color w:val="333333"/>
          <w:sz w:val="24"/>
          <w:szCs w:val="24"/>
          <w:shd w:val="clear" w:color="auto" w:fill="FFFFFF"/>
        </w:rPr>
      </w:pPr>
      <w:r w:rsidRPr="00431981">
        <w:rPr>
          <w:rFonts w:ascii="Times New Roman" w:hAnsi="Times New Roman" w:cs="Times New Roman"/>
          <w:b/>
          <w:i/>
          <w:color w:val="333333"/>
          <w:sz w:val="24"/>
          <w:szCs w:val="24"/>
          <w:shd w:val="clear" w:color="auto" w:fill="FFFFFF"/>
        </w:rPr>
        <w:t xml:space="preserve">A. Policies and Legislations </w:t>
      </w:r>
    </w:p>
    <w:p w:rsidR="009C25A2" w:rsidRPr="00A7210A" w:rsidRDefault="003836D2" w:rsidP="006A1678">
      <w:pPr>
        <w:rPr>
          <w:rFonts w:ascii="Times New Roman" w:hAnsi="Times New Roman" w:cs="Times New Roman"/>
          <w:color w:val="000000" w:themeColor="text1"/>
          <w:sz w:val="24"/>
          <w:szCs w:val="24"/>
        </w:rPr>
      </w:pPr>
      <w:r w:rsidRPr="00A7210A">
        <w:rPr>
          <w:rFonts w:ascii="Times New Roman" w:hAnsi="Times New Roman" w:cs="Times New Roman"/>
          <w:color w:val="000000" w:themeColor="text1"/>
          <w:sz w:val="24"/>
          <w:szCs w:val="24"/>
          <w:shd w:val="clear" w:color="auto" w:fill="FFFFFF"/>
        </w:rPr>
        <w:t xml:space="preserve">At the regional, continental and national levels, </w:t>
      </w:r>
      <w:r w:rsidR="00A86FB6" w:rsidRPr="00A7210A">
        <w:rPr>
          <w:rFonts w:ascii="Times New Roman" w:hAnsi="Times New Roman" w:cs="Times New Roman"/>
          <w:color w:val="000000" w:themeColor="text1"/>
          <w:sz w:val="24"/>
          <w:szCs w:val="24"/>
        </w:rPr>
        <w:t xml:space="preserve">various legislations and landmarks have been </w:t>
      </w:r>
      <w:r w:rsidRPr="00A7210A">
        <w:rPr>
          <w:rFonts w:ascii="Times New Roman" w:hAnsi="Times New Roman" w:cs="Times New Roman"/>
          <w:color w:val="000000" w:themeColor="text1"/>
          <w:sz w:val="24"/>
          <w:szCs w:val="24"/>
        </w:rPr>
        <w:t xml:space="preserve">passed and enacted </w:t>
      </w:r>
      <w:r w:rsidR="00A86FB6" w:rsidRPr="00A7210A">
        <w:rPr>
          <w:rFonts w:ascii="Times New Roman" w:hAnsi="Times New Roman" w:cs="Times New Roman"/>
          <w:color w:val="000000" w:themeColor="text1"/>
          <w:sz w:val="24"/>
          <w:szCs w:val="24"/>
        </w:rPr>
        <w:t xml:space="preserve">over the last decades to </w:t>
      </w:r>
      <w:r w:rsidRPr="00A7210A">
        <w:rPr>
          <w:rFonts w:ascii="Times New Roman" w:hAnsi="Times New Roman" w:cs="Times New Roman"/>
          <w:color w:val="000000" w:themeColor="text1"/>
          <w:sz w:val="24"/>
          <w:szCs w:val="24"/>
        </w:rPr>
        <w:t xml:space="preserve">advance women’s right; to stop and prevent </w:t>
      </w:r>
      <w:r w:rsidR="00A86FB6" w:rsidRPr="00A7210A">
        <w:rPr>
          <w:rFonts w:ascii="Times New Roman" w:hAnsi="Times New Roman" w:cs="Times New Roman"/>
          <w:color w:val="000000" w:themeColor="text1"/>
          <w:sz w:val="24"/>
          <w:szCs w:val="24"/>
        </w:rPr>
        <w:t>gender discrimination and promote woman agency and equal right to leadership</w:t>
      </w:r>
      <w:r w:rsidRPr="00A7210A">
        <w:rPr>
          <w:rFonts w:ascii="Times New Roman" w:hAnsi="Times New Roman" w:cs="Times New Roman"/>
          <w:color w:val="000000" w:themeColor="text1"/>
          <w:sz w:val="24"/>
          <w:szCs w:val="24"/>
        </w:rPr>
        <w:t xml:space="preserve"> and participation in public and private enterpr</w:t>
      </w:r>
      <w:r w:rsidR="00655767" w:rsidRPr="00A7210A">
        <w:rPr>
          <w:rFonts w:ascii="Times New Roman" w:hAnsi="Times New Roman" w:cs="Times New Roman"/>
          <w:color w:val="000000" w:themeColor="text1"/>
          <w:sz w:val="24"/>
          <w:szCs w:val="24"/>
        </w:rPr>
        <w:t>ise</w:t>
      </w:r>
      <w:r w:rsidR="00A86FB6" w:rsidRPr="00A7210A">
        <w:rPr>
          <w:rFonts w:ascii="Times New Roman" w:hAnsi="Times New Roman" w:cs="Times New Roman"/>
          <w:color w:val="000000" w:themeColor="text1"/>
          <w:sz w:val="24"/>
          <w:szCs w:val="24"/>
        </w:rPr>
        <w:t xml:space="preserve">. </w:t>
      </w:r>
    </w:p>
    <w:p w:rsidR="00ED132F" w:rsidRPr="00ED132F" w:rsidRDefault="00A86FB6" w:rsidP="006A1678">
      <w:pPr>
        <w:rPr>
          <w:rFonts w:ascii="Times New Roman" w:hAnsi="Times New Roman" w:cs="Times New Roman"/>
          <w:sz w:val="24"/>
          <w:szCs w:val="24"/>
          <w:shd w:val="clear" w:color="auto" w:fill="FFFFFF"/>
        </w:rPr>
      </w:pPr>
      <w:r w:rsidRPr="00A7210A">
        <w:rPr>
          <w:rFonts w:ascii="Times New Roman" w:hAnsi="Times New Roman" w:cs="Times New Roman"/>
          <w:color w:val="000000" w:themeColor="text1"/>
          <w:sz w:val="24"/>
          <w:szCs w:val="24"/>
        </w:rPr>
        <w:t>According to Article 7-i of the International Covenant on Economic, Social and Cultural Rights of 1976, all individuals are entitled to fair wages and equal remuneration for work of equal value without distinction of any kind. Women in particular must be guaranteed conditions of work not inferior to those enjoyed by men, with equal pay for equal work</w:t>
      </w:r>
      <w:r w:rsidRPr="00A7210A">
        <w:rPr>
          <w:rStyle w:val="FootnoteReference"/>
          <w:rFonts w:ascii="Times New Roman" w:hAnsi="Times New Roman" w:cs="Times New Roman"/>
          <w:color w:val="000000" w:themeColor="text1"/>
          <w:sz w:val="24"/>
          <w:szCs w:val="24"/>
        </w:rPr>
        <w:footnoteReference w:id="38"/>
      </w:r>
      <w:r w:rsidR="00730FCE" w:rsidRPr="00A7210A">
        <w:rPr>
          <w:rFonts w:ascii="Times New Roman" w:hAnsi="Times New Roman" w:cs="Times New Roman"/>
          <w:i/>
          <w:color w:val="000000" w:themeColor="text1"/>
          <w:sz w:val="24"/>
          <w:szCs w:val="24"/>
        </w:rPr>
        <w:t xml:space="preserve">. </w:t>
      </w:r>
      <w:r w:rsidR="0033303E" w:rsidRPr="00A7210A">
        <w:rPr>
          <w:rFonts w:ascii="Times New Roman" w:hAnsi="Times New Roman" w:cs="Times New Roman"/>
          <w:color w:val="000000" w:themeColor="text1"/>
          <w:sz w:val="24"/>
          <w:szCs w:val="24"/>
        </w:rPr>
        <w:t>The African Union (AU)</w:t>
      </w:r>
      <w:r w:rsidR="0033303E" w:rsidRPr="00A7210A">
        <w:rPr>
          <w:rFonts w:ascii="Times New Roman" w:hAnsi="Times New Roman" w:cs="Times New Roman"/>
          <w:i/>
          <w:color w:val="000000" w:themeColor="text1"/>
          <w:sz w:val="24"/>
          <w:szCs w:val="24"/>
        </w:rPr>
        <w:t xml:space="preserve"> </w:t>
      </w:r>
      <w:r w:rsidR="0033303E" w:rsidRPr="00A7210A">
        <w:rPr>
          <w:rFonts w:ascii="Times New Roman" w:hAnsi="Times New Roman" w:cs="Times New Roman"/>
          <w:color w:val="000000" w:themeColor="text1"/>
          <w:sz w:val="24"/>
          <w:szCs w:val="24"/>
        </w:rPr>
        <w:t xml:space="preserve">has also been a major legislating body and </w:t>
      </w:r>
      <w:r w:rsidR="00B71F98" w:rsidRPr="00A7210A">
        <w:rPr>
          <w:rFonts w:ascii="Times New Roman" w:hAnsi="Times New Roman" w:cs="Times New Roman"/>
          <w:color w:val="000000" w:themeColor="text1"/>
          <w:sz w:val="24"/>
          <w:szCs w:val="24"/>
        </w:rPr>
        <w:t>champion of women’s</w:t>
      </w:r>
      <w:r w:rsidR="0033303E" w:rsidRPr="00A7210A">
        <w:rPr>
          <w:rFonts w:ascii="Times New Roman" w:hAnsi="Times New Roman" w:cs="Times New Roman"/>
          <w:color w:val="000000" w:themeColor="text1"/>
          <w:sz w:val="24"/>
          <w:szCs w:val="24"/>
        </w:rPr>
        <w:t xml:space="preserve"> rights and gender equality in public and private affairs and institutions. </w:t>
      </w:r>
      <w:r w:rsidR="00D37436" w:rsidRPr="00A7210A">
        <w:rPr>
          <w:rFonts w:ascii="Times New Roman" w:hAnsi="Times New Roman" w:cs="Times New Roman"/>
          <w:color w:val="000000" w:themeColor="text1"/>
          <w:sz w:val="24"/>
          <w:szCs w:val="24"/>
        </w:rPr>
        <w:t xml:space="preserve">In keeping with </w:t>
      </w:r>
      <w:r w:rsidR="009C25A2" w:rsidRPr="00A7210A">
        <w:rPr>
          <w:rFonts w:ascii="Times New Roman" w:hAnsi="Times New Roman" w:cs="Times New Roman"/>
          <w:color w:val="000000" w:themeColor="text1"/>
          <w:sz w:val="24"/>
          <w:szCs w:val="24"/>
        </w:rPr>
        <w:t xml:space="preserve">the Beijing Plan of Action (1995) and UN Resolution 1325 (2000) </w:t>
      </w:r>
      <w:r w:rsidR="00D37436" w:rsidRPr="00A7210A">
        <w:rPr>
          <w:rFonts w:ascii="Times New Roman" w:hAnsi="Times New Roman" w:cs="Times New Roman"/>
          <w:color w:val="000000" w:themeColor="text1"/>
          <w:sz w:val="24"/>
          <w:szCs w:val="24"/>
        </w:rPr>
        <w:t>which recognize</w:t>
      </w:r>
      <w:r w:rsidR="009C25A2" w:rsidRPr="00A7210A">
        <w:rPr>
          <w:rFonts w:ascii="Times New Roman" w:hAnsi="Times New Roman" w:cs="Times New Roman"/>
          <w:color w:val="000000" w:themeColor="text1"/>
          <w:sz w:val="24"/>
          <w:szCs w:val="24"/>
        </w:rPr>
        <w:t xml:space="preserve"> and promote</w:t>
      </w:r>
      <w:r w:rsidR="00D37436" w:rsidRPr="00A7210A">
        <w:rPr>
          <w:rFonts w:ascii="Times New Roman" w:hAnsi="Times New Roman" w:cs="Times New Roman"/>
          <w:color w:val="000000" w:themeColor="text1"/>
          <w:sz w:val="24"/>
          <w:szCs w:val="24"/>
        </w:rPr>
        <w:t xml:space="preserve"> </w:t>
      </w:r>
      <w:r w:rsidR="00F4249C" w:rsidRPr="00A7210A">
        <w:rPr>
          <w:rFonts w:ascii="Times New Roman" w:hAnsi="Times New Roman" w:cs="Times New Roman"/>
          <w:color w:val="000000" w:themeColor="text1"/>
          <w:sz w:val="24"/>
          <w:szCs w:val="24"/>
        </w:rPr>
        <w:t xml:space="preserve">important gender mainstreaming measures in public and private institutions, the </w:t>
      </w:r>
      <w:r w:rsidR="00D37436" w:rsidRPr="00A7210A">
        <w:rPr>
          <w:rFonts w:ascii="Times New Roman" w:hAnsi="Times New Roman" w:cs="Times New Roman"/>
          <w:color w:val="000000" w:themeColor="text1"/>
          <w:sz w:val="24"/>
          <w:szCs w:val="24"/>
        </w:rPr>
        <w:t>A</w:t>
      </w:r>
      <w:r w:rsidR="00F4249C" w:rsidRPr="00A7210A">
        <w:rPr>
          <w:rFonts w:ascii="Times New Roman" w:hAnsi="Times New Roman" w:cs="Times New Roman"/>
          <w:color w:val="000000" w:themeColor="text1"/>
          <w:sz w:val="24"/>
          <w:szCs w:val="24"/>
        </w:rPr>
        <w:t xml:space="preserve">frican </w:t>
      </w:r>
      <w:r w:rsidR="00D37436" w:rsidRPr="00A7210A">
        <w:rPr>
          <w:rFonts w:ascii="Times New Roman" w:hAnsi="Times New Roman" w:cs="Times New Roman"/>
          <w:color w:val="000000" w:themeColor="text1"/>
          <w:sz w:val="24"/>
          <w:szCs w:val="24"/>
        </w:rPr>
        <w:t>U</w:t>
      </w:r>
      <w:r w:rsidR="00F4249C" w:rsidRPr="00A7210A">
        <w:rPr>
          <w:rFonts w:ascii="Times New Roman" w:hAnsi="Times New Roman" w:cs="Times New Roman"/>
          <w:color w:val="000000" w:themeColor="text1"/>
          <w:sz w:val="24"/>
          <w:szCs w:val="24"/>
        </w:rPr>
        <w:t>nion put into effect important legislations. For example, i</w:t>
      </w:r>
      <w:r w:rsidR="00B71F98" w:rsidRPr="00A7210A">
        <w:rPr>
          <w:rFonts w:ascii="Times New Roman" w:hAnsi="Times New Roman" w:cs="Times New Roman"/>
          <w:color w:val="000000" w:themeColor="text1"/>
          <w:sz w:val="24"/>
          <w:szCs w:val="24"/>
        </w:rPr>
        <w:t xml:space="preserve">n 2004, elected officials and representatives of AU governments and member states adopted the Solemn Declaration on Gender Equality in Africa (SDGEA). SDGEA </w:t>
      </w:r>
      <w:r w:rsidR="00B71F98" w:rsidRPr="00A7210A">
        <w:rPr>
          <w:rFonts w:ascii="Times New Roman" w:hAnsi="Times New Roman" w:cs="Times New Roman"/>
          <w:color w:val="000000" w:themeColor="text1"/>
          <w:sz w:val="24"/>
          <w:szCs w:val="24"/>
        </w:rPr>
        <w:lastRenderedPageBreak/>
        <w:t>not only emphasizes key gender issues, but also reiterates the need to implement earlier commitments that African leaders made to tackle gender inequality in various sectors</w:t>
      </w:r>
      <w:r w:rsidR="009C25A2" w:rsidRPr="00A7210A">
        <w:rPr>
          <w:rStyle w:val="FootnoteReference"/>
          <w:rFonts w:ascii="Times New Roman" w:hAnsi="Times New Roman" w:cs="Times New Roman"/>
          <w:color w:val="000000" w:themeColor="text1"/>
          <w:sz w:val="24"/>
          <w:szCs w:val="24"/>
          <w:shd w:val="clear" w:color="auto" w:fill="FFFFFF"/>
        </w:rPr>
        <w:footnoteReference w:id="39"/>
      </w:r>
      <w:r w:rsidR="00B71F98" w:rsidRPr="00A7210A">
        <w:rPr>
          <w:rFonts w:ascii="Times New Roman" w:hAnsi="Times New Roman" w:cs="Times New Roman"/>
          <w:color w:val="000000" w:themeColor="text1"/>
          <w:sz w:val="24"/>
          <w:szCs w:val="24"/>
        </w:rPr>
        <w:t xml:space="preserve">. The declaration realizes the unfavorable status women hold in relation to literacy and education and the negative impacts this brings about in all dimensions of women’s lives, </w:t>
      </w:r>
      <w:r w:rsidR="009C25A2" w:rsidRPr="00A7210A">
        <w:rPr>
          <w:rFonts w:ascii="Times New Roman" w:hAnsi="Times New Roman" w:cs="Times New Roman"/>
          <w:color w:val="000000" w:themeColor="text1"/>
          <w:sz w:val="24"/>
          <w:szCs w:val="24"/>
        </w:rPr>
        <w:t>including access</w:t>
      </w:r>
      <w:r w:rsidR="00B71F98" w:rsidRPr="00A7210A">
        <w:rPr>
          <w:rFonts w:ascii="Times New Roman" w:hAnsi="Times New Roman" w:cs="Times New Roman"/>
          <w:color w:val="000000" w:themeColor="text1"/>
          <w:sz w:val="24"/>
          <w:szCs w:val="24"/>
        </w:rPr>
        <w:t xml:space="preserve"> </w:t>
      </w:r>
      <w:r w:rsidR="009C25A2" w:rsidRPr="00A7210A">
        <w:rPr>
          <w:rFonts w:ascii="Times New Roman" w:hAnsi="Times New Roman" w:cs="Times New Roman"/>
          <w:color w:val="000000" w:themeColor="text1"/>
          <w:sz w:val="24"/>
          <w:szCs w:val="24"/>
        </w:rPr>
        <w:t xml:space="preserve">to </w:t>
      </w:r>
      <w:r w:rsidR="00B71F98" w:rsidRPr="00A7210A">
        <w:rPr>
          <w:rFonts w:ascii="Times New Roman" w:hAnsi="Times New Roman" w:cs="Times New Roman"/>
          <w:color w:val="000000" w:themeColor="text1"/>
          <w:sz w:val="24"/>
          <w:szCs w:val="24"/>
        </w:rPr>
        <w:t>employment</w:t>
      </w:r>
      <w:r w:rsidR="009C25A2" w:rsidRPr="00A7210A">
        <w:rPr>
          <w:rFonts w:ascii="Times New Roman" w:hAnsi="Times New Roman" w:cs="Times New Roman"/>
          <w:color w:val="000000" w:themeColor="text1"/>
          <w:sz w:val="24"/>
          <w:szCs w:val="24"/>
        </w:rPr>
        <w:t>. In fact, t</w:t>
      </w:r>
      <w:r w:rsidR="00ED132F" w:rsidRPr="00A7210A">
        <w:rPr>
          <w:rFonts w:ascii="Times New Roman" w:hAnsi="Times New Roman" w:cs="Times New Roman"/>
          <w:color w:val="000000" w:themeColor="text1"/>
          <w:sz w:val="24"/>
          <w:szCs w:val="24"/>
          <w:shd w:val="clear" w:color="auto" w:fill="FFFFFF"/>
        </w:rPr>
        <w:t>he AU Parity Principle represents</w:t>
      </w:r>
      <w:r w:rsidR="009C25A2" w:rsidRPr="00A7210A">
        <w:rPr>
          <w:rFonts w:ascii="Times New Roman" w:hAnsi="Times New Roman" w:cs="Times New Roman"/>
          <w:color w:val="000000" w:themeColor="text1"/>
          <w:sz w:val="24"/>
          <w:szCs w:val="24"/>
          <w:shd w:val="clear" w:color="auto" w:fill="FFFFFF"/>
        </w:rPr>
        <w:t xml:space="preserve"> one of </w:t>
      </w:r>
      <w:r w:rsidR="00ED132F" w:rsidRPr="00A7210A">
        <w:rPr>
          <w:rFonts w:ascii="Times New Roman" w:hAnsi="Times New Roman" w:cs="Times New Roman"/>
          <w:color w:val="000000" w:themeColor="text1"/>
          <w:sz w:val="24"/>
          <w:szCs w:val="24"/>
          <w:shd w:val="clear" w:color="auto" w:fill="FFFFFF"/>
        </w:rPr>
        <w:t>the most advanced global commitment to equal representation between men and women in decision making. Adopted at the Inaugural</w:t>
      </w:r>
      <w:r w:rsidR="00ED132F" w:rsidRPr="00ED132F">
        <w:rPr>
          <w:rFonts w:ascii="Times New Roman" w:hAnsi="Times New Roman" w:cs="Times New Roman"/>
          <w:sz w:val="24"/>
          <w:szCs w:val="24"/>
          <w:shd w:val="clear" w:color="auto" w:fill="FFFFFF"/>
        </w:rPr>
        <w:t xml:space="preserve"> Summit of Heads of States and Governments of the African Union held in Durban, South Africa in 2002, its adoption demonstrated the commitment of the newly transformed African Union to address persistent gender inequalities in the continent</w:t>
      </w:r>
      <w:r w:rsidR="002C1E85">
        <w:rPr>
          <w:rStyle w:val="FootnoteReference"/>
          <w:rFonts w:ascii="Times New Roman" w:hAnsi="Times New Roman" w:cs="Times New Roman"/>
          <w:sz w:val="24"/>
          <w:szCs w:val="24"/>
          <w:shd w:val="clear" w:color="auto" w:fill="FFFFFF"/>
        </w:rPr>
        <w:footnoteReference w:id="40"/>
      </w:r>
      <w:r w:rsidR="00ED132F" w:rsidRPr="00ED132F">
        <w:rPr>
          <w:rFonts w:ascii="Times New Roman" w:hAnsi="Times New Roman" w:cs="Times New Roman"/>
          <w:sz w:val="24"/>
          <w:szCs w:val="24"/>
          <w:shd w:val="clear" w:color="auto" w:fill="FFFFFF"/>
        </w:rPr>
        <w:t xml:space="preserve">. </w:t>
      </w:r>
      <w:r w:rsidR="00BB7D11">
        <w:rPr>
          <w:rFonts w:ascii="Times New Roman" w:hAnsi="Times New Roman" w:cs="Times New Roman"/>
          <w:sz w:val="24"/>
          <w:szCs w:val="24"/>
          <w:shd w:val="clear" w:color="auto" w:fill="FFFFFF"/>
        </w:rPr>
        <w:t>Besides</w:t>
      </w:r>
      <w:r w:rsidR="00640E65">
        <w:rPr>
          <w:rFonts w:ascii="Times New Roman" w:hAnsi="Times New Roman" w:cs="Times New Roman"/>
          <w:sz w:val="24"/>
          <w:szCs w:val="24"/>
          <w:shd w:val="clear" w:color="auto" w:fill="FFFFFF"/>
        </w:rPr>
        <w:t xml:space="preserve"> setting out a clear agenda, c</w:t>
      </w:r>
      <w:r w:rsidR="00ED132F" w:rsidRPr="00ED132F">
        <w:rPr>
          <w:rFonts w:ascii="Times New Roman" w:hAnsi="Times New Roman" w:cs="Times New Roman"/>
          <w:sz w:val="24"/>
          <w:szCs w:val="24"/>
          <w:shd w:val="clear" w:color="auto" w:fill="FFFFFF"/>
        </w:rPr>
        <w:t>ultivating political will is</w:t>
      </w:r>
      <w:r w:rsidR="00BB7D11">
        <w:rPr>
          <w:rFonts w:ascii="Times New Roman" w:hAnsi="Times New Roman" w:cs="Times New Roman"/>
          <w:sz w:val="24"/>
          <w:szCs w:val="24"/>
          <w:shd w:val="clear" w:color="auto" w:fill="FFFFFF"/>
        </w:rPr>
        <w:t xml:space="preserve"> just as</w:t>
      </w:r>
      <w:r w:rsidR="00640E65">
        <w:rPr>
          <w:rFonts w:ascii="Times New Roman" w:hAnsi="Times New Roman" w:cs="Times New Roman"/>
          <w:sz w:val="24"/>
          <w:szCs w:val="24"/>
          <w:shd w:val="clear" w:color="auto" w:fill="FFFFFF"/>
        </w:rPr>
        <w:t xml:space="preserve"> </w:t>
      </w:r>
      <w:r w:rsidR="00ED132F" w:rsidRPr="00ED132F">
        <w:rPr>
          <w:rFonts w:ascii="Times New Roman" w:hAnsi="Times New Roman" w:cs="Times New Roman"/>
          <w:sz w:val="24"/>
          <w:szCs w:val="24"/>
          <w:shd w:val="clear" w:color="auto" w:fill="FFFFFF"/>
        </w:rPr>
        <w:t>necessary for sustaining an environment that enables the enforcement of the AU 50/50 Gender Parity Principle and the achievement of gender equality in Africa.</w:t>
      </w:r>
    </w:p>
    <w:p w:rsidR="00F667C9" w:rsidRDefault="00655767" w:rsidP="00F667C9">
      <w:pPr>
        <w:spacing w:after="0" w:line="240" w:lineRule="auto"/>
        <w:rPr>
          <w:rFonts w:ascii="Times New Roman" w:hAnsi="Times New Roman" w:cs="Times New Roman"/>
          <w:sz w:val="24"/>
          <w:szCs w:val="24"/>
        </w:rPr>
      </w:pPr>
      <w:r>
        <w:rPr>
          <w:rFonts w:ascii="Times New Roman" w:hAnsi="Times New Roman" w:cs="Times New Roman"/>
          <w:sz w:val="24"/>
          <w:szCs w:val="24"/>
        </w:rPr>
        <w:t>In spite of</w:t>
      </w:r>
      <w:r w:rsidR="009C25A2">
        <w:rPr>
          <w:rFonts w:ascii="Times New Roman" w:hAnsi="Times New Roman" w:cs="Times New Roman"/>
          <w:sz w:val="24"/>
          <w:szCs w:val="24"/>
        </w:rPr>
        <w:t xml:space="preserve"> these</w:t>
      </w:r>
      <w:r>
        <w:rPr>
          <w:rFonts w:ascii="Times New Roman" w:hAnsi="Times New Roman" w:cs="Times New Roman"/>
          <w:sz w:val="24"/>
          <w:szCs w:val="24"/>
        </w:rPr>
        <w:t xml:space="preserve"> progressive</w:t>
      </w:r>
      <w:r w:rsidR="00072FEC">
        <w:rPr>
          <w:rFonts w:ascii="Times New Roman" w:hAnsi="Times New Roman" w:cs="Times New Roman"/>
          <w:sz w:val="24"/>
          <w:szCs w:val="24"/>
        </w:rPr>
        <w:t xml:space="preserve"> international and regional</w:t>
      </w:r>
      <w:r>
        <w:rPr>
          <w:rFonts w:ascii="Times New Roman" w:hAnsi="Times New Roman" w:cs="Times New Roman"/>
          <w:sz w:val="24"/>
          <w:szCs w:val="24"/>
        </w:rPr>
        <w:t xml:space="preserve"> </w:t>
      </w:r>
      <w:r w:rsidR="00BB2548">
        <w:rPr>
          <w:rFonts w:ascii="Times New Roman" w:hAnsi="Times New Roman" w:cs="Times New Roman"/>
          <w:sz w:val="24"/>
          <w:szCs w:val="24"/>
        </w:rPr>
        <w:t xml:space="preserve">legislations and policies </w:t>
      </w:r>
      <w:r>
        <w:rPr>
          <w:rFonts w:ascii="Times New Roman" w:hAnsi="Times New Roman" w:cs="Times New Roman"/>
          <w:sz w:val="24"/>
          <w:szCs w:val="24"/>
        </w:rPr>
        <w:t>and</w:t>
      </w:r>
      <w:r w:rsidR="00BB2548">
        <w:rPr>
          <w:rFonts w:ascii="Times New Roman" w:hAnsi="Times New Roman" w:cs="Times New Roman"/>
          <w:sz w:val="24"/>
          <w:szCs w:val="24"/>
        </w:rPr>
        <w:t xml:space="preserve"> African states’ attempts to own and implement them through constitutional reforms and other mechanisms, only a limited number of constitutional provisions and national development plans feature </w:t>
      </w:r>
      <w:r w:rsidR="00F479F3">
        <w:rPr>
          <w:rFonts w:ascii="Times New Roman" w:hAnsi="Times New Roman" w:cs="Times New Roman"/>
          <w:sz w:val="24"/>
          <w:szCs w:val="24"/>
        </w:rPr>
        <w:t xml:space="preserve">coherent and </w:t>
      </w:r>
      <w:r w:rsidR="00BB2548">
        <w:rPr>
          <w:rFonts w:ascii="Times New Roman" w:hAnsi="Times New Roman" w:cs="Times New Roman"/>
          <w:sz w:val="24"/>
          <w:szCs w:val="24"/>
        </w:rPr>
        <w:t xml:space="preserve">practical elements </w:t>
      </w:r>
      <w:r w:rsidR="00F479F3">
        <w:rPr>
          <w:rFonts w:ascii="Times New Roman" w:hAnsi="Times New Roman" w:cs="Times New Roman"/>
          <w:sz w:val="24"/>
          <w:szCs w:val="24"/>
        </w:rPr>
        <w:t>of</w:t>
      </w:r>
      <w:r w:rsidR="00BB2548">
        <w:rPr>
          <w:rFonts w:ascii="Times New Roman" w:hAnsi="Times New Roman" w:cs="Times New Roman"/>
          <w:sz w:val="24"/>
          <w:szCs w:val="24"/>
        </w:rPr>
        <w:t xml:space="preserve"> </w:t>
      </w:r>
      <w:r w:rsidR="00F479F3">
        <w:rPr>
          <w:rFonts w:ascii="Times New Roman" w:hAnsi="Times New Roman" w:cs="Times New Roman"/>
          <w:sz w:val="24"/>
          <w:szCs w:val="24"/>
        </w:rPr>
        <w:t>gender equality.</w:t>
      </w:r>
      <w:r w:rsidR="00F667C9" w:rsidRPr="00F667C9">
        <w:rPr>
          <w:rFonts w:ascii="Times New Roman" w:hAnsi="Times New Roman" w:cs="Times New Roman"/>
          <w:sz w:val="24"/>
          <w:szCs w:val="24"/>
        </w:rPr>
        <w:t xml:space="preserve"> </w:t>
      </w:r>
      <w:r w:rsidR="00F667C9">
        <w:rPr>
          <w:rFonts w:ascii="Times New Roman" w:hAnsi="Times New Roman" w:cs="Times New Roman"/>
          <w:sz w:val="24"/>
          <w:szCs w:val="24"/>
        </w:rPr>
        <w:t>In some countries, n</w:t>
      </w:r>
      <w:r w:rsidR="00F667C9" w:rsidRPr="00F479F3">
        <w:rPr>
          <w:rFonts w:ascii="Times New Roman" w:hAnsi="Times New Roman" w:cs="Times New Roman"/>
          <w:sz w:val="24"/>
          <w:szCs w:val="24"/>
        </w:rPr>
        <w:t xml:space="preserve">ational action plans </w:t>
      </w:r>
      <w:r w:rsidR="00F667C9">
        <w:rPr>
          <w:rFonts w:ascii="Times New Roman" w:hAnsi="Times New Roman" w:cs="Times New Roman"/>
          <w:sz w:val="24"/>
          <w:szCs w:val="24"/>
        </w:rPr>
        <w:t xml:space="preserve">concerning gender (i.e. how to fund, implement and measure gender policy progress and challenges) do not even </w:t>
      </w:r>
      <w:r w:rsidR="00F667C9" w:rsidRPr="00F479F3">
        <w:rPr>
          <w:rFonts w:ascii="Times New Roman" w:hAnsi="Times New Roman" w:cs="Times New Roman"/>
          <w:sz w:val="24"/>
          <w:szCs w:val="24"/>
        </w:rPr>
        <w:t>have any relation to national development strategies or accounts</w:t>
      </w:r>
      <w:r w:rsidR="00F667C9">
        <w:rPr>
          <w:rFonts w:ascii="Times New Roman" w:hAnsi="Times New Roman" w:cs="Times New Roman"/>
          <w:sz w:val="24"/>
          <w:szCs w:val="24"/>
        </w:rPr>
        <w:t xml:space="preserve"> </w:t>
      </w:r>
      <w:r w:rsidR="00F667C9" w:rsidRPr="00F479F3">
        <w:rPr>
          <w:rFonts w:ascii="Times New Roman" w:hAnsi="Times New Roman" w:cs="Times New Roman"/>
          <w:sz w:val="24"/>
          <w:szCs w:val="24"/>
        </w:rPr>
        <w:t>/</w:t>
      </w:r>
      <w:r w:rsidR="00F667C9">
        <w:rPr>
          <w:rFonts w:ascii="Times New Roman" w:hAnsi="Times New Roman" w:cs="Times New Roman"/>
          <w:sz w:val="24"/>
          <w:szCs w:val="24"/>
        </w:rPr>
        <w:t xml:space="preserve"> </w:t>
      </w:r>
      <w:r w:rsidR="00F667C9" w:rsidRPr="00F479F3">
        <w:rPr>
          <w:rFonts w:ascii="Times New Roman" w:hAnsi="Times New Roman" w:cs="Times New Roman"/>
          <w:sz w:val="24"/>
          <w:szCs w:val="24"/>
        </w:rPr>
        <w:t>budgets</w:t>
      </w:r>
      <w:r w:rsidR="00F667C9">
        <w:rPr>
          <w:rStyle w:val="FootnoteReference"/>
          <w:rFonts w:ascii="Times New Roman" w:hAnsi="Times New Roman" w:cs="Times New Roman"/>
          <w:sz w:val="24"/>
          <w:szCs w:val="24"/>
        </w:rPr>
        <w:footnoteReference w:id="41"/>
      </w:r>
      <w:r w:rsidR="00F667C9" w:rsidRPr="00F479F3">
        <w:rPr>
          <w:rFonts w:ascii="Times New Roman" w:hAnsi="Times New Roman" w:cs="Times New Roman"/>
          <w:sz w:val="24"/>
          <w:szCs w:val="24"/>
        </w:rPr>
        <w:t xml:space="preserve">. </w:t>
      </w:r>
      <w:r w:rsidR="00F667C9">
        <w:rPr>
          <w:rFonts w:ascii="Times New Roman" w:hAnsi="Times New Roman" w:cs="Times New Roman"/>
          <w:sz w:val="24"/>
          <w:szCs w:val="24"/>
        </w:rPr>
        <w:t xml:space="preserve"> </w:t>
      </w:r>
    </w:p>
    <w:p w:rsidR="00F667C9" w:rsidRDefault="00F667C9" w:rsidP="00431981">
      <w:pPr>
        <w:spacing w:after="0" w:line="240" w:lineRule="auto"/>
        <w:rPr>
          <w:rFonts w:ascii="Times New Roman" w:hAnsi="Times New Roman" w:cs="Times New Roman"/>
          <w:sz w:val="24"/>
          <w:szCs w:val="24"/>
        </w:rPr>
      </w:pPr>
    </w:p>
    <w:p w:rsidR="00431981" w:rsidRDefault="00F667C9" w:rsidP="00431981">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431981">
        <w:rPr>
          <w:rFonts w:ascii="Times New Roman" w:hAnsi="Times New Roman" w:cs="Times New Roman"/>
          <w:sz w:val="24"/>
          <w:szCs w:val="24"/>
        </w:rPr>
        <w:t xml:space="preserve">n </w:t>
      </w:r>
      <w:r>
        <w:rPr>
          <w:rFonts w:ascii="Times New Roman" w:hAnsi="Times New Roman" w:cs="Times New Roman"/>
          <w:sz w:val="24"/>
          <w:szCs w:val="24"/>
        </w:rPr>
        <w:t xml:space="preserve">Angola </w:t>
      </w:r>
      <w:r w:rsidR="00431981">
        <w:rPr>
          <w:rFonts w:ascii="Times New Roman" w:hAnsi="Times New Roman" w:cs="Times New Roman"/>
          <w:sz w:val="24"/>
          <w:szCs w:val="24"/>
        </w:rPr>
        <w:t xml:space="preserve">the </w:t>
      </w:r>
      <w:r>
        <w:rPr>
          <w:rFonts w:ascii="Times New Roman" w:hAnsi="Times New Roman" w:cs="Times New Roman"/>
          <w:sz w:val="24"/>
          <w:szCs w:val="24"/>
        </w:rPr>
        <w:t>Constitution has two main provisions dealing with</w:t>
      </w:r>
      <w:r w:rsidR="00431981">
        <w:rPr>
          <w:rFonts w:ascii="Times New Roman" w:hAnsi="Times New Roman" w:cs="Times New Roman"/>
          <w:sz w:val="24"/>
          <w:szCs w:val="24"/>
        </w:rPr>
        <w:t xml:space="preserve"> </w:t>
      </w:r>
      <w:r w:rsidR="00A52A78">
        <w:rPr>
          <w:rFonts w:ascii="Times New Roman" w:hAnsi="Times New Roman" w:cs="Times New Roman"/>
          <w:sz w:val="24"/>
          <w:szCs w:val="24"/>
        </w:rPr>
        <w:t xml:space="preserve">gender </w:t>
      </w:r>
      <w:r w:rsidR="00431981">
        <w:rPr>
          <w:rFonts w:ascii="Times New Roman" w:hAnsi="Times New Roman" w:cs="Times New Roman"/>
          <w:sz w:val="24"/>
          <w:szCs w:val="24"/>
        </w:rPr>
        <w:t>equality: A</w:t>
      </w:r>
      <w:r w:rsidR="006A1678" w:rsidRPr="006A1678">
        <w:rPr>
          <w:rFonts w:ascii="Times New Roman" w:hAnsi="Times New Roman" w:cs="Times New Roman"/>
          <w:sz w:val="24"/>
          <w:szCs w:val="24"/>
        </w:rPr>
        <w:t>rticle 18</w:t>
      </w:r>
      <w:r w:rsidR="00431981">
        <w:rPr>
          <w:rFonts w:ascii="Times New Roman" w:hAnsi="Times New Roman" w:cs="Times New Roman"/>
          <w:sz w:val="24"/>
          <w:szCs w:val="24"/>
        </w:rPr>
        <w:t>.1—a</w:t>
      </w:r>
      <w:r w:rsidR="00431981" w:rsidRPr="00431981">
        <w:rPr>
          <w:rFonts w:ascii="Times New Roman" w:hAnsi="Times New Roman" w:cs="Times New Roman"/>
          <w:sz w:val="24"/>
          <w:szCs w:val="24"/>
        </w:rPr>
        <w:t>ll citizens shall be equal under the law and shall enjoy the same rights and be subject to</w:t>
      </w:r>
      <w:r w:rsidR="00431981">
        <w:rPr>
          <w:rFonts w:ascii="Times New Roman" w:hAnsi="Times New Roman" w:cs="Times New Roman"/>
          <w:sz w:val="24"/>
          <w:szCs w:val="24"/>
        </w:rPr>
        <w:t xml:space="preserve"> </w:t>
      </w:r>
      <w:r w:rsidR="00431981" w:rsidRPr="00431981">
        <w:rPr>
          <w:rFonts w:ascii="Times New Roman" w:hAnsi="Times New Roman" w:cs="Times New Roman"/>
          <w:sz w:val="24"/>
          <w:szCs w:val="24"/>
        </w:rPr>
        <w:t>the same duties, without distinction as to color, race, eth</w:t>
      </w:r>
      <w:r w:rsidR="00431981">
        <w:rPr>
          <w:rFonts w:ascii="Times New Roman" w:hAnsi="Times New Roman" w:cs="Times New Roman"/>
          <w:sz w:val="24"/>
          <w:szCs w:val="24"/>
        </w:rPr>
        <w:t xml:space="preserve">nic group, sex, place of birth, </w:t>
      </w:r>
      <w:r w:rsidR="00431981" w:rsidRPr="00431981">
        <w:rPr>
          <w:rFonts w:ascii="Times New Roman" w:hAnsi="Times New Roman" w:cs="Times New Roman"/>
          <w:sz w:val="24"/>
          <w:szCs w:val="24"/>
        </w:rPr>
        <w:t>religion, ideology, level of educati</w:t>
      </w:r>
      <w:r w:rsidR="00431981">
        <w:rPr>
          <w:rFonts w:ascii="Times New Roman" w:hAnsi="Times New Roman" w:cs="Times New Roman"/>
          <w:sz w:val="24"/>
          <w:szCs w:val="24"/>
        </w:rPr>
        <w:t xml:space="preserve">on or economic or social status—and </w:t>
      </w:r>
      <w:r w:rsidR="00431981" w:rsidRPr="00431981">
        <w:rPr>
          <w:rFonts w:ascii="Times New Roman" w:hAnsi="Times New Roman" w:cs="Times New Roman"/>
          <w:sz w:val="24"/>
          <w:szCs w:val="24"/>
        </w:rPr>
        <w:t>Article</w:t>
      </w:r>
      <w:r w:rsidR="00431981">
        <w:rPr>
          <w:rFonts w:ascii="Times New Roman" w:hAnsi="Times New Roman" w:cs="Times New Roman"/>
          <w:sz w:val="24"/>
          <w:szCs w:val="24"/>
        </w:rPr>
        <w:t xml:space="preserve"> 29.2 which indicates that m</w:t>
      </w:r>
      <w:r w:rsidR="00431981" w:rsidRPr="00431981">
        <w:rPr>
          <w:rFonts w:ascii="Times New Roman" w:hAnsi="Times New Roman" w:cs="Times New Roman"/>
          <w:sz w:val="24"/>
          <w:szCs w:val="24"/>
        </w:rPr>
        <w:t>en and women shall be equal within the family, enjoying the same rights and having the</w:t>
      </w:r>
      <w:r w:rsidR="00431981">
        <w:rPr>
          <w:rFonts w:ascii="Times New Roman" w:hAnsi="Times New Roman" w:cs="Times New Roman"/>
          <w:sz w:val="24"/>
          <w:szCs w:val="24"/>
        </w:rPr>
        <w:t xml:space="preserve"> </w:t>
      </w:r>
      <w:r w:rsidR="00431981" w:rsidRPr="00431981">
        <w:rPr>
          <w:rFonts w:ascii="Times New Roman" w:hAnsi="Times New Roman" w:cs="Times New Roman"/>
          <w:sz w:val="24"/>
          <w:szCs w:val="24"/>
        </w:rPr>
        <w:t>same duties</w:t>
      </w:r>
      <w:r w:rsidR="009C2237">
        <w:rPr>
          <w:rStyle w:val="FootnoteReference"/>
          <w:rFonts w:ascii="Times New Roman" w:hAnsi="Times New Roman" w:cs="Times New Roman"/>
          <w:sz w:val="24"/>
          <w:szCs w:val="24"/>
        </w:rPr>
        <w:footnoteReference w:id="42"/>
      </w:r>
      <w:r w:rsidR="00431981" w:rsidRPr="00431981">
        <w:rPr>
          <w:rFonts w:ascii="Times New Roman" w:hAnsi="Times New Roman" w:cs="Times New Roman"/>
          <w:sz w:val="24"/>
          <w:szCs w:val="24"/>
        </w:rPr>
        <w:t>.</w:t>
      </w:r>
      <w:r w:rsidR="00F62DB9">
        <w:rPr>
          <w:rFonts w:ascii="Times New Roman" w:hAnsi="Times New Roman" w:cs="Times New Roman"/>
          <w:sz w:val="24"/>
          <w:szCs w:val="24"/>
        </w:rPr>
        <w:t xml:space="preserve"> </w:t>
      </w:r>
      <w:r w:rsidR="00141707">
        <w:rPr>
          <w:rFonts w:ascii="Times New Roman" w:hAnsi="Times New Roman" w:cs="Times New Roman"/>
          <w:sz w:val="24"/>
          <w:szCs w:val="24"/>
        </w:rPr>
        <w:t>O</w:t>
      </w:r>
      <w:r w:rsidR="00F62DB9">
        <w:rPr>
          <w:rFonts w:ascii="Times New Roman" w:hAnsi="Times New Roman" w:cs="Times New Roman"/>
          <w:sz w:val="24"/>
          <w:szCs w:val="24"/>
        </w:rPr>
        <w:t xml:space="preserve">n the one hand, international observers acclaim </w:t>
      </w:r>
      <w:r w:rsidR="00F62DB9" w:rsidRPr="00F62DB9">
        <w:rPr>
          <w:rFonts w:ascii="Times New Roman" w:hAnsi="Times New Roman" w:cs="Times New Roman"/>
          <w:sz w:val="24"/>
          <w:szCs w:val="24"/>
        </w:rPr>
        <w:t>Angola</w:t>
      </w:r>
      <w:r w:rsidR="00F62DB9">
        <w:rPr>
          <w:rFonts w:ascii="Times New Roman" w:hAnsi="Times New Roman" w:cs="Times New Roman"/>
          <w:sz w:val="24"/>
          <w:szCs w:val="24"/>
        </w:rPr>
        <w:t>n legislators</w:t>
      </w:r>
      <w:r w:rsidR="005D6012">
        <w:rPr>
          <w:rFonts w:ascii="Times New Roman" w:hAnsi="Times New Roman" w:cs="Times New Roman"/>
          <w:sz w:val="24"/>
          <w:szCs w:val="24"/>
        </w:rPr>
        <w:t>’</w:t>
      </w:r>
      <w:r w:rsidR="00F62DB9" w:rsidRPr="00F62DB9">
        <w:rPr>
          <w:rFonts w:ascii="Times New Roman" w:hAnsi="Times New Roman" w:cs="Times New Roman"/>
          <w:sz w:val="24"/>
          <w:szCs w:val="24"/>
        </w:rPr>
        <w:t xml:space="preserve"> </w:t>
      </w:r>
      <w:r w:rsidR="00141707">
        <w:rPr>
          <w:rFonts w:ascii="Times New Roman" w:hAnsi="Times New Roman" w:cs="Times New Roman"/>
          <w:sz w:val="24"/>
          <w:szCs w:val="24"/>
        </w:rPr>
        <w:t>attempt to</w:t>
      </w:r>
      <w:r w:rsidR="00F62DB9">
        <w:rPr>
          <w:rFonts w:ascii="Times New Roman" w:hAnsi="Times New Roman" w:cs="Times New Roman"/>
          <w:sz w:val="24"/>
          <w:szCs w:val="24"/>
        </w:rPr>
        <w:t xml:space="preserve"> formally </w:t>
      </w:r>
      <w:r w:rsidR="00A52A78">
        <w:rPr>
          <w:rFonts w:ascii="Times New Roman" w:hAnsi="Times New Roman" w:cs="Times New Roman"/>
          <w:sz w:val="24"/>
          <w:szCs w:val="24"/>
        </w:rPr>
        <w:t>codify</w:t>
      </w:r>
      <w:r w:rsidR="00F62DB9">
        <w:rPr>
          <w:rFonts w:ascii="Times New Roman" w:hAnsi="Times New Roman" w:cs="Times New Roman"/>
          <w:sz w:val="24"/>
          <w:szCs w:val="24"/>
        </w:rPr>
        <w:t xml:space="preserve"> women’s right to equality and </w:t>
      </w:r>
      <w:r w:rsidR="00A52A78">
        <w:rPr>
          <w:rFonts w:ascii="Times New Roman" w:hAnsi="Times New Roman" w:cs="Times New Roman"/>
          <w:sz w:val="24"/>
          <w:szCs w:val="24"/>
        </w:rPr>
        <w:t>adopt</w:t>
      </w:r>
      <w:r w:rsidR="00F62DB9" w:rsidRPr="00F62DB9">
        <w:rPr>
          <w:rFonts w:ascii="Times New Roman" w:hAnsi="Times New Roman" w:cs="Times New Roman"/>
          <w:sz w:val="24"/>
          <w:szCs w:val="24"/>
        </w:rPr>
        <w:t xml:space="preserve"> legislation</w:t>
      </w:r>
      <w:r w:rsidR="00141707">
        <w:rPr>
          <w:rFonts w:ascii="Times New Roman" w:hAnsi="Times New Roman" w:cs="Times New Roman"/>
          <w:sz w:val="24"/>
          <w:szCs w:val="24"/>
        </w:rPr>
        <w:t>s</w:t>
      </w:r>
      <w:r w:rsidR="00F62DB9" w:rsidRPr="00F62DB9">
        <w:rPr>
          <w:rFonts w:ascii="Times New Roman" w:hAnsi="Times New Roman" w:cs="Times New Roman"/>
          <w:sz w:val="24"/>
          <w:szCs w:val="24"/>
        </w:rPr>
        <w:t xml:space="preserve"> </w:t>
      </w:r>
      <w:r w:rsidR="00A52A78">
        <w:rPr>
          <w:rFonts w:ascii="Times New Roman" w:hAnsi="Times New Roman" w:cs="Times New Roman"/>
          <w:sz w:val="24"/>
          <w:szCs w:val="24"/>
        </w:rPr>
        <w:t>that</w:t>
      </w:r>
      <w:r w:rsidR="00F62DB9" w:rsidRPr="00F62DB9">
        <w:rPr>
          <w:rFonts w:ascii="Times New Roman" w:hAnsi="Times New Roman" w:cs="Times New Roman"/>
          <w:sz w:val="24"/>
          <w:szCs w:val="24"/>
        </w:rPr>
        <w:t xml:space="preserve"> address social, economic, legal and political </w:t>
      </w:r>
      <w:r w:rsidR="00A52A78">
        <w:rPr>
          <w:rFonts w:ascii="Times New Roman" w:hAnsi="Times New Roman" w:cs="Times New Roman"/>
          <w:sz w:val="24"/>
          <w:szCs w:val="24"/>
        </w:rPr>
        <w:t>dimensions</w:t>
      </w:r>
      <w:r w:rsidR="00F62DB9" w:rsidRPr="00F62DB9">
        <w:rPr>
          <w:rFonts w:ascii="Times New Roman" w:hAnsi="Times New Roman" w:cs="Times New Roman"/>
          <w:sz w:val="24"/>
          <w:szCs w:val="24"/>
        </w:rPr>
        <w:t xml:space="preserve"> of gender parity a</w:t>
      </w:r>
      <w:r w:rsidR="00A7210A">
        <w:rPr>
          <w:rFonts w:ascii="Times New Roman" w:hAnsi="Times New Roman" w:cs="Times New Roman"/>
          <w:sz w:val="24"/>
          <w:szCs w:val="24"/>
        </w:rPr>
        <w:t>nd discrimination against women</w:t>
      </w:r>
      <w:r w:rsidR="00F62DB9" w:rsidRPr="00F62DB9">
        <w:rPr>
          <w:rFonts w:ascii="Times New Roman" w:hAnsi="Times New Roman" w:cs="Times New Roman"/>
          <w:sz w:val="24"/>
          <w:szCs w:val="24"/>
        </w:rPr>
        <w:t>.</w:t>
      </w:r>
      <w:r w:rsidR="00241F7C">
        <w:rPr>
          <w:rFonts w:ascii="Times New Roman" w:hAnsi="Times New Roman" w:cs="Times New Roman"/>
          <w:sz w:val="24"/>
          <w:szCs w:val="24"/>
        </w:rPr>
        <w:t xml:space="preserve"> On the other hand, critiques are</w:t>
      </w:r>
      <w:r w:rsidR="00241F7C" w:rsidRPr="00241F7C">
        <w:rPr>
          <w:rFonts w:ascii="Times New Roman" w:hAnsi="Times New Roman" w:cs="Times New Roman"/>
          <w:sz w:val="24"/>
          <w:szCs w:val="24"/>
        </w:rPr>
        <w:t xml:space="preserve"> concerned about </w:t>
      </w:r>
      <w:r w:rsidR="00241F7C">
        <w:rPr>
          <w:rFonts w:ascii="Times New Roman" w:hAnsi="Times New Roman" w:cs="Times New Roman"/>
          <w:sz w:val="24"/>
          <w:szCs w:val="24"/>
        </w:rPr>
        <w:t>ambiguities in the language used in the aforementioned articles</w:t>
      </w:r>
      <w:r w:rsidR="00C74658">
        <w:rPr>
          <w:rStyle w:val="FootnoteReference"/>
          <w:rFonts w:ascii="Times New Roman" w:hAnsi="Times New Roman" w:cs="Times New Roman"/>
          <w:sz w:val="24"/>
          <w:szCs w:val="24"/>
        </w:rPr>
        <w:footnoteReference w:id="43"/>
      </w:r>
      <w:r w:rsidR="00241F7C">
        <w:rPr>
          <w:rFonts w:ascii="Times New Roman" w:hAnsi="Times New Roman" w:cs="Times New Roman"/>
          <w:sz w:val="24"/>
          <w:szCs w:val="24"/>
        </w:rPr>
        <w:t xml:space="preserve">. This is particularly the case since </w:t>
      </w:r>
      <w:r w:rsidR="005D6012">
        <w:rPr>
          <w:rFonts w:ascii="Times New Roman" w:hAnsi="Times New Roman" w:cs="Times New Roman"/>
          <w:sz w:val="24"/>
          <w:szCs w:val="24"/>
        </w:rPr>
        <w:t>the</w:t>
      </w:r>
      <w:r w:rsidR="00A52A78">
        <w:rPr>
          <w:rFonts w:ascii="Times New Roman" w:hAnsi="Times New Roman" w:cs="Times New Roman"/>
          <w:sz w:val="24"/>
          <w:szCs w:val="24"/>
        </w:rPr>
        <w:t>se</w:t>
      </w:r>
      <w:r w:rsidR="005D6012">
        <w:rPr>
          <w:rFonts w:ascii="Times New Roman" w:hAnsi="Times New Roman" w:cs="Times New Roman"/>
          <w:sz w:val="24"/>
          <w:szCs w:val="24"/>
        </w:rPr>
        <w:t xml:space="preserve"> constitutional provisions do</w:t>
      </w:r>
      <w:r w:rsidR="00241F7C">
        <w:rPr>
          <w:rFonts w:ascii="Times New Roman" w:hAnsi="Times New Roman" w:cs="Times New Roman"/>
          <w:sz w:val="24"/>
          <w:szCs w:val="24"/>
        </w:rPr>
        <w:t xml:space="preserve"> not outright acknowledge </w:t>
      </w:r>
      <w:r w:rsidR="00A52A78">
        <w:rPr>
          <w:rFonts w:ascii="Times New Roman" w:hAnsi="Times New Roman" w:cs="Times New Roman"/>
          <w:sz w:val="24"/>
          <w:szCs w:val="24"/>
        </w:rPr>
        <w:t xml:space="preserve">specific issues under the umbrella of gender equality that women are particularly confronted with, such as discrimination in employment and </w:t>
      </w:r>
      <w:r w:rsidR="00241F7C">
        <w:rPr>
          <w:rFonts w:ascii="Times New Roman" w:hAnsi="Times New Roman" w:cs="Times New Roman"/>
          <w:sz w:val="24"/>
          <w:szCs w:val="24"/>
        </w:rPr>
        <w:t xml:space="preserve">career advancement, </w:t>
      </w:r>
      <w:r w:rsidR="00A52A78">
        <w:rPr>
          <w:rFonts w:ascii="Times New Roman" w:hAnsi="Times New Roman" w:cs="Times New Roman"/>
          <w:sz w:val="24"/>
          <w:szCs w:val="24"/>
        </w:rPr>
        <w:t xml:space="preserve">sexual </w:t>
      </w:r>
      <w:r w:rsidR="00A52A78">
        <w:rPr>
          <w:rFonts w:ascii="Times New Roman" w:hAnsi="Times New Roman" w:cs="Times New Roman"/>
          <w:sz w:val="24"/>
          <w:szCs w:val="24"/>
        </w:rPr>
        <w:lastRenderedPageBreak/>
        <w:t xml:space="preserve">harassment </w:t>
      </w:r>
      <w:r w:rsidR="00C74658">
        <w:rPr>
          <w:rFonts w:ascii="Times New Roman" w:hAnsi="Times New Roman" w:cs="Times New Roman"/>
          <w:sz w:val="24"/>
          <w:szCs w:val="24"/>
        </w:rPr>
        <w:t xml:space="preserve">and </w:t>
      </w:r>
      <w:r w:rsidR="00A7210A">
        <w:rPr>
          <w:rFonts w:ascii="Times New Roman" w:hAnsi="Times New Roman" w:cs="Times New Roman"/>
          <w:sz w:val="24"/>
          <w:szCs w:val="24"/>
        </w:rPr>
        <w:t xml:space="preserve">so on. </w:t>
      </w:r>
      <w:r w:rsidR="00E90663">
        <w:rPr>
          <w:rFonts w:ascii="Times New Roman" w:hAnsi="Times New Roman" w:cs="Times New Roman"/>
          <w:sz w:val="24"/>
          <w:szCs w:val="24"/>
        </w:rPr>
        <w:t xml:space="preserve">The Constitution also does not go far enough </w:t>
      </w:r>
      <w:r w:rsidR="00A7210A">
        <w:rPr>
          <w:rFonts w:ascii="Times New Roman" w:hAnsi="Times New Roman" w:cs="Times New Roman"/>
          <w:sz w:val="24"/>
          <w:szCs w:val="24"/>
        </w:rPr>
        <w:t>in securing</w:t>
      </w:r>
      <w:r w:rsidR="00E90663">
        <w:rPr>
          <w:rFonts w:ascii="Times New Roman" w:hAnsi="Times New Roman" w:cs="Times New Roman"/>
          <w:sz w:val="24"/>
          <w:szCs w:val="24"/>
        </w:rPr>
        <w:t xml:space="preserve"> women’s right to equally </w:t>
      </w:r>
      <w:r w:rsidR="006D1B9C">
        <w:rPr>
          <w:rFonts w:ascii="Times New Roman" w:hAnsi="Times New Roman" w:cs="Times New Roman"/>
          <w:sz w:val="24"/>
          <w:szCs w:val="24"/>
        </w:rPr>
        <w:t xml:space="preserve">and fully </w:t>
      </w:r>
      <w:r w:rsidR="00E90663">
        <w:rPr>
          <w:rFonts w:ascii="Times New Roman" w:hAnsi="Times New Roman" w:cs="Times New Roman"/>
          <w:sz w:val="24"/>
          <w:szCs w:val="24"/>
        </w:rPr>
        <w:t xml:space="preserve">partake in </w:t>
      </w:r>
      <w:r w:rsidR="00241F7C">
        <w:rPr>
          <w:rFonts w:ascii="Times New Roman" w:hAnsi="Times New Roman" w:cs="Times New Roman"/>
          <w:sz w:val="24"/>
          <w:szCs w:val="24"/>
        </w:rPr>
        <w:t xml:space="preserve">leadership </w:t>
      </w:r>
      <w:r w:rsidR="00C74658">
        <w:rPr>
          <w:rFonts w:ascii="Times New Roman" w:hAnsi="Times New Roman" w:cs="Times New Roman"/>
          <w:sz w:val="24"/>
          <w:szCs w:val="24"/>
        </w:rPr>
        <w:t>activities in public and most certainly private institutions</w:t>
      </w:r>
      <w:r w:rsidR="00E90663">
        <w:rPr>
          <w:rFonts w:ascii="Times New Roman" w:hAnsi="Times New Roman" w:cs="Times New Roman"/>
          <w:sz w:val="24"/>
          <w:szCs w:val="24"/>
        </w:rPr>
        <w:t xml:space="preserve">.  </w:t>
      </w:r>
    </w:p>
    <w:p w:rsidR="00740BF1" w:rsidRDefault="00740BF1" w:rsidP="00431981">
      <w:pPr>
        <w:spacing w:after="0" w:line="240" w:lineRule="auto"/>
        <w:rPr>
          <w:rFonts w:ascii="Times New Roman" w:hAnsi="Times New Roman" w:cs="Times New Roman"/>
          <w:sz w:val="24"/>
          <w:szCs w:val="24"/>
        </w:rPr>
      </w:pPr>
    </w:p>
    <w:p w:rsidR="008C60EC" w:rsidRDefault="00052E45" w:rsidP="00052E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in the </w:t>
      </w:r>
      <w:r w:rsidR="00541AB0">
        <w:rPr>
          <w:rFonts w:ascii="Times New Roman" w:hAnsi="Times New Roman" w:cs="Times New Roman"/>
          <w:sz w:val="24"/>
          <w:szCs w:val="24"/>
        </w:rPr>
        <w:t>Dem</w:t>
      </w:r>
      <w:r>
        <w:rPr>
          <w:rFonts w:ascii="Times New Roman" w:hAnsi="Times New Roman" w:cs="Times New Roman"/>
          <w:sz w:val="24"/>
          <w:szCs w:val="24"/>
        </w:rPr>
        <w:t xml:space="preserve">ocratic Republic of Congo (DRC), the Constitution covers and elaborates on the concept of gender equality </w:t>
      </w:r>
      <w:r w:rsidR="004C1C66">
        <w:rPr>
          <w:rFonts w:ascii="Times New Roman" w:hAnsi="Times New Roman" w:cs="Times New Roman"/>
          <w:sz w:val="24"/>
          <w:szCs w:val="24"/>
        </w:rPr>
        <w:t>through various articles</w:t>
      </w:r>
      <w:r>
        <w:rPr>
          <w:rFonts w:ascii="Times New Roman" w:hAnsi="Times New Roman" w:cs="Times New Roman"/>
          <w:sz w:val="24"/>
          <w:szCs w:val="24"/>
        </w:rPr>
        <w:t xml:space="preserve">. Yet, in </w:t>
      </w:r>
      <w:r w:rsidR="00E90663">
        <w:rPr>
          <w:rFonts w:ascii="Times New Roman" w:hAnsi="Times New Roman" w:cs="Times New Roman"/>
          <w:sz w:val="24"/>
          <w:szCs w:val="24"/>
        </w:rPr>
        <w:t xml:space="preserve">practical </w:t>
      </w:r>
      <w:r>
        <w:rPr>
          <w:rFonts w:ascii="Times New Roman" w:hAnsi="Times New Roman" w:cs="Times New Roman"/>
          <w:sz w:val="24"/>
          <w:szCs w:val="24"/>
        </w:rPr>
        <w:t>terms</w:t>
      </w:r>
      <w:r w:rsidR="00E90663">
        <w:rPr>
          <w:rFonts w:ascii="Times New Roman" w:hAnsi="Times New Roman" w:cs="Times New Roman"/>
          <w:sz w:val="24"/>
          <w:szCs w:val="24"/>
        </w:rPr>
        <w:t xml:space="preserve"> (i.e. in respect to </w:t>
      </w:r>
      <w:r>
        <w:rPr>
          <w:rFonts w:ascii="Times New Roman" w:hAnsi="Times New Roman" w:cs="Times New Roman"/>
          <w:sz w:val="24"/>
          <w:szCs w:val="24"/>
        </w:rPr>
        <w:t>implementing and reinforcing gender parity measures</w:t>
      </w:r>
      <w:r w:rsidR="00E90663">
        <w:rPr>
          <w:rFonts w:ascii="Times New Roman" w:hAnsi="Times New Roman" w:cs="Times New Roman"/>
          <w:sz w:val="24"/>
          <w:szCs w:val="24"/>
        </w:rPr>
        <w:t>)</w:t>
      </w:r>
      <w:r>
        <w:rPr>
          <w:rFonts w:ascii="Times New Roman" w:hAnsi="Times New Roman" w:cs="Times New Roman"/>
          <w:sz w:val="24"/>
          <w:szCs w:val="24"/>
        </w:rPr>
        <w:t xml:space="preserve"> the only party </w:t>
      </w:r>
      <w:r w:rsidR="00E90663">
        <w:rPr>
          <w:rFonts w:ascii="Times New Roman" w:hAnsi="Times New Roman" w:cs="Times New Roman"/>
          <w:sz w:val="24"/>
          <w:szCs w:val="24"/>
        </w:rPr>
        <w:t>designated</w:t>
      </w:r>
      <w:r>
        <w:rPr>
          <w:rFonts w:ascii="Times New Roman" w:hAnsi="Times New Roman" w:cs="Times New Roman"/>
          <w:sz w:val="24"/>
          <w:szCs w:val="24"/>
        </w:rPr>
        <w:t xml:space="preserve"> </w:t>
      </w:r>
      <w:r w:rsidR="00E90663">
        <w:rPr>
          <w:rFonts w:ascii="Times New Roman" w:hAnsi="Times New Roman" w:cs="Times New Roman"/>
          <w:sz w:val="24"/>
          <w:szCs w:val="24"/>
        </w:rPr>
        <w:t>or put</w:t>
      </w:r>
      <w:r>
        <w:rPr>
          <w:rFonts w:ascii="Times New Roman" w:hAnsi="Times New Roman" w:cs="Times New Roman"/>
          <w:sz w:val="24"/>
          <w:szCs w:val="24"/>
        </w:rPr>
        <w:t xml:space="preserve"> in charge of </w:t>
      </w:r>
      <w:r w:rsidR="006534D9">
        <w:rPr>
          <w:rFonts w:ascii="Times New Roman" w:hAnsi="Times New Roman" w:cs="Times New Roman"/>
          <w:sz w:val="24"/>
          <w:szCs w:val="24"/>
        </w:rPr>
        <w:t>addressing gender disparities and discrimination against women</w:t>
      </w:r>
      <w:r>
        <w:rPr>
          <w:rFonts w:ascii="Times New Roman" w:hAnsi="Times New Roman" w:cs="Times New Roman"/>
          <w:sz w:val="24"/>
          <w:szCs w:val="24"/>
        </w:rPr>
        <w:t xml:space="preserve"> is ‘public authorities </w:t>
      </w:r>
      <w:r w:rsidR="004C1C66">
        <w:rPr>
          <w:rFonts w:ascii="Times New Roman" w:hAnsi="Times New Roman" w:cs="Times New Roman"/>
          <w:sz w:val="24"/>
          <w:szCs w:val="24"/>
        </w:rPr>
        <w:t xml:space="preserve">who are </w:t>
      </w:r>
      <w:r>
        <w:rPr>
          <w:rFonts w:ascii="Times New Roman" w:hAnsi="Times New Roman" w:cs="Times New Roman"/>
          <w:sz w:val="24"/>
          <w:szCs w:val="24"/>
        </w:rPr>
        <w:t>entrusted with the</w:t>
      </w:r>
      <w:r w:rsidRPr="00052E45">
        <w:rPr>
          <w:rFonts w:ascii="Times New Roman" w:hAnsi="Times New Roman" w:cs="Times New Roman"/>
          <w:sz w:val="24"/>
          <w:szCs w:val="24"/>
        </w:rPr>
        <w:t xml:space="preserve"> elimination of all forms of </w:t>
      </w:r>
      <w:r>
        <w:rPr>
          <w:rFonts w:ascii="Times New Roman" w:hAnsi="Times New Roman" w:cs="Times New Roman"/>
          <w:sz w:val="24"/>
          <w:szCs w:val="24"/>
        </w:rPr>
        <w:t>discrimination against women while ensuring</w:t>
      </w:r>
      <w:r w:rsidRPr="00052E45">
        <w:rPr>
          <w:rFonts w:ascii="Times New Roman" w:hAnsi="Times New Roman" w:cs="Times New Roman"/>
          <w:sz w:val="24"/>
          <w:szCs w:val="24"/>
        </w:rPr>
        <w:t xml:space="preserve"> the protection and promotion of their rights</w:t>
      </w:r>
      <w:r>
        <w:rPr>
          <w:rStyle w:val="FootnoteReference"/>
          <w:rFonts w:ascii="Times New Roman" w:hAnsi="Times New Roman" w:cs="Times New Roman"/>
          <w:sz w:val="24"/>
          <w:szCs w:val="24"/>
        </w:rPr>
        <w:footnoteReference w:id="44"/>
      </w:r>
      <w:r>
        <w:rPr>
          <w:rFonts w:ascii="Times New Roman" w:hAnsi="Times New Roman" w:cs="Times New Roman"/>
          <w:sz w:val="24"/>
          <w:szCs w:val="24"/>
        </w:rPr>
        <w:t>’</w:t>
      </w:r>
      <w:r w:rsidRPr="00052E45">
        <w:rPr>
          <w:rFonts w:ascii="Times New Roman" w:hAnsi="Times New Roman" w:cs="Times New Roman"/>
          <w:sz w:val="24"/>
          <w:szCs w:val="24"/>
        </w:rPr>
        <w:t>.</w:t>
      </w:r>
      <w:r>
        <w:rPr>
          <w:rFonts w:ascii="Times New Roman" w:hAnsi="Times New Roman" w:cs="Times New Roman"/>
          <w:sz w:val="24"/>
          <w:szCs w:val="24"/>
        </w:rPr>
        <w:t xml:space="preserve"> </w:t>
      </w:r>
      <w:r w:rsidR="00E90663">
        <w:rPr>
          <w:rFonts w:ascii="Times New Roman" w:hAnsi="Times New Roman" w:cs="Times New Roman"/>
          <w:sz w:val="24"/>
          <w:szCs w:val="24"/>
        </w:rPr>
        <w:t>Th</w:t>
      </w:r>
      <w:r w:rsidR="008C60EC">
        <w:rPr>
          <w:rFonts w:ascii="Times New Roman" w:hAnsi="Times New Roman" w:cs="Times New Roman"/>
          <w:sz w:val="24"/>
          <w:szCs w:val="24"/>
        </w:rPr>
        <w:t xml:space="preserve">is sort of </w:t>
      </w:r>
      <w:r w:rsidR="00E90663">
        <w:rPr>
          <w:rFonts w:ascii="Times New Roman" w:hAnsi="Times New Roman" w:cs="Times New Roman"/>
          <w:sz w:val="24"/>
          <w:szCs w:val="24"/>
        </w:rPr>
        <w:t xml:space="preserve">flexibility of </w:t>
      </w:r>
      <w:r w:rsidR="008C60EC">
        <w:rPr>
          <w:rFonts w:ascii="Times New Roman" w:hAnsi="Times New Roman" w:cs="Times New Roman"/>
          <w:sz w:val="24"/>
          <w:szCs w:val="24"/>
        </w:rPr>
        <w:t>language</w:t>
      </w:r>
      <w:r w:rsidR="006534D9">
        <w:rPr>
          <w:rFonts w:ascii="Times New Roman" w:hAnsi="Times New Roman" w:cs="Times New Roman"/>
          <w:sz w:val="24"/>
          <w:szCs w:val="24"/>
        </w:rPr>
        <w:t xml:space="preserve"> leaves out responsibilities of </w:t>
      </w:r>
      <w:r w:rsidR="00A7210A">
        <w:rPr>
          <w:rFonts w:ascii="Times New Roman" w:hAnsi="Times New Roman" w:cs="Times New Roman"/>
          <w:sz w:val="24"/>
          <w:szCs w:val="24"/>
        </w:rPr>
        <w:t xml:space="preserve">key </w:t>
      </w:r>
      <w:r w:rsidR="006534D9">
        <w:rPr>
          <w:rFonts w:ascii="Times New Roman" w:hAnsi="Times New Roman" w:cs="Times New Roman"/>
          <w:sz w:val="24"/>
          <w:szCs w:val="24"/>
        </w:rPr>
        <w:t xml:space="preserve">actors in the private and public sector </w:t>
      </w:r>
      <w:r w:rsidR="00A7210A">
        <w:rPr>
          <w:rFonts w:ascii="Times New Roman" w:hAnsi="Times New Roman" w:cs="Times New Roman"/>
          <w:sz w:val="24"/>
          <w:szCs w:val="24"/>
        </w:rPr>
        <w:t xml:space="preserve">(i.e. </w:t>
      </w:r>
      <w:r w:rsidR="006534D9">
        <w:rPr>
          <w:rFonts w:ascii="Times New Roman" w:hAnsi="Times New Roman" w:cs="Times New Roman"/>
          <w:sz w:val="24"/>
          <w:szCs w:val="24"/>
        </w:rPr>
        <w:t>employers</w:t>
      </w:r>
      <w:r w:rsidR="00A7210A">
        <w:rPr>
          <w:rFonts w:ascii="Times New Roman" w:hAnsi="Times New Roman" w:cs="Times New Roman"/>
          <w:sz w:val="24"/>
          <w:szCs w:val="24"/>
        </w:rPr>
        <w:t>)</w:t>
      </w:r>
      <w:r w:rsidR="006534D9">
        <w:rPr>
          <w:rFonts w:ascii="Times New Roman" w:hAnsi="Times New Roman" w:cs="Times New Roman"/>
          <w:sz w:val="24"/>
          <w:szCs w:val="24"/>
        </w:rPr>
        <w:t xml:space="preserve">. This </w:t>
      </w:r>
      <w:r w:rsidR="008C60EC">
        <w:rPr>
          <w:rFonts w:ascii="Times New Roman" w:hAnsi="Times New Roman" w:cs="Times New Roman"/>
          <w:sz w:val="24"/>
          <w:szCs w:val="24"/>
        </w:rPr>
        <w:t xml:space="preserve">poses serious problems </w:t>
      </w:r>
      <w:r w:rsidR="00CE2531">
        <w:rPr>
          <w:rFonts w:ascii="Times New Roman" w:hAnsi="Times New Roman" w:cs="Times New Roman"/>
          <w:sz w:val="24"/>
          <w:szCs w:val="24"/>
        </w:rPr>
        <w:t xml:space="preserve">for </w:t>
      </w:r>
      <w:r w:rsidR="008C60EC">
        <w:rPr>
          <w:rFonts w:ascii="Times New Roman" w:hAnsi="Times New Roman" w:cs="Times New Roman"/>
          <w:sz w:val="24"/>
          <w:szCs w:val="24"/>
        </w:rPr>
        <w:t>women</w:t>
      </w:r>
      <w:r w:rsidR="00CE2531">
        <w:rPr>
          <w:rFonts w:ascii="Times New Roman" w:hAnsi="Times New Roman" w:cs="Times New Roman"/>
          <w:sz w:val="24"/>
          <w:szCs w:val="24"/>
        </w:rPr>
        <w:t xml:space="preserve"> in DRC who</w:t>
      </w:r>
      <w:r w:rsidR="008C60EC">
        <w:rPr>
          <w:rFonts w:ascii="Times New Roman" w:hAnsi="Times New Roman" w:cs="Times New Roman"/>
          <w:sz w:val="24"/>
          <w:szCs w:val="24"/>
        </w:rPr>
        <w:t xml:space="preserve"> already face a great number of obstacles at home, in business and in the work</w:t>
      </w:r>
      <w:r w:rsidR="00CE2531">
        <w:rPr>
          <w:rFonts w:ascii="Times New Roman" w:hAnsi="Times New Roman" w:cs="Times New Roman"/>
          <w:sz w:val="24"/>
          <w:szCs w:val="24"/>
        </w:rPr>
        <w:t>force</w:t>
      </w:r>
      <w:r w:rsidR="006534D9">
        <w:rPr>
          <w:rFonts w:ascii="Times New Roman" w:hAnsi="Times New Roman" w:cs="Times New Roman"/>
          <w:sz w:val="24"/>
          <w:szCs w:val="24"/>
        </w:rPr>
        <w:t>, for example</w:t>
      </w:r>
      <w:r w:rsidR="00CE2531">
        <w:rPr>
          <w:rFonts w:ascii="Times New Roman" w:hAnsi="Times New Roman" w:cs="Times New Roman"/>
          <w:sz w:val="24"/>
          <w:szCs w:val="24"/>
        </w:rPr>
        <w:t>: a married women in DRC is not allowed to… pursue a job/trade/profession in the same ways as a man; …sign a contract in the same way as a man; …register a business in the same way as a man; …open a bank account in the same way as a man; …choose where to live in the same way as a man; …to be head of household or head of family in the same way as a man</w:t>
      </w:r>
      <w:r w:rsidR="00CE2531">
        <w:rPr>
          <w:rStyle w:val="FootnoteReference"/>
          <w:rFonts w:ascii="Times New Roman" w:hAnsi="Times New Roman" w:cs="Times New Roman"/>
          <w:sz w:val="24"/>
          <w:szCs w:val="24"/>
        </w:rPr>
        <w:footnoteReference w:id="45"/>
      </w:r>
      <w:r w:rsidR="00CE2531">
        <w:rPr>
          <w:rFonts w:ascii="Times New Roman" w:hAnsi="Times New Roman" w:cs="Times New Roman"/>
          <w:sz w:val="24"/>
          <w:szCs w:val="24"/>
        </w:rPr>
        <w:t>.</w:t>
      </w:r>
    </w:p>
    <w:p w:rsidR="00541AB0" w:rsidRDefault="008C60EC" w:rsidP="00052E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3126D" w:rsidRDefault="006D681E" w:rsidP="007517A0">
      <w:pPr>
        <w:rPr>
          <w:rFonts w:ascii="Times New Roman" w:hAnsi="Times New Roman" w:cs="Times New Roman"/>
          <w:sz w:val="24"/>
          <w:szCs w:val="24"/>
        </w:rPr>
      </w:pPr>
      <w:r w:rsidRPr="006D681E">
        <w:rPr>
          <w:rFonts w:ascii="Times New Roman" w:hAnsi="Times New Roman" w:cs="Times New Roman"/>
          <w:sz w:val="24"/>
          <w:szCs w:val="24"/>
        </w:rPr>
        <w:t>Meanwhile</w:t>
      </w:r>
      <w:r>
        <w:rPr>
          <w:rFonts w:ascii="Times New Roman" w:hAnsi="Times New Roman" w:cs="Times New Roman"/>
          <w:sz w:val="24"/>
          <w:szCs w:val="24"/>
        </w:rPr>
        <w:t xml:space="preserve"> in South Africa, </w:t>
      </w:r>
      <w:r w:rsidR="00404756" w:rsidRPr="00404756">
        <w:rPr>
          <w:rFonts w:ascii="Times New Roman" w:hAnsi="Times New Roman" w:cs="Times New Roman"/>
          <w:sz w:val="24"/>
          <w:szCs w:val="24"/>
        </w:rPr>
        <w:t>the government has laid a solid foundation</w:t>
      </w:r>
      <w:r w:rsidR="00404756">
        <w:rPr>
          <w:rFonts w:ascii="Times New Roman" w:hAnsi="Times New Roman" w:cs="Times New Roman"/>
          <w:sz w:val="24"/>
          <w:szCs w:val="24"/>
        </w:rPr>
        <w:t xml:space="preserve"> </w:t>
      </w:r>
      <w:r w:rsidR="00404756" w:rsidRPr="00026E17">
        <w:rPr>
          <w:rFonts w:ascii="Times New Roman" w:hAnsi="Times New Roman" w:cs="Times New Roman"/>
          <w:sz w:val="24"/>
          <w:szCs w:val="24"/>
        </w:rPr>
        <w:t xml:space="preserve">in terms of policy, putting public </w:t>
      </w:r>
      <w:r w:rsidR="00B8047D">
        <w:rPr>
          <w:rFonts w:ascii="Times New Roman" w:hAnsi="Times New Roman" w:cs="Times New Roman"/>
          <w:sz w:val="24"/>
          <w:szCs w:val="24"/>
        </w:rPr>
        <w:t>institutions</w:t>
      </w:r>
      <w:r w:rsidR="00404756" w:rsidRPr="00026E17">
        <w:rPr>
          <w:rFonts w:ascii="Times New Roman" w:hAnsi="Times New Roman" w:cs="Times New Roman"/>
          <w:sz w:val="24"/>
          <w:szCs w:val="24"/>
        </w:rPr>
        <w:t xml:space="preserve"> firmly on t</w:t>
      </w:r>
      <w:r w:rsidR="00026E17">
        <w:rPr>
          <w:rFonts w:ascii="Times New Roman" w:hAnsi="Times New Roman" w:cs="Times New Roman"/>
          <w:sz w:val="24"/>
          <w:szCs w:val="24"/>
        </w:rPr>
        <w:t>he route of transformation</w:t>
      </w:r>
      <w:r w:rsidR="00B8047D">
        <w:rPr>
          <w:rFonts w:ascii="Times New Roman" w:hAnsi="Times New Roman" w:cs="Times New Roman"/>
          <w:sz w:val="24"/>
          <w:szCs w:val="24"/>
        </w:rPr>
        <w:t xml:space="preserve">, so as to have to more women </w:t>
      </w:r>
      <w:r w:rsidR="001D1019">
        <w:rPr>
          <w:rFonts w:ascii="Times New Roman" w:hAnsi="Times New Roman" w:cs="Times New Roman"/>
          <w:sz w:val="24"/>
          <w:szCs w:val="24"/>
        </w:rPr>
        <w:t>in management and leadership positions</w:t>
      </w:r>
      <w:r w:rsidR="00026E17">
        <w:rPr>
          <w:rFonts w:ascii="Times New Roman" w:hAnsi="Times New Roman" w:cs="Times New Roman"/>
          <w:sz w:val="24"/>
          <w:szCs w:val="24"/>
        </w:rPr>
        <w:t xml:space="preserve">. </w:t>
      </w:r>
      <w:r w:rsidR="00B8047D">
        <w:rPr>
          <w:rFonts w:ascii="Times New Roman" w:hAnsi="Times New Roman" w:cs="Times New Roman"/>
          <w:sz w:val="24"/>
          <w:szCs w:val="24"/>
        </w:rPr>
        <w:t xml:space="preserve">Some women advocate groups agree that fighting </w:t>
      </w:r>
      <w:r w:rsidR="00404756" w:rsidRPr="00026E17">
        <w:rPr>
          <w:rFonts w:ascii="Times New Roman" w:hAnsi="Times New Roman" w:cs="Times New Roman"/>
          <w:sz w:val="24"/>
          <w:szCs w:val="24"/>
        </w:rPr>
        <w:t xml:space="preserve">sexism </w:t>
      </w:r>
      <w:r w:rsidR="00B8047D">
        <w:rPr>
          <w:rFonts w:ascii="Times New Roman" w:hAnsi="Times New Roman" w:cs="Times New Roman"/>
          <w:sz w:val="24"/>
          <w:szCs w:val="24"/>
        </w:rPr>
        <w:t xml:space="preserve">and other discriminatory practices against women have been </w:t>
      </w:r>
      <w:r w:rsidR="00404756" w:rsidRPr="00026E17">
        <w:rPr>
          <w:rFonts w:ascii="Times New Roman" w:hAnsi="Times New Roman" w:cs="Times New Roman"/>
          <w:sz w:val="24"/>
          <w:szCs w:val="24"/>
        </w:rPr>
        <w:t>fundamental tenets that are enshrined in the South African</w:t>
      </w:r>
      <w:r w:rsidR="00026E17">
        <w:rPr>
          <w:rFonts w:ascii="Times New Roman" w:hAnsi="Times New Roman" w:cs="Times New Roman"/>
          <w:sz w:val="24"/>
          <w:szCs w:val="24"/>
        </w:rPr>
        <w:t xml:space="preserve"> </w:t>
      </w:r>
      <w:r w:rsidR="00B8047D">
        <w:rPr>
          <w:rFonts w:ascii="Times New Roman" w:hAnsi="Times New Roman" w:cs="Times New Roman"/>
          <w:sz w:val="24"/>
          <w:szCs w:val="24"/>
        </w:rPr>
        <w:t xml:space="preserve">Constitution and that </w:t>
      </w:r>
      <w:r w:rsidR="00404756" w:rsidRPr="00026E17">
        <w:rPr>
          <w:rFonts w:ascii="Times New Roman" w:hAnsi="Times New Roman" w:cs="Times New Roman"/>
          <w:sz w:val="24"/>
          <w:szCs w:val="24"/>
        </w:rPr>
        <w:t>results to date have been positive</w:t>
      </w:r>
      <w:r w:rsidR="00B8047D">
        <w:rPr>
          <w:rFonts w:ascii="Times New Roman" w:hAnsi="Times New Roman" w:cs="Times New Roman"/>
          <w:sz w:val="24"/>
          <w:szCs w:val="24"/>
        </w:rPr>
        <w:t xml:space="preserve">: Whereas </w:t>
      </w:r>
      <w:r w:rsidR="00404756" w:rsidRPr="00026E17">
        <w:rPr>
          <w:rFonts w:ascii="Times New Roman" w:hAnsi="Times New Roman" w:cs="Times New Roman"/>
          <w:sz w:val="24"/>
          <w:szCs w:val="24"/>
        </w:rPr>
        <w:t>in 1995 the equity</w:t>
      </w:r>
      <w:r w:rsidR="00026E17">
        <w:rPr>
          <w:rFonts w:ascii="Times New Roman" w:hAnsi="Times New Roman" w:cs="Times New Roman"/>
          <w:sz w:val="24"/>
          <w:szCs w:val="24"/>
        </w:rPr>
        <w:t xml:space="preserve"> </w:t>
      </w:r>
      <w:r w:rsidR="00404756" w:rsidRPr="00026E17">
        <w:rPr>
          <w:rFonts w:ascii="Times New Roman" w:hAnsi="Times New Roman" w:cs="Times New Roman"/>
          <w:sz w:val="24"/>
          <w:szCs w:val="24"/>
        </w:rPr>
        <w:t>target was 30 percent representation o</w:t>
      </w:r>
      <w:r w:rsidR="00B8047D">
        <w:rPr>
          <w:rFonts w:ascii="Times New Roman" w:hAnsi="Times New Roman" w:cs="Times New Roman"/>
          <w:sz w:val="24"/>
          <w:szCs w:val="24"/>
        </w:rPr>
        <w:t>f women in management positions, in</w:t>
      </w:r>
      <w:r w:rsidR="00404756" w:rsidRPr="00026E17">
        <w:rPr>
          <w:rFonts w:ascii="Times New Roman" w:hAnsi="Times New Roman" w:cs="Times New Roman"/>
          <w:sz w:val="24"/>
          <w:szCs w:val="24"/>
        </w:rPr>
        <w:t xml:space="preserve"> October 2006</w:t>
      </w:r>
      <w:r w:rsidR="00026E17">
        <w:rPr>
          <w:rFonts w:ascii="Times New Roman" w:hAnsi="Times New Roman" w:cs="Times New Roman"/>
          <w:sz w:val="24"/>
          <w:szCs w:val="24"/>
        </w:rPr>
        <w:t xml:space="preserve"> </w:t>
      </w:r>
      <w:r w:rsidR="00404756" w:rsidRPr="00026E17">
        <w:rPr>
          <w:rFonts w:ascii="Times New Roman" w:hAnsi="Times New Roman" w:cs="Times New Roman"/>
          <w:sz w:val="24"/>
          <w:szCs w:val="24"/>
        </w:rPr>
        <w:t>many government departments achieved the</w:t>
      </w:r>
      <w:r w:rsidR="00B8047D">
        <w:rPr>
          <w:rFonts w:ascii="Times New Roman" w:hAnsi="Times New Roman" w:cs="Times New Roman"/>
          <w:sz w:val="24"/>
          <w:szCs w:val="24"/>
        </w:rPr>
        <w:t xml:space="preserve"> minimum quota, with records as high as 40 percent in managerial </w:t>
      </w:r>
      <w:r w:rsidR="00B8047D" w:rsidRPr="007517A0">
        <w:rPr>
          <w:rFonts w:ascii="Times New Roman" w:hAnsi="Times New Roman" w:cs="Times New Roman"/>
          <w:sz w:val="24"/>
          <w:szCs w:val="24"/>
        </w:rPr>
        <w:t>positions</w:t>
      </w:r>
      <w:r w:rsidR="00026E17" w:rsidRPr="007517A0">
        <w:rPr>
          <w:rStyle w:val="FootnoteReference"/>
          <w:rFonts w:ascii="Times New Roman" w:hAnsi="Times New Roman" w:cs="Times New Roman"/>
          <w:sz w:val="24"/>
          <w:szCs w:val="24"/>
        </w:rPr>
        <w:footnoteReference w:id="46"/>
      </w:r>
      <w:r w:rsidR="006D1B9C">
        <w:rPr>
          <w:rFonts w:ascii="Times New Roman" w:hAnsi="Times New Roman" w:cs="Times New Roman"/>
          <w:sz w:val="24"/>
          <w:szCs w:val="24"/>
        </w:rPr>
        <w:t>.</w:t>
      </w:r>
      <w:r w:rsidR="00D201A2" w:rsidRPr="007517A0">
        <w:rPr>
          <w:rFonts w:ascii="Times New Roman" w:hAnsi="Times New Roman" w:cs="Times New Roman"/>
          <w:sz w:val="24"/>
          <w:szCs w:val="24"/>
        </w:rPr>
        <w:t xml:space="preserve"> </w:t>
      </w:r>
      <w:r w:rsidR="006D1B9C">
        <w:rPr>
          <w:rFonts w:ascii="Times New Roman" w:hAnsi="Times New Roman" w:cs="Times New Roman"/>
          <w:sz w:val="24"/>
          <w:szCs w:val="24"/>
        </w:rPr>
        <w:t>In neighboring Zimbabwe,</w:t>
      </w:r>
      <w:r w:rsidR="00D201A2" w:rsidRPr="007517A0">
        <w:rPr>
          <w:rFonts w:ascii="Times New Roman" w:hAnsi="Times New Roman" w:cs="Times New Roman"/>
          <w:sz w:val="24"/>
          <w:szCs w:val="24"/>
        </w:rPr>
        <w:t xml:space="preserve"> women’s rights advocates </w:t>
      </w:r>
      <w:r w:rsidR="006D1B9C">
        <w:rPr>
          <w:rFonts w:ascii="Times New Roman" w:hAnsi="Times New Roman" w:cs="Times New Roman"/>
          <w:sz w:val="24"/>
          <w:szCs w:val="24"/>
        </w:rPr>
        <w:t>also</w:t>
      </w:r>
      <w:r w:rsidR="00D201A2" w:rsidRPr="007517A0">
        <w:rPr>
          <w:rFonts w:ascii="Times New Roman" w:hAnsi="Times New Roman" w:cs="Times New Roman"/>
          <w:sz w:val="24"/>
          <w:szCs w:val="24"/>
        </w:rPr>
        <w:t xml:space="preserve"> claim that the increasing number of women in policy and decision making positions has</w:t>
      </w:r>
      <w:r w:rsidR="00D201A2">
        <w:rPr>
          <w:rFonts w:ascii="Times New Roman" w:hAnsi="Times New Roman" w:cs="Times New Roman"/>
          <w:sz w:val="24"/>
          <w:szCs w:val="24"/>
        </w:rPr>
        <w:t xml:space="preserve"> enabled women to gain important policy concessions, with t</w:t>
      </w:r>
      <w:r w:rsidR="007517A0">
        <w:rPr>
          <w:rFonts w:ascii="Times New Roman" w:hAnsi="Times New Roman" w:cs="Times New Roman"/>
          <w:sz w:val="24"/>
          <w:szCs w:val="24"/>
        </w:rPr>
        <w:t>he passing of the</w:t>
      </w:r>
      <w:r w:rsidR="00D201A2">
        <w:rPr>
          <w:rFonts w:ascii="Times New Roman" w:hAnsi="Times New Roman" w:cs="Times New Roman"/>
          <w:sz w:val="24"/>
          <w:szCs w:val="24"/>
        </w:rPr>
        <w:t xml:space="preserve"> </w:t>
      </w:r>
      <w:r w:rsidR="00D201A2" w:rsidRPr="00026E17">
        <w:rPr>
          <w:rFonts w:ascii="Times New Roman" w:hAnsi="Times New Roman" w:cs="Times New Roman"/>
          <w:sz w:val="24"/>
          <w:szCs w:val="24"/>
        </w:rPr>
        <w:t>Domestic Violence Act</w:t>
      </w:r>
      <w:r w:rsidR="0067139E">
        <w:rPr>
          <w:rStyle w:val="FootnoteReference"/>
          <w:rFonts w:ascii="Times New Roman" w:hAnsi="Times New Roman" w:cs="Times New Roman"/>
          <w:sz w:val="24"/>
          <w:szCs w:val="24"/>
        </w:rPr>
        <w:footnoteReference w:id="47"/>
      </w:r>
      <w:r w:rsidR="00D201A2">
        <w:rPr>
          <w:rFonts w:ascii="Times New Roman" w:hAnsi="Times New Roman" w:cs="Times New Roman"/>
          <w:sz w:val="24"/>
          <w:szCs w:val="24"/>
        </w:rPr>
        <w:t xml:space="preserve"> </w:t>
      </w:r>
      <w:r w:rsidR="007517A0">
        <w:rPr>
          <w:rFonts w:ascii="Times New Roman" w:hAnsi="Times New Roman" w:cs="Times New Roman"/>
          <w:sz w:val="24"/>
          <w:szCs w:val="24"/>
        </w:rPr>
        <w:t xml:space="preserve">in the Zimbabwean Parliament. </w:t>
      </w:r>
    </w:p>
    <w:p w:rsidR="00F667C9" w:rsidRDefault="007517A0" w:rsidP="009B1B4F">
      <w:pPr>
        <w:rPr>
          <w:rFonts w:ascii="Times New Roman" w:hAnsi="Times New Roman" w:cs="Times New Roman"/>
          <w:sz w:val="24"/>
          <w:szCs w:val="24"/>
        </w:rPr>
      </w:pPr>
      <w:r>
        <w:rPr>
          <w:rFonts w:ascii="Times New Roman" w:hAnsi="Times New Roman" w:cs="Times New Roman"/>
          <w:sz w:val="24"/>
          <w:szCs w:val="24"/>
        </w:rPr>
        <w:t xml:space="preserve">This latest point raises a number of important issues, including whether or not a surge in the number of women in senior policymaking and managerial positions in government and private institutions is a pre-requisite for lasting improvements and sustainable progress in gender equality and women empowerment. In other words, is it necessarily true that more women in government </w:t>
      </w:r>
      <w:r w:rsidR="004C6C83">
        <w:rPr>
          <w:rFonts w:ascii="Times New Roman" w:hAnsi="Times New Roman" w:cs="Times New Roman"/>
          <w:sz w:val="24"/>
          <w:szCs w:val="24"/>
        </w:rPr>
        <w:t xml:space="preserve">and corporate board rooms would yield more benefits for women in a given environment or state? </w:t>
      </w:r>
      <w:r>
        <w:rPr>
          <w:rFonts w:ascii="Times New Roman" w:hAnsi="Times New Roman" w:cs="Times New Roman"/>
          <w:sz w:val="24"/>
          <w:szCs w:val="24"/>
        </w:rPr>
        <w:t xml:space="preserve"> </w:t>
      </w:r>
      <w:r w:rsidR="004C6C83" w:rsidRPr="004C6C83">
        <w:rPr>
          <w:rFonts w:ascii="Times New Roman" w:hAnsi="Times New Roman" w:cs="Times New Roman"/>
          <w:sz w:val="24"/>
          <w:szCs w:val="24"/>
        </w:rPr>
        <w:t xml:space="preserve">Properly answering such pertinent questions </w:t>
      </w:r>
      <w:r w:rsidR="001C3E27">
        <w:rPr>
          <w:rFonts w:ascii="Times New Roman" w:hAnsi="Times New Roman" w:cs="Times New Roman"/>
          <w:sz w:val="24"/>
          <w:szCs w:val="24"/>
        </w:rPr>
        <w:t>would</w:t>
      </w:r>
      <w:r w:rsidR="004C6C83" w:rsidRPr="004C6C83">
        <w:rPr>
          <w:rFonts w:ascii="Times New Roman" w:hAnsi="Times New Roman" w:cs="Times New Roman"/>
          <w:sz w:val="24"/>
          <w:szCs w:val="24"/>
        </w:rPr>
        <w:t xml:space="preserve"> require a separate and holistic research with comprehensive disaggregated sets of data. </w:t>
      </w:r>
    </w:p>
    <w:p w:rsidR="00F15FC4" w:rsidRDefault="009B1B4F" w:rsidP="000B6DB5">
      <w:pPr>
        <w:rPr>
          <w:rFonts w:ascii="Times New Roman" w:hAnsi="Times New Roman" w:cs="Times New Roman"/>
          <w:sz w:val="24"/>
          <w:szCs w:val="24"/>
        </w:rPr>
      </w:pPr>
      <w:r>
        <w:rPr>
          <w:rFonts w:ascii="Times New Roman" w:hAnsi="Times New Roman" w:cs="Times New Roman"/>
          <w:sz w:val="24"/>
          <w:szCs w:val="24"/>
        </w:rPr>
        <w:lastRenderedPageBreak/>
        <w:t>In the meantime, women’s rights advocates in Africa and other parts of the world contend that although</w:t>
      </w:r>
      <w:r w:rsidR="004714FD">
        <w:rPr>
          <w:rFonts w:ascii="Times New Roman" w:hAnsi="Times New Roman" w:cs="Times New Roman"/>
          <w:sz w:val="24"/>
          <w:szCs w:val="24"/>
        </w:rPr>
        <w:t xml:space="preserve"> increasing</w:t>
      </w:r>
      <w:r>
        <w:rPr>
          <w:rFonts w:ascii="Times New Roman" w:hAnsi="Times New Roman" w:cs="Times New Roman"/>
          <w:sz w:val="24"/>
          <w:szCs w:val="24"/>
        </w:rPr>
        <w:t xml:space="preserve"> women’s </w:t>
      </w:r>
      <w:r w:rsidR="000E7EC0">
        <w:rPr>
          <w:rFonts w:ascii="Times New Roman" w:hAnsi="Times New Roman" w:cs="Times New Roman"/>
          <w:sz w:val="24"/>
          <w:szCs w:val="24"/>
        </w:rPr>
        <w:t xml:space="preserve">leadership and </w:t>
      </w:r>
      <w:r>
        <w:rPr>
          <w:rFonts w:ascii="Times New Roman" w:hAnsi="Times New Roman" w:cs="Times New Roman"/>
          <w:sz w:val="24"/>
          <w:szCs w:val="24"/>
        </w:rPr>
        <w:t>bargaining power in private and public institutions</w:t>
      </w:r>
      <w:r w:rsidR="004714FD">
        <w:rPr>
          <w:rFonts w:ascii="Times New Roman" w:hAnsi="Times New Roman" w:cs="Times New Roman"/>
          <w:sz w:val="24"/>
          <w:szCs w:val="24"/>
        </w:rPr>
        <w:t xml:space="preserve"> is an important first step</w:t>
      </w:r>
      <w:r>
        <w:rPr>
          <w:rFonts w:ascii="Times New Roman" w:hAnsi="Times New Roman" w:cs="Times New Roman"/>
          <w:sz w:val="24"/>
          <w:szCs w:val="24"/>
        </w:rPr>
        <w:t xml:space="preserve">, </w:t>
      </w:r>
      <w:r w:rsidR="004714FD">
        <w:rPr>
          <w:rFonts w:ascii="Times New Roman" w:hAnsi="Times New Roman" w:cs="Times New Roman"/>
          <w:sz w:val="24"/>
          <w:szCs w:val="24"/>
        </w:rPr>
        <w:t xml:space="preserve">it is just as crucial to address the fact that </w:t>
      </w:r>
      <w:r w:rsidR="000B6DB5" w:rsidRPr="009B1B4F">
        <w:rPr>
          <w:rFonts w:ascii="Times New Roman" w:hAnsi="Times New Roman" w:cs="Times New Roman"/>
          <w:sz w:val="24"/>
          <w:szCs w:val="24"/>
        </w:rPr>
        <w:t>women in positions of power often do not have control over large budgets</w:t>
      </w:r>
      <w:r>
        <w:rPr>
          <w:rStyle w:val="FootnoteReference"/>
          <w:rFonts w:ascii="Times New Roman" w:hAnsi="Times New Roman" w:cs="Times New Roman"/>
          <w:sz w:val="24"/>
          <w:szCs w:val="24"/>
        </w:rPr>
        <w:footnoteReference w:id="48"/>
      </w:r>
      <w:r w:rsidR="000B6DB5" w:rsidRPr="000B6DB5">
        <w:rPr>
          <w:rFonts w:ascii="Times New Roman" w:hAnsi="Times New Roman" w:cs="Times New Roman"/>
          <w:sz w:val="24"/>
          <w:szCs w:val="24"/>
        </w:rPr>
        <w:t>. This limits</w:t>
      </w:r>
      <w:r w:rsidR="000E7EC0">
        <w:rPr>
          <w:rFonts w:ascii="Times New Roman" w:hAnsi="Times New Roman" w:cs="Times New Roman"/>
          <w:sz w:val="24"/>
          <w:szCs w:val="24"/>
        </w:rPr>
        <w:t xml:space="preserve"> </w:t>
      </w:r>
      <w:r w:rsidR="004714FD">
        <w:rPr>
          <w:rFonts w:ascii="Times New Roman" w:hAnsi="Times New Roman" w:cs="Times New Roman"/>
          <w:sz w:val="24"/>
          <w:szCs w:val="24"/>
        </w:rPr>
        <w:t>not only their influence, but also their ability to succeed as leaders</w:t>
      </w:r>
      <w:r w:rsidR="000E7EC0">
        <w:rPr>
          <w:rFonts w:ascii="Times New Roman" w:hAnsi="Times New Roman" w:cs="Times New Roman"/>
          <w:sz w:val="24"/>
          <w:szCs w:val="24"/>
        </w:rPr>
        <w:t xml:space="preserve"> </w:t>
      </w:r>
      <w:r w:rsidR="004714FD">
        <w:rPr>
          <w:rFonts w:ascii="Times New Roman" w:hAnsi="Times New Roman" w:cs="Times New Roman"/>
          <w:sz w:val="24"/>
          <w:szCs w:val="24"/>
        </w:rPr>
        <w:t xml:space="preserve">of public and private enterprises. </w:t>
      </w:r>
    </w:p>
    <w:p w:rsidR="009B1B4F" w:rsidRDefault="004714FD" w:rsidP="00B61822">
      <w:pPr>
        <w:rPr>
          <w:rFonts w:ascii="Times New Roman" w:hAnsi="Times New Roman" w:cs="Times New Roman"/>
          <w:sz w:val="24"/>
          <w:szCs w:val="24"/>
        </w:rPr>
      </w:pPr>
      <w:r>
        <w:rPr>
          <w:rFonts w:ascii="Times New Roman" w:hAnsi="Times New Roman" w:cs="Times New Roman"/>
          <w:sz w:val="24"/>
          <w:szCs w:val="24"/>
        </w:rPr>
        <w:t xml:space="preserve">Another major problem related to this issue is women’s very low representation </w:t>
      </w:r>
      <w:r w:rsidR="00B61822">
        <w:rPr>
          <w:rFonts w:ascii="Times New Roman" w:hAnsi="Times New Roman" w:cs="Times New Roman"/>
          <w:sz w:val="24"/>
          <w:szCs w:val="24"/>
        </w:rPr>
        <w:t xml:space="preserve">and participation </w:t>
      </w:r>
      <w:r>
        <w:rPr>
          <w:rFonts w:ascii="Times New Roman" w:hAnsi="Times New Roman" w:cs="Times New Roman"/>
          <w:sz w:val="24"/>
          <w:szCs w:val="24"/>
        </w:rPr>
        <w:t>(as employees and leaders) in non-traditional employment sectors, such as in extractive industries—mining, oil and gas exploitation / refinery management, construction</w:t>
      </w:r>
      <w:r w:rsidR="00B61822">
        <w:rPr>
          <w:rFonts w:ascii="Times New Roman" w:hAnsi="Times New Roman" w:cs="Times New Roman"/>
          <w:sz w:val="24"/>
          <w:szCs w:val="24"/>
        </w:rPr>
        <w:t xml:space="preserve">, etc. </w:t>
      </w:r>
      <w:r w:rsidR="009B1B4F" w:rsidRPr="00B61822">
        <w:rPr>
          <w:rFonts w:ascii="Times New Roman" w:hAnsi="Times New Roman" w:cs="Times New Roman"/>
          <w:sz w:val="24"/>
          <w:szCs w:val="24"/>
        </w:rPr>
        <w:t>Worldwide it is</w:t>
      </w:r>
      <w:r w:rsidR="00B61822" w:rsidRPr="00B61822">
        <w:rPr>
          <w:rFonts w:ascii="Times New Roman" w:hAnsi="Times New Roman" w:cs="Times New Roman"/>
          <w:sz w:val="24"/>
          <w:szCs w:val="24"/>
        </w:rPr>
        <w:t xml:space="preserve"> </w:t>
      </w:r>
      <w:r w:rsidR="00B61822">
        <w:rPr>
          <w:rFonts w:ascii="Times New Roman" w:hAnsi="Times New Roman" w:cs="Times New Roman"/>
          <w:sz w:val="24"/>
          <w:szCs w:val="24"/>
        </w:rPr>
        <w:t>extremely rare to find any extractive industry c</w:t>
      </w:r>
      <w:r w:rsidR="009B1B4F" w:rsidRPr="00B61822">
        <w:rPr>
          <w:rFonts w:ascii="Times New Roman" w:hAnsi="Times New Roman" w:cs="Times New Roman"/>
          <w:sz w:val="24"/>
          <w:szCs w:val="24"/>
        </w:rPr>
        <w:t xml:space="preserve">ompanies with </w:t>
      </w:r>
      <w:r w:rsidR="00B61822">
        <w:rPr>
          <w:rFonts w:ascii="Times New Roman" w:hAnsi="Times New Roman" w:cs="Times New Roman"/>
          <w:sz w:val="24"/>
          <w:szCs w:val="24"/>
        </w:rPr>
        <w:t>more than 10 percent</w:t>
      </w:r>
      <w:r w:rsidR="009B1B4F" w:rsidRPr="00B61822">
        <w:rPr>
          <w:rFonts w:ascii="Times New Roman" w:hAnsi="Times New Roman" w:cs="Times New Roman"/>
          <w:sz w:val="24"/>
          <w:szCs w:val="24"/>
        </w:rPr>
        <w:t xml:space="preserve"> female</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employme</w:t>
      </w:r>
      <w:r w:rsidR="00B61822">
        <w:rPr>
          <w:rFonts w:ascii="Times New Roman" w:hAnsi="Times New Roman" w:cs="Times New Roman"/>
          <w:sz w:val="24"/>
          <w:szCs w:val="24"/>
        </w:rPr>
        <w:t>nt, with many being less than 5 percent</w:t>
      </w:r>
      <w:r w:rsidR="00B61822">
        <w:rPr>
          <w:rStyle w:val="FootnoteReference"/>
          <w:rFonts w:ascii="Times New Roman" w:hAnsi="Times New Roman" w:cs="Times New Roman"/>
          <w:sz w:val="24"/>
          <w:szCs w:val="24"/>
        </w:rPr>
        <w:footnoteReference w:id="49"/>
      </w:r>
      <w:r w:rsidR="009B1B4F" w:rsidRPr="00B61822">
        <w:rPr>
          <w:rFonts w:ascii="Times New Roman" w:hAnsi="Times New Roman" w:cs="Times New Roman"/>
          <w:sz w:val="24"/>
          <w:szCs w:val="24"/>
        </w:rPr>
        <w:t xml:space="preserve">. </w:t>
      </w:r>
      <w:r w:rsidR="00957776">
        <w:rPr>
          <w:rFonts w:ascii="Times New Roman" w:hAnsi="Times New Roman" w:cs="Times New Roman"/>
          <w:sz w:val="24"/>
          <w:szCs w:val="24"/>
        </w:rPr>
        <w:t xml:space="preserve">In </w:t>
      </w:r>
      <w:r w:rsidR="009B1B4F" w:rsidRPr="00B61822">
        <w:rPr>
          <w:rFonts w:ascii="Times New Roman" w:hAnsi="Times New Roman" w:cs="Times New Roman"/>
          <w:sz w:val="24"/>
          <w:szCs w:val="24"/>
        </w:rPr>
        <w:t>some countries this is because</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men have better access to education and therefore possess more necessary skills,</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because mining jobs may require a certain level of physical strength, or because of</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potential pregnancies (in terms of time this would take out of work, or the risks of</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exposure to chemicals). In other countries, discrimination is based on a</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 xml:space="preserve">combination of stereotypes within the </w:t>
      </w:r>
      <w:r w:rsidR="00B61822">
        <w:rPr>
          <w:rFonts w:ascii="Times New Roman" w:hAnsi="Times New Roman" w:cs="Times New Roman"/>
          <w:sz w:val="24"/>
          <w:szCs w:val="24"/>
        </w:rPr>
        <w:t>extractive industries</w:t>
      </w:r>
      <w:r w:rsidR="009B1B4F" w:rsidRPr="00B61822">
        <w:rPr>
          <w:rFonts w:ascii="Times New Roman" w:hAnsi="Times New Roman" w:cs="Times New Roman"/>
          <w:sz w:val="24"/>
          <w:szCs w:val="24"/>
        </w:rPr>
        <w:t xml:space="preserve"> companies and within communities</w:t>
      </w:r>
      <w:r w:rsidR="00B61822">
        <w:rPr>
          <w:rFonts w:ascii="Times New Roman" w:hAnsi="Times New Roman" w:cs="Times New Roman"/>
          <w:sz w:val="24"/>
          <w:szCs w:val="24"/>
        </w:rPr>
        <w:t xml:space="preserve"> </w:t>
      </w:r>
      <w:r w:rsidR="009B1B4F" w:rsidRPr="00B61822">
        <w:rPr>
          <w:rFonts w:ascii="Times New Roman" w:hAnsi="Times New Roman" w:cs="Times New Roman"/>
          <w:sz w:val="24"/>
          <w:szCs w:val="24"/>
        </w:rPr>
        <w:t xml:space="preserve">(often among both men and women) that </w:t>
      </w:r>
      <w:r w:rsidR="00B61822">
        <w:rPr>
          <w:rFonts w:ascii="Times New Roman" w:hAnsi="Times New Roman" w:cs="Times New Roman"/>
          <w:sz w:val="24"/>
          <w:szCs w:val="24"/>
        </w:rPr>
        <w:t xml:space="preserve">mining or oil rigging </w:t>
      </w:r>
      <w:r w:rsidR="009B1B4F" w:rsidRPr="00B61822">
        <w:rPr>
          <w:rFonts w:ascii="Times New Roman" w:hAnsi="Times New Roman" w:cs="Times New Roman"/>
          <w:sz w:val="24"/>
          <w:szCs w:val="24"/>
        </w:rPr>
        <w:t>work</w:t>
      </w:r>
      <w:r w:rsidR="00CF7A3F">
        <w:rPr>
          <w:rFonts w:ascii="Times New Roman" w:hAnsi="Times New Roman" w:cs="Times New Roman"/>
          <w:sz w:val="24"/>
          <w:szCs w:val="24"/>
        </w:rPr>
        <w:t xml:space="preserve"> for instance</w:t>
      </w:r>
      <w:r w:rsidR="009B1B4F" w:rsidRPr="00B61822">
        <w:rPr>
          <w:rFonts w:ascii="Times New Roman" w:hAnsi="Times New Roman" w:cs="Times New Roman"/>
          <w:sz w:val="24"/>
          <w:szCs w:val="24"/>
        </w:rPr>
        <w:t xml:space="preserve"> is “men’s” work. </w:t>
      </w:r>
      <w:r w:rsidR="00B61822">
        <w:rPr>
          <w:rFonts w:ascii="Times New Roman" w:hAnsi="Times New Roman" w:cs="Times New Roman"/>
          <w:sz w:val="24"/>
          <w:szCs w:val="24"/>
        </w:rPr>
        <w:t xml:space="preserve"> </w:t>
      </w:r>
    </w:p>
    <w:p w:rsidR="002A36B0" w:rsidRPr="002A36B0" w:rsidRDefault="002A36B0" w:rsidP="002A36B0">
      <w:pPr>
        <w:autoSpaceDE w:val="0"/>
        <w:autoSpaceDN w:val="0"/>
        <w:adjustRightInd w:val="0"/>
        <w:spacing w:after="0" w:line="240" w:lineRule="auto"/>
        <w:rPr>
          <w:rFonts w:ascii="Times New Roman" w:hAnsi="Times New Roman" w:cs="Times New Roman"/>
          <w:sz w:val="24"/>
          <w:szCs w:val="24"/>
        </w:rPr>
      </w:pPr>
      <w:r w:rsidRPr="002A36B0">
        <w:rPr>
          <w:rFonts w:ascii="Times New Roman" w:hAnsi="Times New Roman" w:cs="Times New Roman"/>
          <w:sz w:val="24"/>
          <w:szCs w:val="24"/>
        </w:rPr>
        <w:t xml:space="preserve">Discrimination in hiring practices can have cost implications for </w:t>
      </w:r>
      <w:r>
        <w:rPr>
          <w:rFonts w:ascii="Times New Roman" w:hAnsi="Times New Roman" w:cs="Times New Roman"/>
          <w:sz w:val="24"/>
          <w:szCs w:val="24"/>
        </w:rPr>
        <w:t>extractive industry</w:t>
      </w:r>
      <w:r w:rsidRPr="002A36B0">
        <w:rPr>
          <w:rFonts w:ascii="Times New Roman" w:hAnsi="Times New Roman" w:cs="Times New Roman"/>
          <w:sz w:val="24"/>
          <w:szCs w:val="24"/>
        </w:rPr>
        <w:t xml:space="preserve"> companies, as</w:t>
      </w:r>
      <w:r>
        <w:rPr>
          <w:rFonts w:ascii="Times New Roman" w:hAnsi="Times New Roman" w:cs="Times New Roman"/>
          <w:sz w:val="24"/>
          <w:szCs w:val="24"/>
        </w:rPr>
        <w:t xml:space="preserve"> well as women:</w:t>
      </w:r>
      <w:r w:rsidRPr="002A36B0">
        <w:rPr>
          <w:rFonts w:ascii="Times New Roman" w:hAnsi="Times New Roman" w:cs="Times New Roman"/>
          <w:sz w:val="24"/>
          <w:szCs w:val="24"/>
        </w:rPr>
        <w:t xml:space="preserve"> </w:t>
      </w:r>
      <w:r>
        <w:rPr>
          <w:rFonts w:ascii="Times New Roman" w:hAnsi="Times New Roman" w:cs="Times New Roman"/>
          <w:sz w:val="24"/>
          <w:szCs w:val="24"/>
        </w:rPr>
        <w:t>First, d</w:t>
      </w:r>
      <w:r w:rsidRPr="002A36B0">
        <w:rPr>
          <w:rFonts w:ascii="Times New Roman" w:hAnsi="Times New Roman" w:cs="Times New Roman"/>
          <w:sz w:val="24"/>
          <w:szCs w:val="24"/>
        </w:rPr>
        <w:t>iscrimination against women</w:t>
      </w:r>
      <w:r>
        <w:rPr>
          <w:rFonts w:ascii="Times New Roman" w:hAnsi="Times New Roman" w:cs="Times New Roman"/>
          <w:sz w:val="24"/>
          <w:szCs w:val="24"/>
        </w:rPr>
        <w:t xml:space="preserve"> </w:t>
      </w:r>
      <w:r w:rsidRPr="002A36B0">
        <w:rPr>
          <w:rFonts w:ascii="Times New Roman" w:hAnsi="Times New Roman" w:cs="Times New Roman"/>
          <w:sz w:val="24"/>
          <w:szCs w:val="24"/>
        </w:rPr>
        <w:t>may</w:t>
      </w:r>
      <w:r>
        <w:rPr>
          <w:rFonts w:ascii="Times New Roman" w:hAnsi="Times New Roman" w:cs="Times New Roman"/>
          <w:sz w:val="24"/>
          <w:szCs w:val="24"/>
        </w:rPr>
        <w:t xml:space="preserve"> mean that companies overlook h</w:t>
      </w:r>
      <w:r w:rsidRPr="002A36B0">
        <w:rPr>
          <w:rFonts w:ascii="Times New Roman" w:hAnsi="Times New Roman" w:cs="Times New Roman"/>
          <w:sz w:val="24"/>
          <w:szCs w:val="24"/>
        </w:rPr>
        <w:t>ighly productive, effective workers</w:t>
      </w:r>
      <w:r>
        <w:rPr>
          <w:rFonts w:ascii="Times New Roman" w:hAnsi="Times New Roman" w:cs="Times New Roman"/>
          <w:sz w:val="24"/>
          <w:szCs w:val="24"/>
        </w:rPr>
        <w:t xml:space="preserve"> and leaders</w:t>
      </w:r>
      <w:r w:rsidRPr="002A36B0">
        <w:rPr>
          <w:rFonts w:ascii="Times New Roman" w:hAnsi="Times New Roman" w:cs="Times New Roman"/>
          <w:sz w:val="24"/>
          <w:szCs w:val="24"/>
        </w:rPr>
        <w:t>,</w:t>
      </w:r>
      <w:r>
        <w:rPr>
          <w:rFonts w:ascii="Times New Roman" w:hAnsi="Times New Roman" w:cs="Times New Roman"/>
          <w:sz w:val="24"/>
          <w:szCs w:val="24"/>
        </w:rPr>
        <w:t xml:space="preserve"> </w:t>
      </w:r>
      <w:r w:rsidRPr="002A36B0">
        <w:rPr>
          <w:rFonts w:ascii="Times New Roman" w:hAnsi="Times New Roman" w:cs="Times New Roman"/>
          <w:sz w:val="24"/>
          <w:szCs w:val="24"/>
        </w:rPr>
        <w:t>and drive up prices on the labor they use.</w:t>
      </w:r>
    </w:p>
    <w:p w:rsidR="009B1B4F" w:rsidRDefault="002A36B0" w:rsidP="002A36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Secondly, w</w:t>
      </w:r>
      <w:r w:rsidRPr="002A36B0">
        <w:rPr>
          <w:rFonts w:ascii="Times New Roman" w:hAnsi="Times New Roman" w:cs="Times New Roman"/>
          <w:sz w:val="24"/>
          <w:szCs w:val="24"/>
        </w:rPr>
        <w:t>omen make up half the labor force, and discrimin</w:t>
      </w:r>
      <w:r>
        <w:rPr>
          <w:rFonts w:ascii="Times New Roman" w:hAnsi="Times New Roman" w:cs="Times New Roman"/>
          <w:sz w:val="24"/>
          <w:szCs w:val="24"/>
        </w:rPr>
        <w:t xml:space="preserve">ation against them is a barrier </w:t>
      </w:r>
      <w:r w:rsidRPr="002A36B0">
        <w:rPr>
          <w:rFonts w:ascii="Times New Roman" w:hAnsi="Times New Roman" w:cs="Times New Roman"/>
          <w:sz w:val="24"/>
          <w:szCs w:val="24"/>
        </w:rPr>
        <w:t xml:space="preserve">to private sector development and economic growth. </w:t>
      </w:r>
      <w:r>
        <w:rPr>
          <w:rFonts w:ascii="Times New Roman" w:hAnsi="Times New Roman" w:cs="Times New Roman"/>
          <w:sz w:val="24"/>
          <w:szCs w:val="24"/>
        </w:rPr>
        <w:t xml:space="preserve">Furthermore, evidence from mining </w:t>
      </w:r>
      <w:r w:rsidRPr="002A36B0">
        <w:rPr>
          <w:rFonts w:ascii="Times New Roman" w:hAnsi="Times New Roman" w:cs="Times New Roman"/>
          <w:sz w:val="24"/>
          <w:szCs w:val="24"/>
        </w:rPr>
        <w:t>operations in several countries indicates that as employees, women often show a</w:t>
      </w:r>
      <w:r>
        <w:rPr>
          <w:rFonts w:ascii="Times New Roman" w:hAnsi="Times New Roman" w:cs="Times New Roman"/>
          <w:sz w:val="24"/>
          <w:szCs w:val="24"/>
        </w:rPr>
        <w:t xml:space="preserve"> greater willingness to </w:t>
      </w:r>
      <w:r w:rsidRPr="002A36B0">
        <w:rPr>
          <w:rFonts w:ascii="Times New Roman" w:hAnsi="Times New Roman" w:cs="Times New Roman"/>
          <w:sz w:val="24"/>
          <w:szCs w:val="24"/>
        </w:rPr>
        <w:t>respect safety and environmental safeguards. Mining</w:t>
      </w:r>
      <w:r>
        <w:rPr>
          <w:rFonts w:ascii="Times New Roman" w:hAnsi="Times New Roman" w:cs="Times New Roman"/>
          <w:sz w:val="24"/>
          <w:szCs w:val="24"/>
        </w:rPr>
        <w:t xml:space="preserve"> </w:t>
      </w:r>
      <w:r w:rsidRPr="002A36B0">
        <w:rPr>
          <w:rFonts w:ascii="Times New Roman" w:hAnsi="Times New Roman" w:cs="Times New Roman"/>
          <w:sz w:val="24"/>
          <w:szCs w:val="24"/>
        </w:rPr>
        <w:t>companies in countries such as Chile, Ghana, and Papua New Guinea have</w:t>
      </w:r>
      <w:r>
        <w:rPr>
          <w:rFonts w:ascii="Times New Roman" w:hAnsi="Times New Roman" w:cs="Times New Roman"/>
          <w:sz w:val="24"/>
          <w:szCs w:val="24"/>
        </w:rPr>
        <w:t xml:space="preserve"> </w:t>
      </w:r>
      <w:r w:rsidRPr="002A36B0">
        <w:rPr>
          <w:rFonts w:ascii="Times New Roman" w:hAnsi="Times New Roman" w:cs="Times New Roman"/>
          <w:sz w:val="24"/>
          <w:szCs w:val="24"/>
        </w:rPr>
        <w:t>discovered that heavy mining equipment (such as large trucks and shovels)</w:t>
      </w:r>
      <w:r>
        <w:rPr>
          <w:rFonts w:ascii="Times New Roman" w:hAnsi="Times New Roman" w:cs="Times New Roman"/>
          <w:sz w:val="24"/>
          <w:szCs w:val="24"/>
        </w:rPr>
        <w:t xml:space="preserve"> </w:t>
      </w:r>
      <w:r w:rsidRPr="002A36B0">
        <w:rPr>
          <w:rFonts w:ascii="Times New Roman" w:hAnsi="Times New Roman" w:cs="Times New Roman"/>
          <w:sz w:val="24"/>
          <w:szCs w:val="24"/>
        </w:rPr>
        <w:t>operated by women is more efficient and incurs lower operating than equipment</w:t>
      </w:r>
      <w:r>
        <w:rPr>
          <w:rFonts w:ascii="Times New Roman" w:hAnsi="Times New Roman" w:cs="Times New Roman"/>
          <w:sz w:val="24"/>
          <w:szCs w:val="24"/>
        </w:rPr>
        <w:t xml:space="preserve"> </w:t>
      </w:r>
      <w:r w:rsidRPr="002A36B0">
        <w:rPr>
          <w:rFonts w:ascii="Times New Roman" w:hAnsi="Times New Roman" w:cs="Times New Roman"/>
          <w:sz w:val="24"/>
          <w:szCs w:val="24"/>
        </w:rPr>
        <w:t>operated by men</w:t>
      </w:r>
      <w:r w:rsidR="00A7210A">
        <w:rPr>
          <w:rStyle w:val="FootnoteReference"/>
          <w:rFonts w:ascii="Times New Roman" w:hAnsi="Times New Roman" w:cs="Times New Roman"/>
          <w:sz w:val="24"/>
          <w:szCs w:val="24"/>
        </w:rPr>
        <w:footnoteReference w:id="50"/>
      </w:r>
      <w:r w:rsidRPr="002A36B0">
        <w:rPr>
          <w:rFonts w:ascii="Times New Roman" w:hAnsi="Times New Roman" w:cs="Times New Roman"/>
          <w:sz w:val="24"/>
          <w:szCs w:val="24"/>
        </w:rPr>
        <w:t>. In such cases, where women do jobs more effectively than men,</w:t>
      </w:r>
      <w:r w:rsidRPr="002A36B0">
        <w:t xml:space="preserve"> </w:t>
      </w:r>
      <w:r w:rsidRPr="002A36B0">
        <w:rPr>
          <w:rFonts w:ascii="Times New Roman" w:hAnsi="Times New Roman" w:cs="Times New Roman"/>
          <w:sz w:val="24"/>
          <w:szCs w:val="24"/>
        </w:rPr>
        <w:t>discrimination is even more costly and directly impacts the company’s bottom</w:t>
      </w:r>
      <w:r>
        <w:rPr>
          <w:rFonts w:ascii="Times New Roman" w:hAnsi="Times New Roman" w:cs="Times New Roman"/>
          <w:sz w:val="24"/>
          <w:szCs w:val="24"/>
        </w:rPr>
        <w:t xml:space="preserve"> </w:t>
      </w:r>
      <w:r w:rsidRPr="002A36B0">
        <w:rPr>
          <w:rFonts w:ascii="Times New Roman" w:hAnsi="Times New Roman" w:cs="Times New Roman"/>
          <w:sz w:val="24"/>
          <w:szCs w:val="24"/>
        </w:rPr>
        <w:t>line.</w:t>
      </w:r>
      <w:r w:rsidR="00957776">
        <w:rPr>
          <w:rFonts w:ascii="Times New Roman" w:hAnsi="Times New Roman" w:cs="Times New Roman"/>
          <w:sz w:val="24"/>
          <w:szCs w:val="24"/>
        </w:rPr>
        <w:t xml:space="preserve"> </w:t>
      </w:r>
      <w:r w:rsidR="00A7210A">
        <w:rPr>
          <w:rFonts w:ascii="Times New Roman" w:hAnsi="Times New Roman" w:cs="Times New Roman"/>
          <w:sz w:val="24"/>
          <w:szCs w:val="24"/>
        </w:rPr>
        <w:t xml:space="preserve"> </w:t>
      </w:r>
    </w:p>
    <w:p w:rsidR="002A36B0" w:rsidRPr="00026E17" w:rsidRDefault="002A36B0" w:rsidP="002A36B0">
      <w:pPr>
        <w:autoSpaceDE w:val="0"/>
        <w:autoSpaceDN w:val="0"/>
        <w:adjustRightInd w:val="0"/>
        <w:spacing w:after="0" w:line="240" w:lineRule="auto"/>
        <w:rPr>
          <w:rFonts w:ascii="Times New Roman" w:hAnsi="Times New Roman" w:cs="Times New Roman"/>
          <w:sz w:val="24"/>
          <w:szCs w:val="24"/>
        </w:rPr>
      </w:pPr>
    </w:p>
    <w:p w:rsidR="009952F1" w:rsidRPr="00806F07" w:rsidRDefault="009952F1" w:rsidP="009952F1">
      <w:pPr>
        <w:pStyle w:val="ListParagraph"/>
        <w:ind w:left="1080"/>
        <w:rPr>
          <w:rFonts w:ascii="Times New Roman" w:hAnsi="Times New Roman" w:cs="Times New Roman"/>
          <w:i/>
          <w:sz w:val="28"/>
          <w:szCs w:val="28"/>
        </w:rPr>
      </w:pPr>
      <w:r w:rsidRPr="00806F07">
        <w:rPr>
          <w:rFonts w:ascii="Times New Roman" w:hAnsi="Times New Roman" w:cs="Times New Roman"/>
          <w:i/>
          <w:sz w:val="28"/>
          <w:szCs w:val="28"/>
        </w:rPr>
        <w:t>3.3 Effec</w:t>
      </w:r>
      <w:r w:rsidR="00787425">
        <w:rPr>
          <w:rFonts w:ascii="Times New Roman" w:hAnsi="Times New Roman" w:cs="Times New Roman"/>
          <w:i/>
          <w:sz w:val="28"/>
          <w:szCs w:val="28"/>
        </w:rPr>
        <w:t xml:space="preserve">tive Mechanisms to address gaps – analyzing gender quotas </w:t>
      </w:r>
    </w:p>
    <w:p w:rsidR="00404756" w:rsidRDefault="00957776" w:rsidP="00957776">
      <w:pPr>
        <w:rPr>
          <w:rFonts w:ascii="Times New Roman" w:hAnsi="Times New Roman" w:cs="Times New Roman"/>
          <w:sz w:val="24"/>
          <w:szCs w:val="24"/>
        </w:rPr>
      </w:pPr>
      <w:r w:rsidRPr="00957776">
        <w:rPr>
          <w:rFonts w:ascii="Times New Roman" w:hAnsi="Times New Roman" w:cs="Times New Roman"/>
          <w:sz w:val="24"/>
          <w:szCs w:val="24"/>
        </w:rPr>
        <w:t xml:space="preserve">To address </w:t>
      </w:r>
      <w:r>
        <w:rPr>
          <w:rFonts w:ascii="Times New Roman" w:hAnsi="Times New Roman" w:cs="Times New Roman"/>
          <w:sz w:val="24"/>
          <w:szCs w:val="24"/>
        </w:rPr>
        <w:t xml:space="preserve">gender gaps in leadership and representation in public and private </w:t>
      </w:r>
      <w:r w:rsidR="00B2687D">
        <w:rPr>
          <w:rFonts w:ascii="Times New Roman" w:hAnsi="Times New Roman" w:cs="Times New Roman"/>
          <w:sz w:val="24"/>
          <w:szCs w:val="24"/>
        </w:rPr>
        <w:t>institutions, over the years</w:t>
      </w:r>
      <w:r w:rsidR="00C83948">
        <w:rPr>
          <w:rFonts w:ascii="Times New Roman" w:hAnsi="Times New Roman" w:cs="Times New Roman"/>
          <w:sz w:val="24"/>
          <w:szCs w:val="24"/>
        </w:rPr>
        <w:t>, in</w:t>
      </w:r>
      <w:r w:rsidR="00B2687D">
        <w:rPr>
          <w:rFonts w:ascii="Times New Roman" w:hAnsi="Times New Roman" w:cs="Times New Roman"/>
          <w:sz w:val="24"/>
          <w:szCs w:val="24"/>
        </w:rPr>
        <w:t xml:space="preserve"> </w:t>
      </w:r>
      <w:r w:rsidR="00C83948">
        <w:rPr>
          <w:rFonts w:ascii="Times New Roman" w:hAnsi="Times New Roman" w:cs="Times New Roman"/>
          <w:sz w:val="24"/>
          <w:szCs w:val="24"/>
        </w:rPr>
        <w:t xml:space="preserve">some African countries </w:t>
      </w:r>
      <w:r w:rsidR="00B2687D">
        <w:rPr>
          <w:rFonts w:ascii="Times New Roman" w:hAnsi="Times New Roman" w:cs="Times New Roman"/>
          <w:sz w:val="24"/>
          <w:szCs w:val="24"/>
        </w:rPr>
        <w:t xml:space="preserve">government agencies and private companies have come up with </w:t>
      </w:r>
      <w:r w:rsidR="008E04CF">
        <w:rPr>
          <w:rFonts w:ascii="Times New Roman" w:hAnsi="Times New Roman" w:cs="Times New Roman"/>
          <w:sz w:val="24"/>
          <w:szCs w:val="24"/>
        </w:rPr>
        <w:t xml:space="preserve">different </w:t>
      </w:r>
      <w:r w:rsidR="00B2687D">
        <w:rPr>
          <w:rFonts w:ascii="Times New Roman" w:hAnsi="Times New Roman" w:cs="Times New Roman"/>
          <w:sz w:val="24"/>
          <w:szCs w:val="24"/>
        </w:rPr>
        <w:t xml:space="preserve">measures, including quotas. </w:t>
      </w:r>
      <w:r w:rsidR="00C83948" w:rsidRPr="00C83948">
        <w:rPr>
          <w:rFonts w:ascii="Times New Roman" w:hAnsi="Times New Roman" w:cs="Times New Roman"/>
          <w:sz w:val="24"/>
          <w:szCs w:val="24"/>
        </w:rPr>
        <w:t xml:space="preserve">Quotas are generally adopted and implemented under the umbrella of affirmative action, which can be described as a variety of measures through which a percentage or number of protected group(s) in a given environment is afforded some level and sense of representation in an institutional setting with the right to partake in activities </w:t>
      </w:r>
      <w:r w:rsidR="00C83948" w:rsidRPr="00C83948">
        <w:rPr>
          <w:rFonts w:ascii="Times New Roman" w:hAnsi="Times New Roman" w:cs="Times New Roman"/>
          <w:sz w:val="24"/>
          <w:szCs w:val="24"/>
        </w:rPr>
        <w:lastRenderedPageBreak/>
        <w:t xml:space="preserve">from which they were unfairly excluded at some </w:t>
      </w:r>
      <w:r w:rsidR="00C83948" w:rsidRPr="00CD0DE0">
        <w:rPr>
          <w:rFonts w:ascii="Times New Roman" w:hAnsi="Times New Roman" w:cs="Times New Roman"/>
          <w:sz w:val="24"/>
          <w:szCs w:val="24"/>
        </w:rPr>
        <w:t>point</w:t>
      </w:r>
      <w:r w:rsidR="00C83948" w:rsidRPr="00CD0DE0">
        <w:rPr>
          <w:rStyle w:val="FootnoteReference"/>
          <w:rFonts w:ascii="Times New Roman" w:hAnsi="Times New Roman" w:cs="Times New Roman"/>
          <w:sz w:val="24"/>
          <w:szCs w:val="24"/>
        </w:rPr>
        <w:footnoteReference w:id="51"/>
      </w:r>
      <w:r w:rsidR="00FE32E2">
        <w:rPr>
          <w:rFonts w:ascii="Times New Roman" w:hAnsi="Times New Roman" w:cs="Times New Roman"/>
          <w:sz w:val="24"/>
          <w:szCs w:val="24"/>
        </w:rPr>
        <w:t>. Quotas are designated and implemented in various ways and circumstances, with expected benefits of not only introducing diversity but also maximiz</w:t>
      </w:r>
      <w:r w:rsidR="008E04CF">
        <w:rPr>
          <w:rFonts w:ascii="Times New Roman" w:hAnsi="Times New Roman" w:cs="Times New Roman"/>
          <w:sz w:val="24"/>
          <w:szCs w:val="24"/>
        </w:rPr>
        <w:t>ing</w:t>
      </w:r>
      <w:r w:rsidR="00FE32E2">
        <w:rPr>
          <w:rFonts w:ascii="Times New Roman" w:hAnsi="Times New Roman" w:cs="Times New Roman"/>
          <w:sz w:val="24"/>
          <w:szCs w:val="24"/>
        </w:rPr>
        <w:t xml:space="preserve"> its countless benefits. </w:t>
      </w:r>
      <w:r w:rsidR="001072DE">
        <w:rPr>
          <w:rFonts w:ascii="Times New Roman" w:hAnsi="Times New Roman" w:cs="Times New Roman"/>
          <w:sz w:val="24"/>
          <w:szCs w:val="24"/>
        </w:rPr>
        <w:t>Although a growing number of African countries are adopting quotas in their electoral systems, political parties, and branches o</w:t>
      </w:r>
      <w:r w:rsidR="007A0BAA">
        <w:rPr>
          <w:rFonts w:ascii="Times New Roman" w:hAnsi="Times New Roman" w:cs="Times New Roman"/>
          <w:sz w:val="24"/>
          <w:szCs w:val="24"/>
        </w:rPr>
        <w:t>f government through constitutional reforms and other methods,</w:t>
      </w:r>
      <w:r w:rsidR="001072DE">
        <w:rPr>
          <w:rFonts w:ascii="Times New Roman" w:hAnsi="Times New Roman" w:cs="Times New Roman"/>
          <w:sz w:val="24"/>
          <w:szCs w:val="24"/>
        </w:rPr>
        <w:t xml:space="preserve"> only a handful of states have legislations </w:t>
      </w:r>
      <w:r w:rsidR="007A0BAA">
        <w:rPr>
          <w:rFonts w:ascii="Times New Roman" w:hAnsi="Times New Roman" w:cs="Times New Roman"/>
          <w:sz w:val="24"/>
          <w:szCs w:val="24"/>
        </w:rPr>
        <w:t>requiring corporations and businesses owned by government to have</w:t>
      </w:r>
      <w:r w:rsidR="001072DE">
        <w:rPr>
          <w:rFonts w:ascii="Times New Roman" w:hAnsi="Times New Roman" w:cs="Times New Roman"/>
          <w:sz w:val="24"/>
          <w:szCs w:val="24"/>
        </w:rPr>
        <w:t xml:space="preserve"> quotas for </w:t>
      </w:r>
      <w:r w:rsidR="007A0BAA">
        <w:rPr>
          <w:rFonts w:ascii="Times New Roman" w:hAnsi="Times New Roman" w:cs="Times New Roman"/>
          <w:sz w:val="24"/>
          <w:szCs w:val="24"/>
        </w:rPr>
        <w:t xml:space="preserve">women </w:t>
      </w:r>
      <w:r w:rsidR="001072DE">
        <w:rPr>
          <w:rFonts w:ascii="Times New Roman" w:hAnsi="Times New Roman" w:cs="Times New Roman"/>
          <w:sz w:val="24"/>
          <w:szCs w:val="24"/>
        </w:rPr>
        <w:t xml:space="preserve">at </w:t>
      </w:r>
      <w:r w:rsidR="007A0BAA">
        <w:rPr>
          <w:rFonts w:ascii="Times New Roman" w:hAnsi="Times New Roman" w:cs="Times New Roman"/>
          <w:sz w:val="24"/>
          <w:szCs w:val="24"/>
        </w:rPr>
        <w:t xml:space="preserve">mid-management and senior </w:t>
      </w:r>
      <w:r w:rsidR="001072DE">
        <w:rPr>
          <w:rFonts w:ascii="Times New Roman" w:hAnsi="Times New Roman" w:cs="Times New Roman"/>
          <w:sz w:val="24"/>
          <w:szCs w:val="24"/>
        </w:rPr>
        <w:t xml:space="preserve">executive levels. This is partially explained by the fact that </w:t>
      </w:r>
      <w:r w:rsidR="007A0BAA">
        <w:rPr>
          <w:rFonts w:ascii="Times New Roman" w:hAnsi="Times New Roman" w:cs="Times New Roman"/>
          <w:sz w:val="24"/>
          <w:szCs w:val="24"/>
        </w:rPr>
        <w:t>it is extremely difficult and politically sensitive to amend a constitution to include a quota provision</w:t>
      </w:r>
      <w:r w:rsidR="007A0BAA">
        <w:rPr>
          <w:rStyle w:val="FootnoteReference"/>
          <w:rFonts w:ascii="Times New Roman" w:hAnsi="Times New Roman" w:cs="Times New Roman"/>
          <w:sz w:val="24"/>
          <w:szCs w:val="24"/>
        </w:rPr>
        <w:footnoteReference w:id="52"/>
      </w:r>
      <w:r w:rsidR="00E0433F">
        <w:rPr>
          <w:rFonts w:ascii="Times New Roman" w:hAnsi="Times New Roman" w:cs="Times New Roman"/>
          <w:sz w:val="24"/>
          <w:szCs w:val="24"/>
        </w:rPr>
        <w:t xml:space="preserve">. </w:t>
      </w:r>
      <w:r w:rsidR="001072DE">
        <w:rPr>
          <w:rFonts w:ascii="Times New Roman" w:hAnsi="Times New Roman" w:cs="Times New Roman"/>
          <w:sz w:val="24"/>
          <w:szCs w:val="24"/>
        </w:rPr>
        <w:t>W</w:t>
      </w:r>
      <w:r w:rsidR="00FE32E2">
        <w:rPr>
          <w:rFonts w:ascii="Times New Roman" w:hAnsi="Times New Roman" w:cs="Times New Roman"/>
          <w:sz w:val="24"/>
          <w:szCs w:val="24"/>
        </w:rPr>
        <w:t xml:space="preserve">hereas </w:t>
      </w:r>
      <w:r w:rsidR="001072DE">
        <w:rPr>
          <w:rFonts w:ascii="Times New Roman" w:hAnsi="Times New Roman" w:cs="Times New Roman"/>
          <w:sz w:val="24"/>
          <w:szCs w:val="24"/>
        </w:rPr>
        <w:t xml:space="preserve">quotas </w:t>
      </w:r>
      <w:r w:rsidR="00FE32E2">
        <w:rPr>
          <w:rFonts w:ascii="Times New Roman" w:hAnsi="Times New Roman" w:cs="Times New Roman"/>
          <w:sz w:val="24"/>
          <w:szCs w:val="24"/>
        </w:rPr>
        <w:t xml:space="preserve">in some countries are imposed on private and public sector employers by local or national laws, there are also cases where employers (board of directors / management) benevolently put quotas in place to foster a culture of inclusion and increase the number or percentage of employees from a </w:t>
      </w:r>
      <w:r w:rsidR="00E04A92">
        <w:rPr>
          <w:rFonts w:ascii="Times New Roman" w:hAnsi="Times New Roman" w:cs="Times New Roman"/>
          <w:sz w:val="24"/>
          <w:szCs w:val="24"/>
        </w:rPr>
        <w:t>certain demographic</w:t>
      </w:r>
      <w:r w:rsidR="00FE32E2">
        <w:rPr>
          <w:rFonts w:ascii="Times New Roman" w:hAnsi="Times New Roman" w:cs="Times New Roman"/>
          <w:sz w:val="24"/>
          <w:szCs w:val="24"/>
        </w:rPr>
        <w:t xml:space="preserve">, ethnic group or sex. </w:t>
      </w:r>
      <w:r w:rsidR="00BE1B88">
        <w:rPr>
          <w:rFonts w:ascii="Times New Roman" w:hAnsi="Times New Roman" w:cs="Times New Roman"/>
          <w:sz w:val="24"/>
          <w:szCs w:val="24"/>
        </w:rPr>
        <w:t xml:space="preserve">Despite growing support for gender quotas in </w:t>
      </w:r>
      <w:r w:rsidR="00B840AF">
        <w:rPr>
          <w:rFonts w:ascii="Times New Roman" w:hAnsi="Times New Roman" w:cs="Times New Roman"/>
          <w:sz w:val="24"/>
          <w:szCs w:val="24"/>
        </w:rPr>
        <w:t>private and public employment (excluding parliament in this project)</w:t>
      </w:r>
      <w:r w:rsidR="00BE1B88">
        <w:rPr>
          <w:rFonts w:ascii="Times New Roman" w:hAnsi="Times New Roman" w:cs="Times New Roman"/>
          <w:sz w:val="24"/>
          <w:szCs w:val="24"/>
        </w:rPr>
        <w:t xml:space="preserve">, some organizations, individuals and even women rights advocates staunchly oppose the practice. </w:t>
      </w:r>
      <w:r w:rsidR="001072DE">
        <w:rPr>
          <w:rFonts w:ascii="Times New Roman" w:hAnsi="Times New Roman" w:cs="Times New Roman"/>
          <w:sz w:val="24"/>
          <w:szCs w:val="24"/>
        </w:rPr>
        <w:t xml:space="preserve"> </w:t>
      </w:r>
      <w:r w:rsidR="00CD102E">
        <w:rPr>
          <w:rFonts w:ascii="Times New Roman" w:hAnsi="Times New Roman" w:cs="Times New Roman"/>
          <w:sz w:val="24"/>
          <w:szCs w:val="24"/>
        </w:rPr>
        <w:t xml:space="preserve"> </w:t>
      </w:r>
    </w:p>
    <w:p w:rsidR="00B117AF" w:rsidRDefault="00B117AF" w:rsidP="00957776">
      <w:pPr>
        <w:rPr>
          <w:rFonts w:ascii="Times New Roman" w:hAnsi="Times New Roman" w:cs="Times New Roman"/>
          <w:sz w:val="24"/>
          <w:szCs w:val="24"/>
        </w:rPr>
      </w:pPr>
      <w:r>
        <w:rPr>
          <w:rFonts w:ascii="Times New Roman" w:hAnsi="Times New Roman" w:cs="Times New Roman"/>
          <w:sz w:val="24"/>
          <w:szCs w:val="24"/>
        </w:rPr>
        <w:t xml:space="preserve">It is well documented that women are grossly </w:t>
      </w:r>
      <w:r w:rsidR="008E04CF">
        <w:rPr>
          <w:rFonts w:ascii="Times New Roman" w:hAnsi="Times New Roman" w:cs="Times New Roman"/>
          <w:sz w:val="24"/>
          <w:szCs w:val="24"/>
        </w:rPr>
        <w:t>under-represented in senior mana</w:t>
      </w:r>
      <w:r>
        <w:rPr>
          <w:rFonts w:ascii="Times New Roman" w:hAnsi="Times New Roman" w:cs="Times New Roman"/>
          <w:sz w:val="24"/>
          <w:szCs w:val="24"/>
        </w:rPr>
        <w:t>gement roles globally, holding only 24 percent of such positions. Recent analysis across 13,000 firms in 135 countries found that only 10 percent of large firms have female management</w:t>
      </w:r>
      <w:r w:rsidR="00CD102E">
        <w:rPr>
          <w:rStyle w:val="FootnoteReference"/>
          <w:rFonts w:ascii="Times New Roman" w:hAnsi="Times New Roman" w:cs="Times New Roman"/>
          <w:sz w:val="24"/>
          <w:szCs w:val="24"/>
        </w:rPr>
        <w:footnoteReference w:id="53"/>
      </w:r>
      <w:r>
        <w:rPr>
          <w:rFonts w:ascii="Times New Roman" w:hAnsi="Times New Roman" w:cs="Times New Roman"/>
          <w:sz w:val="24"/>
          <w:szCs w:val="24"/>
        </w:rPr>
        <w:t xml:space="preserve"> .Despite the slow change, legal quotas and corporate governance requirements </w:t>
      </w:r>
      <w:r w:rsidR="00C935B9">
        <w:rPr>
          <w:rFonts w:ascii="Times New Roman" w:hAnsi="Times New Roman" w:cs="Times New Roman"/>
          <w:sz w:val="24"/>
          <w:szCs w:val="24"/>
        </w:rPr>
        <w:t xml:space="preserve">are likely to produce better results for women. </w:t>
      </w:r>
      <w:r>
        <w:rPr>
          <w:rFonts w:ascii="Times New Roman" w:hAnsi="Times New Roman" w:cs="Times New Roman"/>
          <w:sz w:val="24"/>
          <w:szCs w:val="24"/>
        </w:rPr>
        <w:t xml:space="preserve"> </w:t>
      </w:r>
    </w:p>
    <w:p w:rsidR="00961488" w:rsidRPr="008E04CF" w:rsidRDefault="00BE1B88" w:rsidP="00960E03">
      <w:pPr>
        <w:rPr>
          <w:rFonts w:ascii="Times New Roman" w:hAnsi="Times New Roman" w:cs="Times New Roman"/>
          <w:sz w:val="24"/>
          <w:szCs w:val="24"/>
        </w:rPr>
      </w:pPr>
      <w:r w:rsidRPr="00961488">
        <w:rPr>
          <w:rFonts w:ascii="Times New Roman" w:hAnsi="Times New Roman" w:cs="Times New Roman"/>
          <w:sz w:val="24"/>
          <w:szCs w:val="24"/>
        </w:rPr>
        <w:t>In South Africa, u</w:t>
      </w:r>
      <w:r w:rsidR="00960E03" w:rsidRPr="00961488">
        <w:rPr>
          <w:rFonts w:ascii="Times New Roman" w:hAnsi="Times New Roman" w:cs="Times New Roman"/>
          <w:sz w:val="24"/>
          <w:szCs w:val="24"/>
        </w:rPr>
        <w:t>p until the 1990s, legislation meant that women were not permitted to work underground</w:t>
      </w:r>
      <w:r w:rsidR="00221484" w:rsidRPr="00961488">
        <w:rPr>
          <w:rFonts w:ascii="Times New Roman" w:hAnsi="Times New Roman" w:cs="Times New Roman"/>
          <w:sz w:val="24"/>
          <w:szCs w:val="24"/>
        </w:rPr>
        <w:t>— in most extractive industries precisely</w:t>
      </w:r>
      <w:r w:rsidR="00960E03" w:rsidRPr="00961488">
        <w:rPr>
          <w:rFonts w:ascii="Times New Roman" w:hAnsi="Times New Roman" w:cs="Times New Roman"/>
          <w:sz w:val="24"/>
          <w:szCs w:val="24"/>
        </w:rPr>
        <w:t>. This all changed, and in 2002 the South African Mining Charter introduced quotas urging mining companies to employ a 10% female staff quota (where it was just 2% in the year 2000)</w:t>
      </w:r>
      <w:r w:rsidR="00221484" w:rsidRPr="00961488">
        <w:rPr>
          <w:rFonts w:ascii="Times New Roman" w:hAnsi="Times New Roman" w:cs="Times New Roman"/>
          <w:sz w:val="24"/>
          <w:szCs w:val="24"/>
        </w:rPr>
        <w:t xml:space="preserve"> </w:t>
      </w:r>
      <w:r w:rsidR="00221484" w:rsidRPr="00961488">
        <w:rPr>
          <w:rStyle w:val="FootnoteReference"/>
          <w:rFonts w:ascii="Times New Roman" w:hAnsi="Times New Roman" w:cs="Times New Roman"/>
          <w:sz w:val="24"/>
          <w:szCs w:val="24"/>
        </w:rPr>
        <w:footnoteReference w:id="54"/>
      </w:r>
      <w:r w:rsidR="00960E03" w:rsidRPr="00961488">
        <w:rPr>
          <w:rFonts w:ascii="Times New Roman" w:hAnsi="Times New Roman" w:cs="Times New Roman"/>
          <w:sz w:val="24"/>
          <w:szCs w:val="24"/>
        </w:rPr>
        <w:t>.</w:t>
      </w:r>
      <w:r w:rsidR="00221484" w:rsidRPr="00961488">
        <w:rPr>
          <w:rFonts w:ascii="Times New Roman" w:hAnsi="Times New Roman" w:cs="Times New Roman"/>
          <w:sz w:val="24"/>
          <w:szCs w:val="24"/>
        </w:rPr>
        <w:t xml:space="preserve"> The adoption of quotas </w:t>
      </w:r>
      <w:r w:rsidR="004A4E88">
        <w:rPr>
          <w:rFonts w:ascii="Times New Roman" w:hAnsi="Times New Roman" w:cs="Times New Roman"/>
          <w:sz w:val="24"/>
          <w:szCs w:val="24"/>
        </w:rPr>
        <w:t xml:space="preserve">(Mining Charter of 2002) </w:t>
      </w:r>
      <w:r w:rsidR="00221484" w:rsidRPr="00961488">
        <w:rPr>
          <w:rFonts w:ascii="Times New Roman" w:hAnsi="Times New Roman" w:cs="Times New Roman"/>
          <w:sz w:val="24"/>
          <w:szCs w:val="24"/>
        </w:rPr>
        <w:t xml:space="preserve">in South Africa is particularly interesting in the sense that it was a part of broader measures intended by government to rectify injustices of its past by helping those who have historically been at a disadvantage, including colored people and women in this case. </w:t>
      </w:r>
      <w:r w:rsidR="005E3F2C">
        <w:rPr>
          <w:rFonts w:ascii="Times New Roman" w:hAnsi="Times New Roman" w:cs="Times New Roman"/>
          <w:sz w:val="24"/>
          <w:szCs w:val="24"/>
        </w:rPr>
        <w:t xml:space="preserve">Since legislators and mining companies started applying quotas to bring in more women technicians and executives, </w:t>
      </w:r>
      <w:r w:rsidR="00AE4106">
        <w:rPr>
          <w:rFonts w:ascii="Times New Roman" w:hAnsi="Times New Roman" w:cs="Times New Roman"/>
          <w:sz w:val="24"/>
          <w:szCs w:val="24"/>
        </w:rPr>
        <w:t xml:space="preserve">there has been an </w:t>
      </w:r>
      <w:r w:rsidR="005E3F2C">
        <w:rPr>
          <w:rFonts w:ascii="Times New Roman" w:hAnsi="Times New Roman" w:cs="Times New Roman"/>
          <w:sz w:val="24"/>
          <w:szCs w:val="24"/>
        </w:rPr>
        <w:t>inc</w:t>
      </w:r>
      <w:r w:rsidR="00960E03" w:rsidRPr="00961488">
        <w:rPr>
          <w:rFonts w:ascii="Times New Roman" w:hAnsi="Times New Roman" w:cs="Times New Roman"/>
          <w:sz w:val="24"/>
          <w:szCs w:val="24"/>
        </w:rPr>
        <w:t>r</w:t>
      </w:r>
      <w:r w:rsidR="005E3F2C">
        <w:rPr>
          <w:rFonts w:ascii="Times New Roman" w:hAnsi="Times New Roman" w:cs="Times New Roman"/>
          <w:sz w:val="24"/>
          <w:szCs w:val="24"/>
        </w:rPr>
        <w:t>ea</w:t>
      </w:r>
      <w:r w:rsidR="00960E03" w:rsidRPr="00961488">
        <w:rPr>
          <w:rFonts w:ascii="Times New Roman" w:hAnsi="Times New Roman" w:cs="Times New Roman"/>
          <w:sz w:val="24"/>
          <w:szCs w:val="24"/>
        </w:rPr>
        <w:t>s</w:t>
      </w:r>
      <w:r w:rsidR="00AE4106">
        <w:rPr>
          <w:rFonts w:ascii="Times New Roman" w:hAnsi="Times New Roman" w:cs="Times New Roman"/>
          <w:sz w:val="24"/>
          <w:szCs w:val="24"/>
        </w:rPr>
        <w:t>ing</w:t>
      </w:r>
      <w:r w:rsidR="00960E03" w:rsidRPr="00961488">
        <w:rPr>
          <w:rFonts w:ascii="Times New Roman" w:hAnsi="Times New Roman" w:cs="Times New Roman"/>
          <w:sz w:val="24"/>
          <w:szCs w:val="24"/>
        </w:rPr>
        <w:t xml:space="preserve"> number of women </w:t>
      </w:r>
      <w:r w:rsidR="00AE4106">
        <w:rPr>
          <w:rFonts w:ascii="Times New Roman" w:hAnsi="Times New Roman" w:cs="Times New Roman"/>
          <w:sz w:val="24"/>
          <w:szCs w:val="24"/>
        </w:rPr>
        <w:t>board members</w:t>
      </w:r>
      <w:r w:rsidR="005E3F2C">
        <w:rPr>
          <w:rFonts w:ascii="Times New Roman" w:hAnsi="Times New Roman" w:cs="Times New Roman"/>
          <w:sz w:val="24"/>
          <w:szCs w:val="24"/>
        </w:rPr>
        <w:t>. According to a 2013 PwC report on women in mining, at 21</w:t>
      </w:r>
      <w:r w:rsidR="00AE4106">
        <w:rPr>
          <w:rFonts w:ascii="Times New Roman" w:hAnsi="Times New Roman" w:cs="Times New Roman"/>
          <w:sz w:val="24"/>
          <w:szCs w:val="24"/>
        </w:rPr>
        <w:t>.05</w:t>
      </w:r>
      <w:r w:rsidR="005E3F2C">
        <w:rPr>
          <w:rFonts w:ascii="Times New Roman" w:hAnsi="Times New Roman" w:cs="Times New Roman"/>
          <w:sz w:val="24"/>
          <w:szCs w:val="24"/>
        </w:rPr>
        <w:t xml:space="preserve"> percent, South Africa leads the way in the </w:t>
      </w:r>
      <w:r w:rsidR="005E3F2C" w:rsidRPr="008E04CF">
        <w:rPr>
          <w:rFonts w:ascii="Times New Roman" w:hAnsi="Times New Roman" w:cs="Times New Roman"/>
          <w:sz w:val="24"/>
          <w:szCs w:val="24"/>
        </w:rPr>
        <w:lastRenderedPageBreak/>
        <w:t xml:space="preserve">number of women senior executives in </w:t>
      </w:r>
      <w:r w:rsidR="00AE4106" w:rsidRPr="008E04CF">
        <w:rPr>
          <w:rFonts w:ascii="Times New Roman" w:hAnsi="Times New Roman" w:cs="Times New Roman"/>
          <w:sz w:val="24"/>
          <w:szCs w:val="24"/>
        </w:rPr>
        <w:t xml:space="preserve">the top 100 </w:t>
      </w:r>
      <w:r w:rsidR="005E3F2C" w:rsidRPr="008E04CF">
        <w:rPr>
          <w:rFonts w:ascii="Times New Roman" w:hAnsi="Times New Roman" w:cs="Times New Roman"/>
          <w:sz w:val="24"/>
          <w:szCs w:val="24"/>
        </w:rPr>
        <w:t>listed mining companies worldwide</w:t>
      </w:r>
      <w:r w:rsidR="005E3F2C" w:rsidRPr="008E04CF">
        <w:rPr>
          <w:rStyle w:val="FootnoteReference"/>
          <w:rFonts w:ascii="Times New Roman" w:hAnsi="Times New Roman" w:cs="Times New Roman"/>
          <w:sz w:val="24"/>
          <w:szCs w:val="24"/>
        </w:rPr>
        <w:footnoteReference w:id="55"/>
      </w:r>
      <w:r w:rsidR="00AE4106" w:rsidRPr="008E04CF">
        <w:rPr>
          <w:rFonts w:ascii="Times New Roman" w:hAnsi="Times New Roman" w:cs="Times New Roman"/>
          <w:sz w:val="24"/>
          <w:szCs w:val="24"/>
        </w:rPr>
        <w:t xml:space="preserve"> (see graph</w:t>
      </w:r>
      <w:r w:rsidR="008E04CF" w:rsidRPr="008E04CF">
        <w:rPr>
          <w:rFonts w:ascii="Times New Roman" w:hAnsi="Times New Roman" w:cs="Times New Roman"/>
          <w:sz w:val="24"/>
          <w:szCs w:val="24"/>
        </w:rPr>
        <w:t xml:space="preserve"> 3</w:t>
      </w:r>
      <w:r w:rsidR="00AE4106" w:rsidRPr="008E04CF">
        <w:rPr>
          <w:rFonts w:ascii="Times New Roman" w:hAnsi="Times New Roman" w:cs="Times New Roman"/>
          <w:sz w:val="24"/>
          <w:szCs w:val="24"/>
        </w:rPr>
        <w:t xml:space="preserve"> below). </w:t>
      </w:r>
    </w:p>
    <w:p w:rsidR="00AE4106" w:rsidRDefault="008E04CF" w:rsidP="00AE4106">
      <w:pPr>
        <w:spacing w:after="0" w:line="240" w:lineRule="auto"/>
        <w:jc w:val="center"/>
        <w:rPr>
          <w:rFonts w:ascii="Times New Roman" w:hAnsi="Times New Roman" w:cs="Times New Roman"/>
          <w:b/>
          <w:sz w:val="24"/>
          <w:szCs w:val="24"/>
        </w:rPr>
      </w:pPr>
      <w:r w:rsidRPr="008E04CF">
        <w:rPr>
          <w:rFonts w:ascii="Times New Roman" w:hAnsi="Times New Roman" w:cs="Times New Roman"/>
          <w:b/>
          <w:sz w:val="24"/>
          <w:szCs w:val="24"/>
        </w:rPr>
        <w:t>Graph</w:t>
      </w:r>
      <w:r>
        <w:rPr>
          <w:rFonts w:ascii="Times New Roman" w:hAnsi="Times New Roman" w:cs="Times New Roman"/>
          <w:b/>
          <w:sz w:val="24"/>
          <w:szCs w:val="24"/>
        </w:rPr>
        <w:t xml:space="preserve"> </w:t>
      </w:r>
      <w:r w:rsidRPr="008E04CF">
        <w:rPr>
          <w:rFonts w:ascii="Times New Roman" w:hAnsi="Times New Roman" w:cs="Times New Roman"/>
          <w:b/>
          <w:sz w:val="24"/>
          <w:szCs w:val="24"/>
        </w:rPr>
        <w:t>3:</w:t>
      </w:r>
      <w:r w:rsidR="00AE4106" w:rsidRPr="00AE4106">
        <w:rPr>
          <w:rFonts w:ascii="Times New Roman" w:hAnsi="Times New Roman" w:cs="Times New Roman"/>
          <w:b/>
          <w:sz w:val="24"/>
          <w:szCs w:val="24"/>
        </w:rPr>
        <w:t xml:space="preserve"> Averag</w:t>
      </w:r>
      <w:r w:rsidR="00AE4106">
        <w:rPr>
          <w:rFonts w:ascii="Times New Roman" w:hAnsi="Times New Roman" w:cs="Times New Roman"/>
          <w:b/>
          <w:sz w:val="24"/>
          <w:szCs w:val="24"/>
        </w:rPr>
        <w:t>e % Women on Boards of top 100 Listed</w:t>
      </w:r>
    </w:p>
    <w:p w:rsidR="00AE4106" w:rsidRPr="00AE4106" w:rsidRDefault="00AE4106" w:rsidP="00AE4106">
      <w:pPr>
        <w:spacing w:after="0" w:line="240" w:lineRule="auto"/>
        <w:jc w:val="center"/>
        <w:rPr>
          <w:rFonts w:ascii="Times New Roman" w:hAnsi="Times New Roman" w:cs="Times New Roman"/>
          <w:b/>
          <w:sz w:val="24"/>
          <w:szCs w:val="24"/>
        </w:rPr>
      </w:pPr>
      <w:r w:rsidRPr="00AE4106">
        <w:rPr>
          <w:rFonts w:ascii="Times New Roman" w:hAnsi="Times New Roman" w:cs="Times New Roman"/>
          <w:b/>
          <w:sz w:val="24"/>
          <w:szCs w:val="24"/>
        </w:rPr>
        <w:t>Mining companies</w:t>
      </w:r>
      <w:r>
        <w:rPr>
          <w:rFonts w:ascii="Times New Roman" w:hAnsi="Times New Roman" w:cs="Times New Roman"/>
          <w:b/>
          <w:sz w:val="24"/>
          <w:szCs w:val="24"/>
        </w:rPr>
        <w:t>, 2013</w:t>
      </w:r>
      <w:r w:rsidR="002909BB">
        <w:rPr>
          <w:rStyle w:val="FootnoteReference"/>
          <w:rFonts w:ascii="Times New Roman" w:hAnsi="Times New Roman" w:cs="Times New Roman"/>
          <w:b/>
          <w:sz w:val="24"/>
          <w:szCs w:val="24"/>
        </w:rPr>
        <w:footnoteReference w:id="56"/>
      </w:r>
    </w:p>
    <w:p w:rsidR="00AE4106" w:rsidRPr="00961488" w:rsidRDefault="00AE4106" w:rsidP="00AE4106">
      <w:pPr>
        <w:jc w:val="center"/>
        <w:rPr>
          <w:rFonts w:ascii="Times New Roman" w:hAnsi="Times New Roman" w:cs="Times New Roman"/>
          <w:sz w:val="24"/>
          <w:szCs w:val="24"/>
        </w:rPr>
      </w:pPr>
      <w:r>
        <w:rPr>
          <w:noProof/>
        </w:rPr>
        <w:drawing>
          <wp:inline distT="0" distB="0" distL="0" distR="0" wp14:anchorId="5B023128" wp14:editId="5EF19ECB">
            <wp:extent cx="4572000" cy="1998921"/>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3516" w:rsidRDefault="004A4E88" w:rsidP="00960E03">
      <w:pPr>
        <w:rPr>
          <w:rFonts w:ascii="Times New Roman" w:hAnsi="Times New Roman" w:cs="Times New Roman"/>
          <w:sz w:val="24"/>
          <w:szCs w:val="24"/>
        </w:rPr>
      </w:pPr>
      <w:r w:rsidRPr="00523FC7">
        <w:rPr>
          <w:rFonts w:ascii="Times New Roman" w:hAnsi="Times New Roman" w:cs="Times New Roman"/>
          <w:sz w:val="24"/>
          <w:szCs w:val="24"/>
        </w:rPr>
        <w:t>With such progress being recorded through quotas, women rights groups and their allies introduced the 2014 Women Empowerment and Gender Equality Bill (WEGEB) which aims to broaden employment, education</w:t>
      </w:r>
      <w:r w:rsidRPr="004A4E88">
        <w:rPr>
          <w:rFonts w:ascii="Times New Roman" w:hAnsi="Times New Roman" w:cs="Times New Roman"/>
          <w:sz w:val="24"/>
          <w:szCs w:val="24"/>
        </w:rPr>
        <w:t xml:space="preserve"> and health opportunities for South African women.</w:t>
      </w:r>
      <w:r w:rsidR="00A03230">
        <w:rPr>
          <w:rFonts w:ascii="Times New Roman" w:hAnsi="Times New Roman" w:cs="Times New Roman"/>
          <w:sz w:val="24"/>
          <w:szCs w:val="24"/>
        </w:rPr>
        <w:t xml:space="preserve"> Proponents of WEGEB claim that unlike </w:t>
      </w:r>
      <w:r w:rsidR="00523FC7">
        <w:rPr>
          <w:rFonts w:ascii="Times New Roman" w:hAnsi="Times New Roman" w:cs="Times New Roman"/>
          <w:sz w:val="24"/>
          <w:szCs w:val="24"/>
        </w:rPr>
        <w:t>provisions</w:t>
      </w:r>
      <w:r w:rsidR="00A03230">
        <w:rPr>
          <w:rFonts w:ascii="Times New Roman" w:hAnsi="Times New Roman" w:cs="Times New Roman"/>
          <w:sz w:val="24"/>
          <w:szCs w:val="24"/>
        </w:rPr>
        <w:t xml:space="preserve"> under Mining Charter</w:t>
      </w:r>
      <w:r w:rsidR="00523FC7">
        <w:rPr>
          <w:rFonts w:ascii="Times New Roman" w:hAnsi="Times New Roman" w:cs="Times New Roman"/>
          <w:sz w:val="24"/>
          <w:szCs w:val="24"/>
        </w:rPr>
        <w:t>s</w:t>
      </w:r>
      <w:r w:rsidR="00A03230">
        <w:rPr>
          <w:rFonts w:ascii="Times New Roman" w:hAnsi="Times New Roman" w:cs="Times New Roman"/>
          <w:sz w:val="24"/>
          <w:szCs w:val="24"/>
        </w:rPr>
        <w:t xml:space="preserve"> </w:t>
      </w:r>
      <w:r w:rsidR="00A23E00">
        <w:rPr>
          <w:rFonts w:ascii="Times New Roman" w:hAnsi="Times New Roman" w:cs="Times New Roman"/>
          <w:sz w:val="24"/>
          <w:szCs w:val="24"/>
        </w:rPr>
        <w:t xml:space="preserve">which </w:t>
      </w:r>
      <w:r w:rsidR="00523FC7">
        <w:rPr>
          <w:rFonts w:ascii="Times New Roman" w:hAnsi="Times New Roman" w:cs="Times New Roman"/>
          <w:sz w:val="24"/>
          <w:szCs w:val="24"/>
        </w:rPr>
        <w:t>allow</w:t>
      </w:r>
      <w:r w:rsidR="00A23E00">
        <w:rPr>
          <w:rFonts w:ascii="Times New Roman" w:hAnsi="Times New Roman" w:cs="Times New Roman"/>
          <w:sz w:val="24"/>
          <w:szCs w:val="24"/>
        </w:rPr>
        <w:t xml:space="preserve"> </w:t>
      </w:r>
      <w:r w:rsidR="00A03230">
        <w:rPr>
          <w:rFonts w:ascii="Times New Roman" w:hAnsi="Times New Roman" w:cs="Times New Roman"/>
          <w:sz w:val="24"/>
          <w:szCs w:val="24"/>
        </w:rPr>
        <w:t xml:space="preserve">extractive industry companies to renew their licenses when they did not meet </w:t>
      </w:r>
      <w:r w:rsidR="00A23E00">
        <w:rPr>
          <w:rFonts w:ascii="Times New Roman" w:hAnsi="Times New Roman" w:cs="Times New Roman"/>
          <w:sz w:val="24"/>
          <w:szCs w:val="24"/>
        </w:rPr>
        <w:t>gender</w:t>
      </w:r>
      <w:r w:rsidR="00A03230">
        <w:rPr>
          <w:rFonts w:ascii="Times New Roman" w:hAnsi="Times New Roman" w:cs="Times New Roman"/>
          <w:sz w:val="24"/>
          <w:szCs w:val="24"/>
        </w:rPr>
        <w:t xml:space="preserve"> quotas, (if approved by legislators) the new Bill will mandate a 50 percent quota for women and stiff penalties for organizations that fail to comply</w:t>
      </w:r>
      <w:r w:rsidR="00A03230">
        <w:rPr>
          <w:rStyle w:val="FootnoteReference"/>
          <w:rFonts w:ascii="Times New Roman" w:hAnsi="Times New Roman" w:cs="Times New Roman"/>
          <w:sz w:val="24"/>
          <w:szCs w:val="24"/>
        </w:rPr>
        <w:footnoteReference w:id="57"/>
      </w:r>
      <w:r w:rsidR="00A03230">
        <w:rPr>
          <w:rFonts w:ascii="Times New Roman" w:hAnsi="Times New Roman" w:cs="Times New Roman"/>
          <w:sz w:val="24"/>
          <w:szCs w:val="24"/>
        </w:rPr>
        <w:t>.</w:t>
      </w:r>
      <w:r w:rsidR="00C144B0">
        <w:rPr>
          <w:rFonts w:ascii="Times New Roman" w:hAnsi="Times New Roman" w:cs="Times New Roman"/>
          <w:sz w:val="24"/>
          <w:szCs w:val="24"/>
        </w:rPr>
        <w:t xml:space="preserve"> </w:t>
      </w:r>
      <w:r w:rsidR="009002F6">
        <w:rPr>
          <w:rFonts w:ascii="Times New Roman" w:hAnsi="Times New Roman" w:cs="Times New Roman"/>
          <w:sz w:val="24"/>
          <w:szCs w:val="24"/>
        </w:rPr>
        <w:t xml:space="preserve">Beyond differences between mining and other industries, </w:t>
      </w:r>
      <w:r w:rsidR="00523FC7">
        <w:rPr>
          <w:rFonts w:ascii="Times New Roman" w:hAnsi="Times New Roman" w:cs="Times New Roman"/>
          <w:sz w:val="24"/>
          <w:szCs w:val="24"/>
        </w:rPr>
        <w:t xml:space="preserve">it is important to mention that </w:t>
      </w:r>
      <w:r w:rsidR="009002F6">
        <w:rPr>
          <w:rFonts w:ascii="Times New Roman" w:hAnsi="Times New Roman" w:cs="Times New Roman"/>
          <w:sz w:val="24"/>
          <w:szCs w:val="24"/>
        </w:rPr>
        <w:t>among emerging economies</w:t>
      </w:r>
      <w:r w:rsidR="00523FC7">
        <w:rPr>
          <w:rFonts w:ascii="Times New Roman" w:hAnsi="Times New Roman" w:cs="Times New Roman"/>
          <w:sz w:val="24"/>
          <w:szCs w:val="24"/>
        </w:rPr>
        <w:t xml:space="preserve"> in Africa,</w:t>
      </w:r>
      <w:r w:rsidR="009002F6">
        <w:rPr>
          <w:rFonts w:ascii="Times New Roman" w:hAnsi="Times New Roman" w:cs="Times New Roman"/>
          <w:sz w:val="24"/>
          <w:szCs w:val="24"/>
        </w:rPr>
        <w:t xml:space="preserve"> South </w:t>
      </w:r>
      <w:r w:rsidR="00523FC7">
        <w:rPr>
          <w:rFonts w:ascii="Times New Roman" w:hAnsi="Times New Roman" w:cs="Times New Roman"/>
          <w:sz w:val="24"/>
          <w:szCs w:val="24"/>
        </w:rPr>
        <w:t>Africa has</w:t>
      </w:r>
      <w:r w:rsidR="009002F6">
        <w:rPr>
          <w:rFonts w:ascii="Times New Roman" w:hAnsi="Times New Roman" w:cs="Times New Roman"/>
          <w:sz w:val="24"/>
          <w:szCs w:val="24"/>
        </w:rPr>
        <w:t xml:space="preserve"> the highest </w:t>
      </w:r>
      <w:r w:rsidR="009002F6" w:rsidRPr="009002F6">
        <w:rPr>
          <w:rFonts w:ascii="Times New Roman" w:hAnsi="Times New Roman" w:cs="Times New Roman"/>
          <w:sz w:val="24"/>
          <w:szCs w:val="24"/>
        </w:rPr>
        <w:t xml:space="preserve">overall percentage </w:t>
      </w:r>
      <w:r w:rsidR="009002F6">
        <w:rPr>
          <w:rFonts w:ascii="Times New Roman" w:hAnsi="Times New Roman" w:cs="Times New Roman"/>
          <w:sz w:val="24"/>
          <w:szCs w:val="24"/>
        </w:rPr>
        <w:t xml:space="preserve">of women on </w:t>
      </w:r>
      <w:r w:rsidR="00787425">
        <w:rPr>
          <w:rFonts w:ascii="Times New Roman" w:hAnsi="Times New Roman" w:cs="Times New Roman"/>
          <w:sz w:val="24"/>
          <w:szCs w:val="24"/>
        </w:rPr>
        <w:t xml:space="preserve">corporate </w:t>
      </w:r>
      <w:r w:rsidR="009002F6">
        <w:rPr>
          <w:rFonts w:ascii="Times New Roman" w:hAnsi="Times New Roman" w:cs="Times New Roman"/>
          <w:sz w:val="24"/>
          <w:szCs w:val="24"/>
        </w:rPr>
        <w:t>boards (17.9%)</w:t>
      </w:r>
      <w:r w:rsidR="009002F6">
        <w:rPr>
          <w:rStyle w:val="FootnoteReference"/>
          <w:rFonts w:ascii="Times New Roman" w:hAnsi="Times New Roman" w:cs="Times New Roman"/>
          <w:sz w:val="24"/>
          <w:szCs w:val="24"/>
        </w:rPr>
        <w:footnoteReference w:id="58"/>
      </w:r>
      <w:r w:rsidR="009002F6">
        <w:rPr>
          <w:rFonts w:ascii="Times New Roman" w:hAnsi="Times New Roman" w:cs="Times New Roman"/>
          <w:sz w:val="24"/>
          <w:szCs w:val="24"/>
        </w:rPr>
        <w:t xml:space="preserve">. </w:t>
      </w:r>
    </w:p>
    <w:p w:rsidR="009C62D0" w:rsidRDefault="004746DD" w:rsidP="004746DD">
      <w:pPr>
        <w:rPr>
          <w:rFonts w:ascii="Times New Roman" w:hAnsi="Times New Roman" w:cs="Times New Roman"/>
          <w:sz w:val="24"/>
          <w:szCs w:val="24"/>
        </w:rPr>
      </w:pPr>
      <w:r>
        <w:rPr>
          <w:rFonts w:ascii="Times New Roman" w:hAnsi="Times New Roman" w:cs="Times New Roman"/>
          <w:sz w:val="24"/>
          <w:szCs w:val="24"/>
        </w:rPr>
        <w:t>Across</w:t>
      </w:r>
      <w:r w:rsidR="00263516">
        <w:rPr>
          <w:rFonts w:ascii="Times New Roman" w:hAnsi="Times New Roman" w:cs="Times New Roman"/>
          <w:sz w:val="24"/>
          <w:szCs w:val="24"/>
        </w:rPr>
        <w:t xml:space="preserve"> sub-Saharan African other countries that have mandated gender quotas in corporate governance, such as </w:t>
      </w:r>
      <w:r w:rsidR="009C62D0">
        <w:rPr>
          <w:rFonts w:ascii="Times New Roman" w:hAnsi="Times New Roman" w:cs="Times New Roman"/>
          <w:sz w:val="24"/>
          <w:szCs w:val="24"/>
        </w:rPr>
        <w:t xml:space="preserve">Malawi, Kenya, and Morocco </w:t>
      </w:r>
      <w:r w:rsidR="00263516">
        <w:rPr>
          <w:rFonts w:ascii="Times New Roman" w:hAnsi="Times New Roman" w:cs="Times New Roman"/>
          <w:sz w:val="24"/>
          <w:szCs w:val="24"/>
        </w:rPr>
        <w:t xml:space="preserve">have not been as successful as South Africa. In Malawi, for instance, the Malawi Code II of Best Practice for Corporate Governance does not necessarily require a woman executive to be on board, since the selection process for the appointment of new members of the board </w:t>
      </w:r>
      <w:r w:rsidR="00A23E00">
        <w:rPr>
          <w:rFonts w:ascii="Times New Roman" w:hAnsi="Times New Roman" w:cs="Times New Roman"/>
          <w:sz w:val="24"/>
          <w:szCs w:val="24"/>
        </w:rPr>
        <w:t>“</w:t>
      </w:r>
      <w:r w:rsidR="00263516">
        <w:rPr>
          <w:rFonts w:ascii="Times New Roman" w:hAnsi="Times New Roman" w:cs="Times New Roman"/>
          <w:sz w:val="24"/>
          <w:szCs w:val="24"/>
        </w:rPr>
        <w:t>may also consider appropriate diversity of gender and/or social and economic background</w:t>
      </w:r>
      <w:r w:rsidR="00263516">
        <w:rPr>
          <w:rStyle w:val="FootnoteReference"/>
          <w:rFonts w:ascii="Times New Roman" w:hAnsi="Times New Roman" w:cs="Times New Roman"/>
          <w:sz w:val="24"/>
          <w:szCs w:val="24"/>
        </w:rPr>
        <w:footnoteReference w:id="59"/>
      </w:r>
      <w:r w:rsidR="00A23E00">
        <w:rPr>
          <w:rFonts w:ascii="Times New Roman" w:hAnsi="Times New Roman" w:cs="Times New Roman"/>
          <w:sz w:val="24"/>
          <w:szCs w:val="24"/>
        </w:rPr>
        <w:t xml:space="preserve">;” </w:t>
      </w:r>
      <w:r w:rsidR="00752BB2">
        <w:rPr>
          <w:rFonts w:ascii="Times New Roman" w:hAnsi="Times New Roman" w:cs="Times New Roman"/>
          <w:sz w:val="24"/>
          <w:szCs w:val="24"/>
        </w:rPr>
        <w:t xml:space="preserve">this means a man from a disenfranchised group or background could easily fill in the job in lieu of a woman. </w:t>
      </w:r>
      <w:r w:rsidR="00752BB2" w:rsidRPr="00A24141">
        <w:rPr>
          <w:rFonts w:ascii="Times New Roman" w:hAnsi="Times New Roman" w:cs="Times New Roman"/>
          <w:sz w:val="24"/>
          <w:szCs w:val="24"/>
        </w:rPr>
        <w:t>In Kenya, the situation is worse, as women occupy only 44 out of the 46</w:t>
      </w:r>
      <w:r w:rsidR="00A604FC">
        <w:rPr>
          <w:rFonts w:ascii="Times New Roman" w:hAnsi="Times New Roman" w:cs="Times New Roman"/>
          <w:sz w:val="24"/>
          <w:szCs w:val="24"/>
        </w:rPr>
        <w:t xml:space="preserve">2 seats on the boards of the 55 </w:t>
      </w:r>
      <w:r w:rsidR="00752BB2" w:rsidRPr="00A24141">
        <w:rPr>
          <w:rFonts w:ascii="Times New Roman" w:hAnsi="Times New Roman" w:cs="Times New Roman"/>
          <w:sz w:val="24"/>
          <w:szCs w:val="24"/>
        </w:rPr>
        <w:t xml:space="preserve">companies listed at the </w:t>
      </w:r>
      <w:r w:rsidR="00752BB2" w:rsidRPr="00A24141">
        <w:rPr>
          <w:rFonts w:ascii="Times New Roman" w:hAnsi="Times New Roman" w:cs="Times New Roman"/>
          <w:sz w:val="24"/>
          <w:szCs w:val="24"/>
        </w:rPr>
        <w:lastRenderedPageBreak/>
        <w:t>bourse, according to filings made to the Capital Markets Authority (CMA). This is a meager 9 percent. Kenya is, in fact, doing far much worse than Uganda and Rwanda, with the latt</w:t>
      </w:r>
      <w:r w:rsidR="00A23E00">
        <w:rPr>
          <w:rFonts w:ascii="Times New Roman" w:hAnsi="Times New Roman" w:cs="Times New Roman"/>
          <w:sz w:val="24"/>
          <w:szCs w:val="24"/>
        </w:rPr>
        <w:t>er registering more than 50 per</w:t>
      </w:r>
      <w:r w:rsidR="00752BB2" w:rsidRPr="00A24141">
        <w:rPr>
          <w:rFonts w:ascii="Times New Roman" w:hAnsi="Times New Roman" w:cs="Times New Roman"/>
          <w:sz w:val="24"/>
          <w:szCs w:val="24"/>
        </w:rPr>
        <w:t>cent of women in boardrooms</w:t>
      </w:r>
      <w:r w:rsidR="00752BB2">
        <w:rPr>
          <w:rStyle w:val="FootnoteReference"/>
          <w:rFonts w:ascii="Helvetica" w:hAnsi="Helvetica" w:cs="Helvetica"/>
          <w:sz w:val="20"/>
          <w:szCs w:val="20"/>
        </w:rPr>
        <w:footnoteReference w:id="60"/>
      </w:r>
      <w:r w:rsidR="00752BB2">
        <w:rPr>
          <w:rFonts w:ascii="Helvetica" w:hAnsi="Helvetica" w:cs="Helvetica"/>
          <w:sz w:val="20"/>
          <w:szCs w:val="20"/>
        </w:rPr>
        <w:t xml:space="preserve">. </w:t>
      </w:r>
      <w:r w:rsidR="00A24141" w:rsidRPr="00A24141">
        <w:rPr>
          <w:rFonts w:ascii="Times New Roman" w:hAnsi="Times New Roman" w:cs="Times New Roman"/>
          <w:sz w:val="24"/>
          <w:szCs w:val="24"/>
        </w:rPr>
        <w:t xml:space="preserve">According to </w:t>
      </w:r>
      <w:r w:rsidR="00752BB2" w:rsidRPr="00A24141">
        <w:rPr>
          <w:rFonts w:ascii="Times New Roman" w:hAnsi="Times New Roman" w:cs="Times New Roman"/>
          <w:sz w:val="24"/>
          <w:szCs w:val="24"/>
        </w:rPr>
        <w:t>Njeri Rionge, who has been a member and chair of</w:t>
      </w:r>
      <w:r w:rsidR="00A604FC">
        <w:rPr>
          <w:rFonts w:ascii="Times New Roman" w:hAnsi="Times New Roman" w:cs="Times New Roman"/>
          <w:sz w:val="24"/>
          <w:szCs w:val="24"/>
        </w:rPr>
        <w:t xml:space="preserve"> </w:t>
      </w:r>
      <w:r w:rsidR="00752BB2" w:rsidRPr="00A24141">
        <w:rPr>
          <w:rFonts w:ascii="Times New Roman" w:hAnsi="Times New Roman" w:cs="Times New Roman"/>
          <w:sz w:val="24"/>
          <w:szCs w:val="24"/>
        </w:rPr>
        <w:t>several boards and committees, and is now a life coach</w:t>
      </w:r>
      <w:r w:rsidR="00A604FC">
        <w:rPr>
          <w:rFonts w:ascii="Times New Roman" w:hAnsi="Times New Roman" w:cs="Times New Roman"/>
          <w:sz w:val="24"/>
          <w:szCs w:val="24"/>
        </w:rPr>
        <w:t xml:space="preserve"> and business mentor, </w:t>
      </w:r>
      <w:r w:rsidR="00752BB2" w:rsidRPr="00A24141">
        <w:rPr>
          <w:rFonts w:ascii="Times New Roman" w:hAnsi="Times New Roman" w:cs="Times New Roman"/>
          <w:sz w:val="24"/>
          <w:szCs w:val="24"/>
        </w:rPr>
        <w:t>women’s underrepresentation</w:t>
      </w:r>
      <w:r w:rsidR="00A604FC">
        <w:rPr>
          <w:rFonts w:ascii="Times New Roman" w:hAnsi="Times New Roman" w:cs="Times New Roman"/>
          <w:sz w:val="24"/>
          <w:szCs w:val="24"/>
        </w:rPr>
        <w:t xml:space="preserve"> </w:t>
      </w:r>
      <w:r w:rsidR="00752BB2" w:rsidRPr="00A24141">
        <w:rPr>
          <w:rFonts w:ascii="Times New Roman" w:hAnsi="Times New Roman" w:cs="Times New Roman"/>
          <w:sz w:val="24"/>
          <w:szCs w:val="24"/>
        </w:rPr>
        <w:t xml:space="preserve">in boardrooms </w:t>
      </w:r>
      <w:r w:rsidR="00A604FC">
        <w:rPr>
          <w:rFonts w:ascii="Times New Roman" w:hAnsi="Times New Roman" w:cs="Times New Roman"/>
          <w:sz w:val="24"/>
          <w:szCs w:val="24"/>
        </w:rPr>
        <w:t xml:space="preserve">is significantly caused by </w:t>
      </w:r>
      <w:r w:rsidR="00A23E00">
        <w:rPr>
          <w:rFonts w:ascii="Times New Roman" w:hAnsi="Times New Roman" w:cs="Times New Roman"/>
          <w:sz w:val="24"/>
          <w:szCs w:val="24"/>
        </w:rPr>
        <w:t>companies’ recruitment style</w:t>
      </w:r>
      <w:r w:rsidR="00A604FC">
        <w:rPr>
          <w:rFonts w:ascii="Times New Roman" w:hAnsi="Times New Roman" w:cs="Times New Roman"/>
          <w:sz w:val="24"/>
          <w:szCs w:val="24"/>
        </w:rPr>
        <w:t xml:space="preserve"> </w:t>
      </w:r>
      <w:r w:rsidR="00752BB2" w:rsidRPr="00A24141">
        <w:rPr>
          <w:rFonts w:ascii="Times New Roman" w:hAnsi="Times New Roman" w:cs="Times New Roman"/>
          <w:sz w:val="24"/>
          <w:szCs w:val="24"/>
        </w:rPr>
        <w:t xml:space="preserve">which is mostly done via </w:t>
      </w:r>
      <w:r w:rsidR="00A604FC">
        <w:rPr>
          <w:rFonts w:ascii="Times New Roman" w:hAnsi="Times New Roman" w:cs="Times New Roman"/>
          <w:sz w:val="24"/>
          <w:szCs w:val="24"/>
        </w:rPr>
        <w:t>exclusive ‘old-boys’ network</w:t>
      </w:r>
      <w:r w:rsidR="00A604FC">
        <w:rPr>
          <w:rStyle w:val="FootnoteReference"/>
          <w:rFonts w:ascii="Times New Roman" w:hAnsi="Times New Roman" w:cs="Times New Roman"/>
          <w:sz w:val="24"/>
          <w:szCs w:val="24"/>
        </w:rPr>
        <w:footnoteReference w:id="61"/>
      </w:r>
      <w:r w:rsidR="00A604FC">
        <w:rPr>
          <w:rFonts w:ascii="Times New Roman" w:hAnsi="Times New Roman" w:cs="Times New Roman"/>
          <w:sz w:val="24"/>
          <w:szCs w:val="24"/>
        </w:rPr>
        <w:t xml:space="preserve">.  </w:t>
      </w:r>
      <w:r w:rsidR="00752BB2" w:rsidRPr="00A24141">
        <w:rPr>
          <w:rFonts w:ascii="Times New Roman" w:hAnsi="Times New Roman" w:cs="Times New Roman"/>
          <w:sz w:val="24"/>
          <w:szCs w:val="24"/>
        </w:rPr>
        <w:t xml:space="preserve">Over </w:t>
      </w:r>
      <w:r w:rsidR="00A604FC">
        <w:rPr>
          <w:rFonts w:ascii="Times New Roman" w:hAnsi="Times New Roman" w:cs="Times New Roman"/>
          <w:sz w:val="24"/>
          <w:szCs w:val="24"/>
        </w:rPr>
        <w:t xml:space="preserve">a </w:t>
      </w:r>
      <w:r w:rsidR="00752BB2" w:rsidRPr="00A24141">
        <w:rPr>
          <w:rFonts w:ascii="Times New Roman" w:hAnsi="Times New Roman" w:cs="Times New Roman"/>
          <w:sz w:val="24"/>
          <w:szCs w:val="24"/>
        </w:rPr>
        <w:t>decade ago, best practices in women corporate</w:t>
      </w:r>
      <w:r w:rsidR="00A604FC">
        <w:rPr>
          <w:rFonts w:ascii="Times New Roman" w:hAnsi="Times New Roman" w:cs="Times New Roman"/>
          <w:sz w:val="24"/>
          <w:szCs w:val="24"/>
        </w:rPr>
        <w:t xml:space="preserve"> </w:t>
      </w:r>
      <w:r w:rsidR="00752BB2" w:rsidRPr="00A24141">
        <w:rPr>
          <w:rFonts w:ascii="Times New Roman" w:hAnsi="Times New Roman" w:cs="Times New Roman"/>
          <w:sz w:val="24"/>
          <w:szCs w:val="24"/>
        </w:rPr>
        <w:t>governance agreed to incorporate gender diversity, but</w:t>
      </w:r>
      <w:r w:rsidR="00A604FC">
        <w:rPr>
          <w:rFonts w:ascii="Times New Roman" w:hAnsi="Times New Roman" w:cs="Times New Roman"/>
          <w:sz w:val="24"/>
          <w:szCs w:val="24"/>
        </w:rPr>
        <w:t xml:space="preserve"> </w:t>
      </w:r>
      <w:r w:rsidR="00752BB2" w:rsidRPr="00A24141">
        <w:rPr>
          <w:rFonts w:ascii="Times New Roman" w:hAnsi="Times New Roman" w:cs="Times New Roman"/>
          <w:sz w:val="24"/>
          <w:szCs w:val="24"/>
        </w:rPr>
        <w:t>sadly, this has not been</w:t>
      </w:r>
      <w:r w:rsidR="00A604FC">
        <w:rPr>
          <w:rFonts w:ascii="Times New Roman" w:hAnsi="Times New Roman" w:cs="Times New Roman"/>
          <w:sz w:val="24"/>
          <w:szCs w:val="24"/>
        </w:rPr>
        <w:t xml:space="preserve"> matched by appropriate action. </w:t>
      </w:r>
    </w:p>
    <w:p w:rsidR="00752BB2" w:rsidRPr="004746DD" w:rsidRDefault="004746DD" w:rsidP="004746DD">
      <w:pPr>
        <w:rPr>
          <w:rFonts w:ascii="Times New Roman" w:hAnsi="Times New Roman" w:cs="Times New Roman"/>
          <w:sz w:val="24"/>
          <w:szCs w:val="24"/>
        </w:rPr>
      </w:pPr>
      <w:r w:rsidRPr="004746DD">
        <w:rPr>
          <w:rFonts w:ascii="Times New Roman" w:hAnsi="Times New Roman" w:cs="Times New Roman"/>
          <w:sz w:val="24"/>
          <w:szCs w:val="24"/>
        </w:rPr>
        <w:t xml:space="preserve">As a general matter, gender parity in Morocco is weak, </w:t>
      </w:r>
      <w:r>
        <w:rPr>
          <w:rFonts w:ascii="Times New Roman" w:hAnsi="Times New Roman" w:cs="Times New Roman"/>
          <w:sz w:val="24"/>
          <w:szCs w:val="24"/>
        </w:rPr>
        <w:t xml:space="preserve">despite recent attempts to improve the situation. In </w:t>
      </w:r>
      <w:r w:rsidRPr="004746DD">
        <w:rPr>
          <w:rFonts w:ascii="Times New Roman" w:hAnsi="Times New Roman" w:cs="Times New Roman"/>
          <w:sz w:val="24"/>
          <w:szCs w:val="24"/>
        </w:rPr>
        <w:t>Global Gender Gap Report</w:t>
      </w:r>
      <w:r>
        <w:rPr>
          <w:rFonts w:ascii="Times New Roman" w:hAnsi="Times New Roman" w:cs="Times New Roman"/>
          <w:sz w:val="24"/>
          <w:szCs w:val="24"/>
        </w:rPr>
        <w:t xml:space="preserve"> rankings,</w:t>
      </w:r>
      <w:r w:rsidRPr="004746DD">
        <w:rPr>
          <w:rFonts w:ascii="Times New Roman" w:hAnsi="Times New Roman" w:cs="Times New Roman"/>
          <w:sz w:val="24"/>
          <w:szCs w:val="24"/>
        </w:rPr>
        <w:t xml:space="preserve"> Morocco </w:t>
      </w:r>
      <w:r>
        <w:rPr>
          <w:rFonts w:ascii="Times New Roman" w:hAnsi="Times New Roman" w:cs="Times New Roman"/>
          <w:sz w:val="24"/>
          <w:szCs w:val="24"/>
        </w:rPr>
        <w:t>ranked</w:t>
      </w:r>
      <w:r w:rsidRPr="004746DD">
        <w:rPr>
          <w:rFonts w:ascii="Times New Roman" w:hAnsi="Times New Roman" w:cs="Times New Roman"/>
          <w:sz w:val="24"/>
          <w:szCs w:val="24"/>
        </w:rPr>
        <w:t xml:space="preserve"> 127 out</w:t>
      </w:r>
      <w:r>
        <w:rPr>
          <w:rFonts w:ascii="Times New Roman" w:hAnsi="Times New Roman" w:cs="Times New Roman"/>
          <w:sz w:val="24"/>
          <w:szCs w:val="24"/>
        </w:rPr>
        <w:t xml:space="preserve"> of 134 countries in 2010 and</w:t>
      </w:r>
      <w:r w:rsidRPr="004746DD">
        <w:rPr>
          <w:rFonts w:ascii="Times New Roman" w:hAnsi="Times New Roman" w:cs="Times New Roman"/>
          <w:sz w:val="24"/>
          <w:szCs w:val="24"/>
        </w:rPr>
        <w:t xml:space="preserve"> slightly worse</w:t>
      </w:r>
      <w:r>
        <w:rPr>
          <w:rFonts w:ascii="Times New Roman" w:hAnsi="Times New Roman" w:cs="Times New Roman"/>
          <w:sz w:val="24"/>
          <w:szCs w:val="24"/>
        </w:rPr>
        <w:t xml:space="preserve"> to 128</w:t>
      </w:r>
      <w:r w:rsidRPr="004746DD">
        <w:rPr>
          <w:rFonts w:ascii="Times New Roman" w:hAnsi="Times New Roman" w:cs="Times New Roman"/>
          <w:sz w:val="24"/>
          <w:szCs w:val="24"/>
          <w:vertAlign w:val="superscript"/>
        </w:rPr>
        <w:t>th</w:t>
      </w:r>
      <w:r>
        <w:rPr>
          <w:rFonts w:ascii="Times New Roman" w:hAnsi="Times New Roman" w:cs="Times New Roman"/>
          <w:sz w:val="24"/>
          <w:szCs w:val="24"/>
        </w:rPr>
        <w:t xml:space="preserve"> place in 2011. </w:t>
      </w:r>
      <w:r w:rsidRPr="004746DD">
        <w:rPr>
          <w:rFonts w:ascii="Times New Roman" w:hAnsi="Times New Roman" w:cs="Times New Roman"/>
          <w:sz w:val="24"/>
          <w:szCs w:val="24"/>
        </w:rPr>
        <w:t xml:space="preserve">In a 2009 survey conducted by Sunergia / The Economist, Morocco did not </w:t>
      </w:r>
      <w:r w:rsidR="00E63DE8">
        <w:rPr>
          <w:rFonts w:ascii="Times New Roman" w:hAnsi="Times New Roman" w:cs="Times New Roman"/>
          <w:sz w:val="24"/>
          <w:szCs w:val="24"/>
        </w:rPr>
        <w:t>do</w:t>
      </w:r>
      <w:r w:rsidRPr="004746DD">
        <w:rPr>
          <w:rFonts w:ascii="Times New Roman" w:hAnsi="Times New Roman" w:cs="Times New Roman"/>
          <w:sz w:val="24"/>
          <w:szCs w:val="24"/>
        </w:rPr>
        <w:t xml:space="preserve"> any better when it came to executive</w:t>
      </w:r>
      <w:r>
        <w:rPr>
          <w:rFonts w:ascii="Times New Roman" w:hAnsi="Times New Roman" w:cs="Times New Roman"/>
          <w:sz w:val="24"/>
          <w:szCs w:val="24"/>
        </w:rPr>
        <w:t xml:space="preserve"> </w:t>
      </w:r>
      <w:r w:rsidRPr="004746DD">
        <w:rPr>
          <w:rFonts w:ascii="Times New Roman" w:hAnsi="Times New Roman" w:cs="Times New Roman"/>
          <w:sz w:val="24"/>
          <w:szCs w:val="24"/>
        </w:rPr>
        <w:t>pay</w:t>
      </w:r>
      <w:r>
        <w:rPr>
          <w:rFonts w:ascii="Times New Roman" w:hAnsi="Times New Roman" w:cs="Times New Roman"/>
          <w:sz w:val="24"/>
          <w:szCs w:val="24"/>
        </w:rPr>
        <w:t xml:space="preserve"> and </w:t>
      </w:r>
      <w:r w:rsidRPr="004746DD">
        <w:rPr>
          <w:rFonts w:ascii="Times New Roman" w:hAnsi="Times New Roman" w:cs="Times New Roman"/>
          <w:sz w:val="24"/>
          <w:szCs w:val="24"/>
        </w:rPr>
        <w:t xml:space="preserve">women were </w:t>
      </w:r>
      <w:r>
        <w:rPr>
          <w:rFonts w:ascii="Times New Roman" w:hAnsi="Times New Roman" w:cs="Times New Roman"/>
          <w:sz w:val="24"/>
          <w:szCs w:val="24"/>
        </w:rPr>
        <w:t>‘</w:t>
      </w:r>
      <w:r w:rsidRPr="004746DD">
        <w:rPr>
          <w:rFonts w:ascii="Times New Roman" w:hAnsi="Times New Roman" w:cs="Times New Roman"/>
          <w:sz w:val="24"/>
          <w:szCs w:val="24"/>
        </w:rPr>
        <w:t>almost absent</w:t>
      </w:r>
      <w:r>
        <w:rPr>
          <w:rFonts w:ascii="Times New Roman" w:hAnsi="Times New Roman" w:cs="Times New Roman"/>
          <w:sz w:val="24"/>
          <w:szCs w:val="24"/>
        </w:rPr>
        <w:t>’</w:t>
      </w:r>
      <w:r w:rsidRPr="004746DD">
        <w:rPr>
          <w:rFonts w:ascii="Times New Roman" w:hAnsi="Times New Roman" w:cs="Times New Roman"/>
          <w:sz w:val="24"/>
          <w:szCs w:val="24"/>
        </w:rPr>
        <w:t xml:space="preserve"> in the closed circle of CEOs</w:t>
      </w:r>
      <w:r>
        <w:rPr>
          <w:rFonts w:ascii="Times New Roman" w:hAnsi="Times New Roman" w:cs="Times New Roman"/>
          <w:sz w:val="24"/>
          <w:szCs w:val="24"/>
        </w:rPr>
        <w:t xml:space="preserve">: whereas </w:t>
      </w:r>
      <w:r w:rsidRPr="004746DD">
        <w:rPr>
          <w:rFonts w:ascii="Times New Roman" w:hAnsi="Times New Roman" w:cs="Times New Roman"/>
          <w:sz w:val="24"/>
          <w:szCs w:val="24"/>
        </w:rPr>
        <w:t>men held roughly 85 percent of management positions</w:t>
      </w:r>
      <w:r>
        <w:rPr>
          <w:rFonts w:ascii="Times New Roman" w:hAnsi="Times New Roman" w:cs="Times New Roman"/>
          <w:sz w:val="24"/>
          <w:szCs w:val="24"/>
        </w:rPr>
        <w:t xml:space="preserve">, the percentage of women </w:t>
      </w:r>
      <w:r w:rsidRPr="004746DD">
        <w:rPr>
          <w:rFonts w:ascii="Times New Roman" w:hAnsi="Times New Roman" w:cs="Times New Roman"/>
          <w:sz w:val="24"/>
          <w:szCs w:val="24"/>
        </w:rPr>
        <w:t xml:space="preserve">on boards of directors </w:t>
      </w:r>
      <w:r>
        <w:rPr>
          <w:rFonts w:ascii="Times New Roman" w:hAnsi="Times New Roman" w:cs="Times New Roman"/>
          <w:sz w:val="24"/>
          <w:szCs w:val="24"/>
        </w:rPr>
        <w:t>was an astounding 0 percent</w:t>
      </w:r>
      <w:r>
        <w:rPr>
          <w:rStyle w:val="FootnoteReference"/>
          <w:rFonts w:ascii="Times New Roman" w:hAnsi="Times New Roman" w:cs="Times New Roman"/>
          <w:sz w:val="24"/>
          <w:szCs w:val="24"/>
        </w:rPr>
        <w:footnoteReference w:id="62"/>
      </w:r>
      <w:r>
        <w:rPr>
          <w:rFonts w:ascii="Times New Roman" w:hAnsi="Times New Roman" w:cs="Times New Roman"/>
          <w:sz w:val="24"/>
          <w:szCs w:val="24"/>
        </w:rPr>
        <w:t xml:space="preserve">.  </w:t>
      </w:r>
    </w:p>
    <w:p w:rsidR="00957776" w:rsidRPr="00957776" w:rsidRDefault="005F34E3" w:rsidP="00957776">
      <w:pPr>
        <w:rPr>
          <w:rFonts w:ascii="Times New Roman" w:hAnsi="Times New Roman" w:cs="Times New Roman"/>
          <w:sz w:val="24"/>
          <w:szCs w:val="24"/>
        </w:rPr>
      </w:pPr>
      <w:r w:rsidRPr="005F34E3">
        <w:rPr>
          <w:rFonts w:ascii="Times New Roman" w:hAnsi="Times New Roman" w:cs="Times New Roman"/>
          <w:sz w:val="24"/>
          <w:szCs w:val="24"/>
        </w:rPr>
        <w:t xml:space="preserve">The paucity of women on boards around the world suggest that quotas may need to be introduced to produce the ‘step change’ required to get women on equal footing with men in terms of access to the most senior positions in companies. Indeed, the proportion of business leaders who support the idea of quotas has risen </w:t>
      </w:r>
      <w:r w:rsidR="00CE58BF">
        <w:rPr>
          <w:rFonts w:ascii="Times New Roman" w:hAnsi="Times New Roman" w:cs="Times New Roman"/>
          <w:sz w:val="24"/>
          <w:szCs w:val="24"/>
        </w:rPr>
        <w:t xml:space="preserve">in most </w:t>
      </w:r>
      <w:r w:rsidR="00BA3B69">
        <w:rPr>
          <w:rFonts w:ascii="Times New Roman" w:hAnsi="Times New Roman" w:cs="Times New Roman"/>
          <w:sz w:val="24"/>
          <w:szCs w:val="24"/>
        </w:rPr>
        <w:t xml:space="preserve">parts of the </w:t>
      </w:r>
      <w:r w:rsidR="0070054C">
        <w:rPr>
          <w:rFonts w:ascii="Times New Roman" w:hAnsi="Times New Roman" w:cs="Times New Roman"/>
          <w:sz w:val="24"/>
          <w:szCs w:val="24"/>
        </w:rPr>
        <w:t xml:space="preserve">world </w:t>
      </w:r>
      <w:r w:rsidRPr="005F34E3">
        <w:rPr>
          <w:rFonts w:ascii="Times New Roman" w:hAnsi="Times New Roman" w:cs="Times New Roman"/>
          <w:sz w:val="24"/>
          <w:szCs w:val="24"/>
        </w:rPr>
        <w:t>f</w:t>
      </w:r>
      <w:r>
        <w:rPr>
          <w:rFonts w:ascii="Times New Roman" w:hAnsi="Times New Roman" w:cs="Times New Roman"/>
          <w:sz w:val="24"/>
          <w:szCs w:val="24"/>
        </w:rPr>
        <w:t>rom 37% in 2013 to 45% in 2014</w:t>
      </w:r>
      <w:r>
        <w:rPr>
          <w:rStyle w:val="FootnoteReference"/>
          <w:rFonts w:ascii="Times New Roman" w:hAnsi="Times New Roman" w:cs="Times New Roman"/>
          <w:sz w:val="24"/>
          <w:szCs w:val="24"/>
        </w:rPr>
        <w:footnoteReference w:id="63"/>
      </w:r>
      <w:r w:rsidRPr="005F34E3">
        <w:rPr>
          <w:rFonts w:ascii="Times New Roman" w:hAnsi="Times New Roman" w:cs="Times New Roman"/>
          <w:sz w:val="24"/>
          <w:szCs w:val="24"/>
        </w:rPr>
        <w:t xml:space="preserve">. </w:t>
      </w:r>
      <w:r w:rsidR="0070054C">
        <w:rPr>
          <w:rFonts w:ascii="Times New Roman" w:hAnsi="Times New Roman" w:cs="Times New Roman"/>
          <w:sz w:val="24"/>
          <w:szCs w:val="24"/>
        </w:rPr>
        <w:t>At the same time, q</w:t>
      </w:r>
      <w:r w:rsidRPr="005F34E3">
        <w:rPr>
          <w:rFonts w:ascii="Times New Roman" w:hAnsi="Times New Roman" w:cs="Times New Roman"/>
          <w:sz w:val="24"/>
          <w:szCs w:val="24"/>
        </w:rPr>
        <w:t>uotas can be controversial and some women have been hesitant to be seen in a tokenistic light rather than for their individual talent</w:t>
      </w:r>
      <w:r w:rsidR="001E4616">
        <w:rPr>
          <w:rStyle w:val="FootnoteReference"/>
          <w:rFonts w:ascii="Times New Roman" w:hAnsi="Times New Roman" w:cs="Times New Roman"/>
          <w:sz w:val="24"/>
          <w:szCs w:val="24"/>
        </w:rPr>
        <w:footnoteReference w:id="64"/>
      </w:r>
      <w:r w:rsidRPr="005F34E3">
        <w:rPr>
          <w:rFonts w:ascii="Times New Roman" w:hAnsi="Times New Roman" w:cs="Times New Roman"/>
          <w:sz w:val="24"/>
          <w:szCs w:val="24"/>
        </w:rPr>
        <w:t xml:space="preserve">. </w:t>
      </w:r>
      <w:r w:rsidR="006E5381">
        <w:rPr>
          <w:rFonts w:ascii="Times New Roman" w:hAnsi="Times New Roman" w:cs="Times New Roman"/>
          <w:sz w:val="24"/>
          <w:szCs w:val="24"/>
        </w:rPr>
        <w:t xml:space="preserve">Among women opposing quotas in corporate and public institution governance, some compare quotas to </w:t>
      </w:r>
      <w:r w:rsidR="00E0342D" w:rsidRPr="00CD0DE0">
        <w:rPr>
          <w:rFonts w:ascii="Times New Roman" w:hAnsi="Times New Roman" w:cs="Times New Roman"/>
          <w:sz w:val="24"/>
          <w:szCs w:val="24"/>
        </w:rPr>
        <w:t xml:space="preserve">‘charity’ measures </w:t>
      </w:r>
      <w:r w:rsidR="006E5381">
        <w:rPr>
          <w:rFonts w:ascii="Times New Roman" w:hAnsi="Times New Roman" w:cs="Times New Roman"/>
          <w:sz w:val="24"/>
          <w:szCs w:val="24"/>
        </w:rPr>
        <w:t>that</w:t>
      </w:r>
      <w:r w:rsidR="00E0342D" w:rsidRPr="00CD0DE0">
        <w:rPr>
          <w:rFonts w:ascii="Times New Roman" w:hAnsi="Times New Roman" w:cs="Times New Roman"/>
          <w:sz w:val="24"/>
          <w:szCs w:val="24"/>
        </w:rPr>
        <w:t xml:space="preserve"> undermine women’s ability to command respect </w:t>
      </w:r>
      <w:r w:rsidR="0055612A">
        <w:rPr>
          <w:rFonts w:ascii="Times New Roman" w:hAnsi="Times New Roman" w:cs="Times New Roman"/>
          <w:sz w:val="24"/>
          <w:szCs w:val="24"/>
        </w:rPr>
        <w:t>as leaders in organizations and industries (such as extractive industries) that</w:t>
      </w:r>
      <w:r w:rsidR="00E0342D" w:rsidRPr="00CD0DE0">
        <w:rPr>
          <w:rFonts w:ascii="Times New Roman" w:hAnsi="Times New Roman" w:cs="Times New Roman"/>
          <w:sz w:val="24"/>
          <w:szCs w:val="24"/>
        </w:rPr>
        <w:t xml:space="preserve"> are already dominated by male figures who </w:t>
      </w:r>
      <w:r w:rsidR="0055612A">
        <w:rPr>
          <w:rFonts w:ascii="Times New Roman" w:hAnsi="Times New Roman" w:cs="Times New Roman"/>
          <w:sz w:val="24"/>
          <w:szCs w:val="24"/>
        </w:rPr>
        <w:t xml:space="preserve">continue to </w:t>
      </w:r>
      <w:r w:rsidR="00E0342D" w:rsidRPr="00CD0DE0">
        <w:rPr>
          <w:rFonts w:ascii="Times New Roman" w:hAnsi="Times New Roman" w:cs="Times New Roman"/>
          <w:sz w:val="24"/>
          <w:szCs w:val="24"/>
        </w:rPr>
        <w:t xml:space="preserve">determine rules of engagement </w:t>
      </w:r>
      <w:r w:rsidR="0055612A">
        <w:rPr>
          <w:rFonts w:ascii="Times New Roman" w:hAnsi="Times New Roman" w:cs="Times New Roman"/>
          <w:sz w:val="24"/>
          <w:szCs w:val="24"/>
        </w:rPr>
        <w:t xml:space="preserve">in many </w:t>
      </w:r>
      <w:r w:rsidR="00D3515E">
        <w:rPr>
          <w:rFonts w:ascii="Times New Roman" w:hAnsi="Times New Roman" w:cs="Times New Roman"/>
          <w:sz w:val="24"/>
          <w:szCs w:val="24"/>
        </w:rPr>
        <w:t>respect</w:t>
      </w:r>
      <w:r w:rsidR="00D3515E" w:rsidRPr="00CD0DE0">
        <w:rPr>
          <w:rStyle w:val="FootnoteReference"/>
          <w:rFonts w:ascii="Times New Roman" w:hAnsi="Times New Roman" w:cs="Times New Roman"/>
          <w:sz w:val="24"/>
          <w:szCs w:val="24"/>
        </w:rPr>
        <w:footnoteReference w:id="65"/>
      </w:r>
      <w:r w:rsidR="00E0342D" w:rsidRPr="00CD0DE0">
        <w:rPr>
          <w:rFonts w:ascii="Times New Roman" w:hAnsi="Times New Roman" w:cs="Times New Roman"/>
          <w:sz w:val="24"/>
          <w:szCs w:val="24"/>
        </w:rPr>
        <w:t xml:space="preserve">. </w:t>
      </w:r>
      <w:r w:rsidR="00D3515E">
        <w:rPr>
          <w:rFonts w:ascii="Times New Roman" w:hAnsi="Times New Roman" w:cs="Times New Roman"/>
          <w:sz w:val="24"/>
          <w:szCs w:val="24"/>
        </w:rPr>
        <w:t>In this logic, unlike men and other women that are hired without intervention</w:t>
      </w:r>
      <w:r w:rsidR="009B5BDD">
        <w:rPr>
          <w:rFonts w:ascii="Times New Roman" w:hAnsi="Times New Roman" w:cs="Times New Roman"/>
          <w:sz w:val="24"/>
          <w:szCs w:val="24"/>
        </w:rPr>
        <w:t>,</w:t>
      </w:r>
      <w:r w:rsidR="00D3515E">
        <w:rPr>
          <w:rFonts w:ascii="Times New Roman" w:hAnsi="Times New Roman" w:cs="Times New Roman"/>
          <w:sz w:val="24"/>
          <w:szCs w:val="24"/>
        </w:rPr>
        <w:t xml:space="preserve"> women </w:t>
      </w:r>
      <w:r w:rsidR="00814D3C">
        <w:rPr>
          <w:rFonts w:ascii="Times New Roman" w:hAnsi="Times New Roman" w:cs="Times New Roman"/>
          <w:sz w:val="24"/>
          <w:szCs w:val="24"/>
        </w:rPr>
        <w:t xml:space="preserve">leaders </w:t>
      </w:r>
      <w:r w:rsidR="009C62D0">
        <w:rPr>
          <w:rFonts w:ascii="Times New Roman" w:hAnsi="Times New Roman" w:cs="Times New Roman"/>
          <w:sz w:val="24"/>
          <w:szCs w:val="24"/>
        </w:rPr>
        <w:t>benefiting</w:t>
      </w:r>
      <w:r w:rsidR="00814D3C">
        <w:rPr>
          <w:rFonts w:ascii="Times New Roman" w:hAnsi="Times New Roman" w:cs="Times New Roman"/>
          <w:sz w:val="24"/>
          <w:szCs w:val="24"/>
        </w:rPr>
        <w:t xml:space="preserve"> from </w:t>
      </w:r>
      <w:r w:rsidR="00D3515E">
        <w:rPr>
          <w:rFonts w:ascii="Times New Roman" w:hAnsi="Times New Roman" w:cs="Times New Roman"/>
          <w:sz w:val="24"/>
          <w:szCs w:val="24"/>
        </w:rPr>
        <w:t>quota seats might compromise their</w:t>
      </w:r>
      <w:r w:rsidR="00E0342D" w:rsidRPr="00CD0DE0">
        <w:rPr>
          <w:rFonts w:ascii="Times New Roman" w:hAnsi="Times New Roman" w:cs="Times New Roman"/>
          <w:sz w:val="24"/>
          <w:szCs w:val="24"/>
        </w:rPr>
        <w:t xml:space="preserve"> ability to advance issues </w:t>
      </w:r>
      <w:r w:rsidR="00D3515E">
        <w:rPr>
          <w:rFonts w:ascii="Times New Roman" w:hAnsi="Times New Roman" w:cs="Times New Roman"/>
          <w:sz w:val="24"/>
          <w:szCs w:val="24"/>
        </w:rPr>
        <w:t>in public and private organizations that can</w:t>
      </w:r>
      <w:r w:rsidR="00E0342D" w:rsidRPr="00CD0DE0">
        <w:rPr>
          <w:rFonts w:ascii="Times New Roman" w:hAnsi="Times New Roman" w:cs="Times New Roman"/>
          <w:sz w:val="24"/>
          <w:szCs w:val="24"/>
        </w:rPr>
        <w:t xml:space="preserve"> benefit fellow women </w:t>
      </w:r>
      <w:r w:rsidR="00D3515E">
        <w:rPr>
          <w:rFonts w:ascii="Times New Roman" w:hAnsi="Times New Roman" w:cs="Times New Roman"/>
          <w:sz w:val="24"/>
          <w:szCs w:val="24"/>
        </w:rPr>
        <w:t>in the workforce</w:t>
      </w:r>
      <w:r w:rsidR="00E0342D" w:rsidRPr="00CD0DE0">
        <w:rPr>
          <w:rStyle w:val="FootnoteReference"/>
          <w:rFonts w:ascii="Times New Roman" w:hAnsi="Times New Roman" w:cs="Times New Roman"/>
          <w:sz w:val="24"/>
          <w:szCs w:val="24"/>
        </w:rPr>
        <w:footnoteReference w:id="66"/>
      </w:r>
      <w:r w:rsidR="00E0342D" w:rsidRPr="00CD0DE0">
        <w:rPr>
          <w:rFonts w:ascii="Times New Roman" w:hAnsi="Times New Roman" w:cs="Times New Roman"/>
          <w:sz w:val="24"/>
          <w:szCs w:val="24"/>
        </w:rPr>
        <w:t>.</w:t>
      </w:r>
      <w:r w:rsidR="006E5381">
        <w:rPr>
          <w:rFonts w:ascii="Times New Roman" w:hAnsi="Times New Roman" w:cs="Times New Roman"/>
          <w:sz w:val="24"/>
          <w:szCs w:val="24"/>
        </w:rPr>
        <w:t xml:space="preserve"> </w:t>
      </w:r>
      <w:r w:rsidR="00814D3C">
        <w:rPr>
          <w:rFonts w:ascii="Times New Roman" w:hAnsi="Times New Roman" w:cs="Times New Roman"/>
          <w:sz w:val="24"/>
          <w:szCs w:val="24"/>
        </w:rPr>
        <w:t xml:space="preserve">Some even go as far as saying that quotas in favor of </w:t>
      </w:r>
      <w:r w:rsidR="009B5BDD" w:rsidRPr="00CD0DE0">
        <w:rPr>
          <w:rFonts w:ascii="Times New Roman" w:hAnsi="Times New Roman" w:cs="Times New Roman"/>
          <w:sz w:val="24"/>
          <w:szCs w:val="24"/>
        </w:rPr>
        <w:t xml:space="preserve">disenfranchised groups </w:t>
      </w:r>
      <w:r w:rsidR="00814D3C">
        <w:rPr>
          <w:rFonts w:ascii="Times New Roman" w:hAnsi="Times New Roman" w:cs="Times New Roman"/>
          <w:sz w:val="24"/>
          <w:szCs w:val="24"/>
        </w:rPr>
        <w:t xml:space="preserve">such </w:t>
      </w:r>
      <w:r w:rsidR="00814D3C">
        <w:rPr>
          <w:rFonts w:ascii="Times New Roman" w:hAnsi="Times New Roman" w:cs="Times New Roman"/>
          <w:sz w:val="24"/>
          <w:szCs w:val="24"/>
        </w:rPr>
        <w:lastRenderedPageBreak/>
        <w:t>as women could be</w:t>
      </w:r>
      <w:r w:rsidR="009B5BDD" w:rsidRPr="00CD0DE0">
        <w:rPr>
          <w:rFonts w:ascii="Times New Roman" w:hAnsi="Times New Roman" w:cs="Times New Roman"/>
          <w:sz w:val="24"/>
          <w:szCs w:val="24"/>
        </w:rPr>
        <w:t xml:space="preserve"> considered as the starting point of </w:t>
      </w:r>
      <w:r w:rsidR="009C62D0">
        <w:rPr>
          <w:rFonts w:ascii="Times New Roman" w:hAnsi="Times New Roman" w:cs="Times New Roman"/>
          <w:sz w:val="24"/>
          <w:szCs w:val="24"/>
        </w:rPr>
        <w:t xml:space="preserve">some sort of </w:t>
      </w:r>
      <w:r w:rsidR="009B5BDD" w:rsidRPr="00CD0DE0">
        <w:rPr>
          <w:rFonts w:ascii="Times New Roman" w:hAnsi="Times New Roman" w:cs="Times New Roman"/>
          <w:sz w:val="24"/>
          <w:szCs w:val="24"/>
        </w:rPr>
        <w:t>reversed discrimination</w:t>
      </w:r>
      <w:r w:rsidR="009B5BDD" w:rsidRPr="00CD0DE0">
        <w:rPr>
          <w:rStyle w:val="FootnoteReference"/>
          <w:rFonts w:ascii="Times New Roman" w:hAnsi="Times New Roman" w:cs="Times New Roman"/>
          <w:sz w:val="24"/>
          <w:szCs w:val="24"/>
        </w:rPr>
        <w:footnoteReference w:id="67"/>
      </w:r>
      <w:r w:rsidR="009B5BDD" w:rsidRPr="00CD0DE0">
        <w:rPr>
          <w:rFonts w:ascii="Times New Roman" w:hAnsi="Times New Roman" w:cs="Times New Roman"/>
          <w:sz w:val="24"/>
          <w:szCs w:val="24"/>
        </w:rPr>
        <w:t>.</w:t>
      </w:r>
      <w:r w:rsidR="00814D3C">
        <w:rPr>
          <w:rFonts w:ascii="Times New Roman" w:hAnsi="Times New Roman" w:cs="Times New Roman"/>
          <w:sz w:val="24"/>
          <w:szCs w:val="24"/>
        </w:rPr>
        <w:t xml:space="preserve"> </w:t>
      </w:r>
      <w:r w:rsidR="009C62D0">
        <w:rPr>
          <w:rFonts w:ascii="Times New Roman" w:hAnsi="Times New Roman" w:cs="Times New Roman"/>
          <w:sz w:val="24"/>
          <w:szCs w:val="24"/>
        </w:rPr>
        <w:t xml:space="preserve">Another important critique of quota systems </w:t>
      </w:r>
      <w:r w:rsidR="009C62D0" w:rsidRPr="009C62D0">
        <w:rPr>
          <w:rFonts w:ascii="Times New Roman" w:hAnsi="Times New Roman" w:cs="Times New Roman"/>
          <w:sz w:val="24"/>
          <w:szCs w:val="24"/>
        </w:rPr>
        <w:t xml:space="preserve">in politics as well as in business is that as some </w:t>
      </w:r>
      <w:r w:rsidR="00A23E00">
        <w:rPr>
          <w:rFonts w:ascii="Times New Roman" w:hAnsi="Times New Roman" w:cs="Times New Roman"/>
          <w:sz w:val="24"/>
          <w:szCs w:val="24"/>
        </w:rPr>
        <w:t>organizations reach or approach</w:t>
      </w:r>
      <w:r w:rsidR="009C62D0" w:rsidRPr="009C62D0">
        <w:rPr>
          <w:rFonts w:ascii="Times New Roman" w:hAnsi="Times New Roman" w:cs="Times New Roman"/>
          <w:sz w:val="24"/>
          <w:szCs w:val="24"/>
        </w:rPr>
        <w:t xml:space="preserve"> mandated quotas they may resist the idea of hiring and integrating more qualified women. </w:t>
      </w:r>
      <w:r w:rsidR="00E33652">
        <w:rPr>
          <w:rFonts w:ascii="Times New Roman" w:hAnsi="Times New Roman" w:cs="Times New Roman"/>
          <w:sz w:val="24"/>
          <w:szCs w:val="24"/>
        </w:rPr>
        <w:t xml:space="preserve"> </w:t>
      </w:r>
    </w:p>
    <w:p w:rsidR="002323A7" w:rsidRDefault="002323A7" w:rsidP="00A86FB6">
      <w:pPr>
        <w:pStyle w:val="ListParagraph"/>
        <w:ind w:left="1080"/>
        <w:rPr>
          <w:rFonts w:ascii="Times New Roman" w:hAnsi="Times New Roman" w:cs="Times New Roman"/>
          <w:i/>
          <w:sz w:val="28"/>
          <w:szCs w:val="28"/>
        </w:rPr>
      </w:pPr>
    </w:p>
    <w:p w:rsidR="009E0500" w:rsidRDefault="00A86FB6" w:rsidP="00A86FB6">
      <w:pPr>
        <w:pStyle w:val="ListParagraph"/>
        <w:ind w:left="1080"/>
        <w:rPr>
          <w:rFonts w:ascii="Times New Roman" w:hAnsi="Times New Roman" w:cs="Times New Roman"/>
          <w:i/>
          <w:sz w:val="28"/>
          <w:szCs w:val="28"/>
        </w:rPr>
      </w:pPr>
      <w:r w:rsidRPr="00A86FB6">
        <w:rPr>
          <w:rFonts w:ascii="Times New Roman" w:hAnsi="Times New Roman" w:cs="Times New Roman"/>
          <w:i/>
          <w:sz w:val="28"/>
          <w:szCs w:val="28"/>
        </w:rPr>
        <w:t>3.</w:t>
      </w:r>
      <w:r>
        <w:rPr>
          <w:rFonts w:ascii="Times New Roman" w:hAnsi="Times New Roman" w:cs="Times New Roman"/>
          <w:i/>
          <w:sz w:val="28"/>
          <w:szCs w:val="28"/>
        </w:rPr>
        <w:t>4</w:t>
      </w:r>
      <w:r w:rsidRPr="00A86FB6">
        <w:rPr>
          <w:rFonts w:ascii="Times New Roman" w:hAnsi="Times New Roman" w:cs="Times New Roman"/>
          <w:i/>
          <w:sz w:val="28"/>
          <w:szCs w:val="28"/>
        </w:rPr>
        <w:t xml:space="preserve"> </w:t>
      </w:r>
      <w:r w:rsidR="00780613">
        <w:rPr>
          <w:rFonts w:ascii="Times New Roman" w:hAnsi="Times New Roman" w:cs="Times New Roman"/>
          <w:i/>
          <w:sz w:val="28"/>
          <w:szCs w:val="28"/>
        </w:rPr>
        <w:t>Policy Recommendations and Best Practices</w:t>
      </w:r>
      <w:r w:rsidR="00780613">
        <w:rPr>
          <w:rFonts w:ascii="Times New Roman" w:hAnsi="Times New Roman" w:cs="Times New Roman"/>
          <w:i/>
          <w:sz w:val="28"/>
          <w:szCs w:val="28"/>
        </w:rPr>
        <w:tab/>
      </w:r>
    </w:p>
    <w:p w:rsidR="002323A7" w:rsidRPr="00D85B26" w:rsidRDefault="00D85B26" w:rsidP="00D85B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 the following recommendations and best practices are not exhaustive, they provide a few practical points for further reflection and learning:</w:t>
      </w:r>
    </w:p>
    <w:p w:rsidR="0000185A" w:rsidRDefault="0000185A" w:rsidP="0000185A">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usage of board room quotas, as witnessed in South Africa since the early 2000s, has been a major success. Not only are gender based quotas empowering qualified and leadership-ready women in major corporations, but it is also enabling women to progress in the extractive industries at a significant pace. </w:t>
      </w:r>
    </w:p>
    <w:p w:rsidR="0000185A" w:rsidRDefault="00780613" w:rsidP="0000185A">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2323A7">
        <w:rPr>
          <w:rFonts w:ascii="Times New Roman" w:hAnsi="Times New Roman" w:cs="Times New Roman"/>
          <w:sz w:val="24"/>
          <w:szCs w:val="24"/>
        </w:rPr>
        <w:t>At the regional level, organizations such as the Duke Corporation, a leader in custom executive education is promoting women executive leadership in the private sector by building a Pan-African bench or board of directors for the continent and providing networking opportunities for women</w:t>
      </w:r>
      <w:r w:rsidRPr="00CD0DE0">
        <w:rPr>
          <w:rStyle w:val="FootnoteReference"/>
          <w:rFonts w:ascii="Times New Roman" w:hAnsi="Times New Roman" w:cs="Times New Roman"/>
          <w:sz w:val="24"/>
          <w:szCs w:val="24"/>
        </w:rPr>
        <w:footnoteReference w:id="68"/>
      </w:r>
      <w:r w:rsidRPr="002323A7">
        <w:rPr>
          <w:rFonts w:ascii="Times New Roman" w:hAnsi="Times New Roman" w:cs="Times New Roman"/>
          <w:sz w:val="24"/>
          <w:szCs w:val="24"/>
        </w:rPr>
        <w:t xml:space="preserve">.  </w:t>
      </w:r>
    </w:p>
    <w:p w:rsidR="00780613" w:rsidRDefault="00780613" w:rsidP="0000185A">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2323A7">
        <w:rPr>
          <w:rFonts w:ascii="Times New Roman" w:hAnsi="Times New Roman" w:cs="Times New Roman"/>
          <w:sz w:val="24"/>
          <w:szCs w:val="24"/>
        </w:rPr>
        <w:t>The Coca-Cola Company, in growing its Micro Distribution Centers, has committed that 50% of all new centers will be managed by women hoping to provide much needed advantage to women leaders in business and those interested in entrepreneurship</w:t>
      </w:r>
      <w:r w:rsidRPr="00CD0DE0">
        <w:rPr>
          <w:rStyle w:val="FootnoteReference"/>
          <w:rFonts w:ascii="Times New Roman" w:hAnsi="Times New Roman" w:cs="Times New Roman"/>
          <w:sz w:val="24"/>
          <w:szCs w:val="24"/>
        </w:rPr>
        <w:footnoteReference w:id="69"/>
      </w:r>
      <w:r w:rsidRPr="002323A7">
        <w:rPr>
          <w:rFonts w:ascii="Times New Roman" w:hAnsi="Times New Roman" w:cs="Times New Roman"/>
          <w:sz w:val="24"/>
          <w:szCs w:val="24"/>
        </w:rPr>
        <w:t xml:space="preserve">. </w:t>
      </w:r>
    </w:p>
    <w:p w:rsidR="00611AD3" w:rsidRPr="00611AD3" w:rsidRDefault="0000185A" w:rsidP="00611AD3">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3807D1">
        <w:rPr>
          <w:rFonts w:ascii="Times New Roman" w:hAnsi="Times New Roman" w:cs="Times New Roman"/>
          <w:sz w:val="24"/>
          <w:szCs w:val="24"/>
        </w:rPr>
        <w:t>From the Kenyan, Malawian and Moroccan cases, one would note that designating legal quotas without implementing them does not bring about any desired change in respect to gender equality and women’s empowerment: Policy reform must be accomp</w:t>
      </w:r>
      <w:r w:rsidR="003807D1" w:rsidRPr="003807D1">
        <w:rPr>
          <w:rFonts w:ascii="Times New Roman" w:hAnsi="Times New Roman" w:cs="Times New Roman"/>
          <w:sz w:val="24"/>
          <w:szCs w:val="24"/>
        </w:rPr>
        <w:t xml:space="preserve">anied with political will and practical application of the law, to change the </w:t>
      </w:r>
      <w:r w:rsidR="003807D1" w:rsidRPr="00611AD3">
        <w:rPr>
          <w:rFonts w:ascii="Times New Roman" w:hAnsi="Times New Roman" w:cs="Times New Roman"/>
          <w:sz w:val="24"/>
          <w:szCs w:val="24"/>
        </w:rPr>
        <w:t xml:space="preserve">status quo. From the Kenya example, we would also retain that hiring practices must change to reflect the optimal level of inclusion that an organization and nation of laws expect to accomplish.  </w:t>
      </w:r>
    </w:p>
    <w:p w:rsidR="00611AD3" w:rsidRPr="00611AD3" w:rsidRDefault="00611AD3" w:rsidP="00611AD3">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611AD3">
        <w:rPr>
          <w:rFonts w:ascii="Times New Roman" w:hAnsi="Times New Roman" w:cs="Times New Roman"/>
          <w:sz w:val="24"/>
          <w:szCs w:val="24"/>
        </w:rPr>
        <w:t>To raise awareness and increase women leadership roles in non-traditional careers (i.e. finance, etc.), African governments, international partners, as well as local and international non-governmental and private organizations have been working diligently to develop educational and mentoring programs in Science, Technology, Engineering, and Math (STEM) in support of young women’s education and career advancement in otherwise male dominated sectors;</w:t>
      </w:r>
    </w:p>
    <w:p w:rsidR="00611AD3" w:rsidRDefault="00611AD3" w:rsidP="00611AD3">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611AD3">
        <w:rPr>
          <w:rFonts w:ascii="Times New Roman" w:hAnsi="Times New Roman" w:cs="Times New Roman"/>
          <w:sz w:val="24"/>
          <w:szCs w:val="24"/>
        </w:rPr>
        <w:t xml:space="preserve">In Mozambique, since 2004, through cooperation between the Ministry of Education and Culture and UNIDO an Entrepreneurship Curriculum Programme (ECP) has been started for secondary and technical and vocational schools. As a result of it many </w:t>
      </w:r>
      <w:r w:rsidRPr="00611AD3">
        <w:rPr>
          <w:rFonts w:ascii="Times New Roman" w:hAnsi="Times New Roman" w:cs="Times New Roman"/>
          <w:sz w:val="24"/>
          <w:szCs w:val="24"/>
        </w:rPr>
        <w:lastRenderedPageBreak/>
        <w:t>young women have been empowered to pursue careers and various business projects and initiatives have come from it</w:t>
      </w:r>
      <w:r w:rsidRPr="00611AD3">
        <w:rPr>
          <w:rStyle w:val="FootnoteReference"/>
          <w:rFonts w:ascii="Times New Roman" w:hAnsi="Times New Roman" w:cs="Times New Roman"/>
          <w:sz w:val="24"/>
          <w:szCs w:val="24"/>
        </w:rPr>
        <w:footnoteReference w:id="70"/>
      </w:r>
      <w:r>
        <w:rPr>
          <w:rFonts w:ascii="Times New Roman" w:hAnsi="Times New Roman" w:cs="Times New Roman"/>
          <w:sz w:val="24"/>
          <w:szCs w:val="24"/>
        </w:rPr>
        <w:t xml:space="preserve">.  </w:t>
      </w:r>
    </w:p>
    <w:p w:rsidR="00A5366E" w:rsidRPr="00611AD3" w:rsidRDefault="00A5366E" w:rsidP="00611AD3">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611AD3">
        <w:rPr>
          <w:rFonts w:ascii="Times New Roman" w:hAnsi="Times New Roman" w:cs="Times New Roman"/>
          <w:sz w:val="24"/>
          <w:szCs w:val="24"/>
        </w:rPr>
        <w:t>As multinational companies increasingly search for growth in emerging economies, they should explicitly focus on breaking down barriers and creating leadership and other opportunities for women. Companies that recognize women’s empowerment as a critical move toward increasing labor-force productivity and expanding their customer base and distribution networks will enjoy a competitive advantage</w:t>
      </w:r>
      <w:r>
        <w:rPr>
          <w:rStyle w:val="FootnoteReference"/>
          <w:rFonts w:ascii="Times New Roman" w:hAnsi="Times New Roman" w:cs="Times New Roman"/>
          <w:sz w:val="24"/>
          <w:szCs w:val="24"/>
        </w:rPr>
        <w:footnoteReference w:id="71"/>
      </w:r>
      <w:r w:rsidR="00611AD3">
        <w:rPr>
          <w:rFonts w:ascii="Times New Roman" w:hAnsi="Times New Roman" w:cs="Times New Roman"/>
          <w:sz w:val="24"/>
          <w:szCs w:val="24"/>
        </w:rPr>
        <w:t xml:space="preserve">. </w:t>
      </w:r>
    </w:p>
    <w:p w:rsidR="00780613" w:rsidRPr="00611AD3" w:rsidRDefault="00780613" w:rsidP="00611AD3">
      <w:pPr>
        <w:rPr>
          <w:rFonts w:ascii="Times New Roman" w:hAnsi="Times New Roman" w:cs="Times New Roman"/>
          <w:i/>
          <w:sz w:val="28"/>
          <w:szCs w:val="28"/>
        </w:rPr>
      </w:pPr>
    </w:p>
    <w:sectPr w:rsidR="00780613" w:rsidRPr="00611AD3" w:rsidSect="00CE37D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B0" w:rsidRDefault="00C144B0" w:rsidP="00703690">
      <w:pPr>
        <w:spacing w:after="0" w:line="240" w:lineRule="auto"/>
      </w:pPr>
      <w:r>
        <w:separator/>
      </w:r>
    </w:p>
  </w:endnote>
  <w:endnote w:type="continuationSeparator" w:id="0">
    <w:p w:rsidR="00C144B0" w:rsidRDefault="00C144B0" w:rsidP="0070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748385"/>
      <w:docPartObj>
        <w:docPartGallery w:val="Page Numbers (Bottom of Page)"/>
        <w:docPartUnique/>
      </w:docPartObj>
    </w:sdtPr>
    <w:sdtEndPr>
      <w:rPr>
        <w:noProof/>
      </w:rPr>
    </w:sdtEndPr>
    <w:sdtContent>
      <w:p w:rsidR="00C144B0" w:rsidRDefault="00C144B0">
        <w:pPr>
          <w:pStyle w:val="Footer"/>
          <w:jc w:val="center"/>
        </w:pPr>
        <w:r>
          <w:fldChar w:fldCharType="begin"/>
        </w:r>
        <w:r>
          <w:instrText xml:space="preserve"> PAGE   \* MERGEFORMAT </w:instrText>
        </w:r>
        <w:r>
          <w:fldChar w:fldCharType="separate"/>
        </w:r>
        <w:r w:rsidR="00E0675A">
          <w:rPr>
            <w:noProof/>
          </w:rPr>
          <w:t>18</w:t>
        </w:r>
        <w:r>
          <w:rPr>
            <w:noProof/>
          </w:rPr>
          <w:fldChar w:fldCharType="end"/>
        </w:r>
      </w:p>
    </w:sdtContent>
  </w:sdt>
  <w:p w:rsidR="00C144B0" w:rsidRDefault="00C144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B0" w:rsidRDefault="00C144B0" w:rsidP="00703690">
      <w:pPr>
        <w:spacing w:after="0" w:line="240" w:lineRule="auto"/>
      </w:pPr>
      <w:r>
        <w:separator/>
      </w:r>
    </w:p>
  </w:footnote>
  <w:footnote w:type="continuationSeparator" w:id="0">
    <w:p w:rsidR="00C144B0" w:rsidRDefault="00C144B0" w:rsidP="00703690">
      <w:pPr>
        <w:spacing w:after="0" w:line="240" w:lineRule="auto"/>
      </w:pPr>
      <w:r>
        <w:continuationSeparator/>
      </w:r>
    </w:p>
  </w:footnote>
  <w:footnote w:id="1">
    <w:p w:rsidR="00C144B0" w:rsidRPr="00D44363" w:rsidRDefault="00C144B0">
      <w:pPr>
        <w:pStyle w:val="FootnoteText"/>
        <w:rPr>
          <w:sz w:val="18"/>
          <w:szCs w:val="18"/>
        </w:rPr>
      </w:pPr>
      <w:r>
        <w:rPr>
          <w:rStyle w:val="FootnoteReference"/>
        </w:rPr>
        <w:footnoteRef/>
      </w:r>
      <w:r>
        <w:t xml:space="preserve"> </w:t>
      </w:r>
      <w:r w:rsidRPr="00D44363">
        <w:rPr>
          <w:sz w:val="18"/>
          <w:szCs w:val="18"/>
        </w:rPr>
        <w:t xml:space="preserve">Solidarity for African Women's Rights (SOAWR). (2013). </w:t>
      </w:r>
      <w:r w:rsidRPr="00D44363">
        <w:rPr>
          <w:i/>
          <w:iCs/>
          <w:sz w:val="18"/>
          <w:szCs w:val="18"/>
        </w:rPr>
        <w:t>Journey to Equality: 10 years of the Protocol on the rights of women in Africa</w:t>
      </w:r>
      <w:r w:rsidRPr="00D44363">
        <w:rPr>
          <w:sz w:val="18"/>
          <w:szCs w:val="18"/>
        </w:rPr>
        <w:t>, Retrieved from http://www.equalitynow.org/sites/default/files/MaputoProtocol_JourneytoEquality.pdf</w:t>
      </w:r>
    </w:p>
  </w:footnote>
  <w:footnote w:id="2">
    <w:p w:rsidR="00C144B0" w:rsidRPr="00D44363" w:rsidRDefault="00C144B0">
      <w:pPr>
        <w:pStyle w:val="FootnoteText"/>
        <w:rPr>
          <w:sz w:val="18"/>
          <w:szCs w:val="18"/>
        </w:rPr>
      </w:pPr>
      <w:r w:rsidRPr="00D44363">
        <w:rPr>
          <w:rStyle w:val="FootnoteReference"/>
          <w:sz w:val="18"/>
          <w:szCs w:val="18"/>
        </w:rPr>
        <w:footnoteRef/>
      </w:r>
      <w:r w:rsidRPr="00D44363">
        <w:rPr>
          <w:sz w:val="18"/>
          <w:szCs w:val="18"/>
        </w:rPr>
        <w:t xml:space="preserve"> African Union. (n.d.). </w:t>
      </w:r>
      <w:r w:rsidRPr="00D44363">
        <w:rPr>
          <w:i/>
          <w:iCs/>
          <w:sz w:val="18"/>
          <w:szCs w:val="18"/>
        </w:rPr>
        <w:t>Protocol to the African charter on human and</w:t>
      </w:r>
      <w:r w:rsidRPr="00D44363">
        <w:rPr>
          <w:sz w:val="18"/>
          <w:szCs w:val="18"/>
        </w:rPr>
        <w:t>. Retrieved from http://www.achpr.org/files/instruments/women-protocol/achpr_instr_proto_women_eng.pdf</w:t>
      </w:r>
    </w:p>
  </w:footnote>
  <w:footnote w:id="3">
    <w:p w:rsidR="00C144B0" w:rsidRPr="00797370" w:rsidRDefault="00C144B0" w:rsidP="001828F1">
      <w:pPr>
        <w:pStyle w:val="FootnoteText"/>
        <w:rPr>
          <w:sz w:val="18"/>
          <w:szCs w:val="18"/>
        </w:rPr>
      </w:pPr>
      <w:r w:rsidRPr="00797370">
        <w:rPr>
          <w:rStyle w:val="FootnoteReference"/>
          <w:sz w:val="18"/>
          <w:szCs w:val="18"/>
        </w:rPr>
        <w:footnoteRef/>
      </w:r>
      <w:r w:rsidRPr="00797370">
        <w:rPr>
          <w:sz w:val="18"/>
          <w:szCs w:val="18"/>
        </w:rPr>
        <w:t xml:space="preserve"> World Bank. (2015). </w:t>
      </w:r>
      <w:r w:rsidRPr="00797370">
        <w:rPr>
          <w:i/>
          <w:iCs/>
          <w:sz w:val="18"/>
          <w:szCs w:val="18"/>
        </w:rPr>
        <w:t>Share of women employed in the nonagricultural sector (% of total nonagricultural employment)</w:t>
      </w:r>
      <w:r w:rsidRPr="00797370">
        <w:rPr>
          <w:sz w:val="18"/>
          <w:szCs w:val="18"/>
        </w:rPr>
        <w:t>. Retrieved from http://data.worldbank.org/indicator/SL.EMP.INSV.FE.ZS/</w:t>
      </w:r>
    </w:p>
  </w:footnote>
  <w:footnote w:id="4">
    <w:p w:rsidR="00C144B0" w:rsidRDefault="00C144B0">
      <w:pPr>
        <w:pStyle w:val="FootnoteText"/>
      </w:pPr>
      <w:r w:rsidRPr="00797370">
        <w:rPr>
          <w:rStyle w:val="FootnoteReference"/>
          <w:sz w:val="18"/>
          <w:szCs w:val="18"/>
        </w:rPr>
        <w:footnoteRef/>
      </w:r>
      <w:r w:rsidRPr="00797370">
        <w:rPr>
          <w:sz w:val="18"/>
          <w:szCs w:val="18"/>
        </w:rPr>
        <w:t xml:space="preserve"> UNDP. (2014). </w:t>
      </w:r>
      <w:r w:rsidRPr="00797370">
        <w:rPr>
          <w:i/>
          <w:iCs/>
          <w:sz w:val="18"/>
          <w:szCs w:val="18"/>
        </w:rPr>
        <w:t>Human development report - table 4: gender inequality index</w:t>
      </w:r>
      <w:r w:rsidRPr="00797370">
        <w:rPr>
          <w:sz w:val="18"/>
          <w:szCs w:val="18"/>
        </w:rPr>
        <w:t>. Retrieved from http://hdr.undp.org/en/content/table-4-gender-inequality-index</w:t>
      </w:r>
    </w:p>
  </w:footnote>
  <w:footnote w:id="5">
    <w:p w:rsidR="00C144B0" w:rsidRPr="008853F6" w:rsidRDefault="00C144B0" w:rsidP="00F93C6F">
      <w:pPr>
        <w:spacing w:after="0" w:line="240" w:lineRule="auto"/>
        <w:ind w:left="720" w:hanging="720"/>
        <w:rPr>
          <w:sz w:val="18"/>
          <w:szCs w:val="18"/>
        </w:rPr>
      </w:pPr>
      <w:r w:rsidRPr="008853F6">
        <w:rPr>
          <w:rStyle w:val="FootnoteReference"/>
          <w:sz w:val="18"/>
          <w:szCs w:val="18"/>
        </w:rPr>
        <w:footnoteRef/>
      </w:r>
      <w:r w:rsidRPr="008853F6">
        <w:rPr>
          <w:sz w:val="18"/>
          <w:szCs w:val="18"/>
        </w:rPr>
        <w:t xml:space="preserve"> </w:t>
      </w:r>
      <w:r w:rsidRPr="008853F6">
        <w:rPr>
          <w:rFonts w:eastAsia="Times New Roman" w:cs="Times New Roman"/>
          <w:sz w:val="18"/>
          <w:szCs w:val="18"/>
        </w:rPr>
        <w:t xml:space="preserve">UNDP. (2014). </w:t>
      </w:r>
      <w:r w:rsidRPr="008853F6">
        <w:rPr>
          <w:rFonts w:eastAsia="Times New Roman" w:cs="Times New Roman"/>
          <w:i/>
          <w:iCs/>
          <w:sz w:val="18"/>
          <w:szCs w:val="18"/>
        </w:rPr>
        <w:t>Gender equality in public administration</w:t>
      </w:r>
      <w:r w:rsidRPr="008853F6">
        <w:rPr>
          <w:rFonts w:eastAsia="Times New Roman" w:cs="Times New Roman"/>
          <w:sz w:val="18"/>
          <w:szCs w:val="18"/>
        </w:rPr>
        <w:t xml:space="preserve">, Retrieved from http://www.undp.org/content/dam/undp/library/Democratic Governance/Women-s Empowerment/GEPA Global Report May 2014.pdf                            </w:t>
      </w:r>
    </w:p>
  </w:footnote>
  <w:footnote w:id="6">
    <w:p w:rsidR="00C144B0" w:rsidRPr="008853F6" w:rsidRDefault="00C144B0" w:rsidP="00F93C6F">
      <w:pPr>
        <w:pStyle w:val="FootnoteText"/>
        <w:rPr>
          <w:sz w:val="18"/>
          <w:szCs w:val="18"/>
        </w:rPr>
      </w:pPr>
      <w:r w:rsidRPr="008853F6">
        <w:rPr>
          <w:rStyle w:val="FootnoteReference"/>
          <w:sz w:val="18"/>
          <w:szCs w:val="18"/>
        </w:rPr>
        <w:footnoteRef/>
      </w:r>
      <w:r w:rsidRPr="008853F6">
        <w:rPr>
          <w:sz w:val="18"/>
          <w:szCs w:val="18"/>
        </w:rPr>
        <w:t xml:space="preserve"> World Bank. (2015). </w:t>
      </w:r>
      <w:r w:rsidRPr="008853F6">
        <w:rPr>
          <w:i/>
          <w:iCs/>
          <w:sz w:val="18"/>
          <w:szCs w:val="18"/>
        </w:rPr>
        <w:t>Enterprise surveys - gender</w:t>
      </w:r>
      <w:r w:rsidRPr="008853F6">
        <w:rPr>
          <w:sz w:val="18"/>
          <w:szCs w:val="18"/>
        </w:rPr>
        <w:t>. Retrieved from http://www.enterprisesurveys.org/Data/ExploreTopics/gender</w:t>
      </w:r>
    </w:p>
  </w:footnote>
  <w:footnote w:id="7">
    <w:p w:rsidR="00C144B0" w:rsidRPr="008853F6" w:rsidRDefault="00C144B0" w:rsidP="00F93C6F">
      <w:pPr>
        <w:pStyle w:val="FootnoteText"/>
        <w:rPr>
          <w:sz w:val="18"/>
          <w:szCs w:val="18"/>
        </w:rPr>
      </w:pPr>
      <w:r w:rsidRPr="008853F6">
        <w:rPr>
          <w:rStyle w:val="FootnoteReference"/>
          <w:sz w:val="18"/>
          <w:szCs w:val="18"/>
        </w:rPr>
        <w:footnoteRef/>
      </w:r>
      <w:r w:rsidRPr="008853F6">
        <w:rPr>
          <w:sz w:val="18"/>
          <w:szCs w:val="18"/>
        </w:rPr>
        <w:t xml:space="preserve"> International Labor Organization. (2012). Global employment trends for women. Retrieved from https:www.worldwewant2015.org/ru/node/296465</w:t>
      </w:r>
    </w:p>
  </w:footnote>
  <w:footnote w:id="8">
    <w:p w:rsidR="00C144B0" w:rsidRDefault="00C144B0" w:rsidP="00EB56BB">
      <w:pPr>
        <w:shd w:val="clear" w:color="auto" w:fill="FFFFFF"/>
        <w:spacing w:after="100" w:afterAutospacing="1" w:line="240" w:lineRule="auto"/>
      </w:pPr>
      <w:r>
        <w:rPr>
          <w:rStyle w:val="FootnoteReference"/>
        </w:rPr>
        <w:footnoteRef/>
      </w:r>
      <w:r>
        <w:t xml:space="preserve"> </w:t>
      </w:r>
      <w:r>
        <w:rPr>
          <w:sz w:val="20"/>
          <w:szCs w:val="20"/>
        </w:rPr>
        <w:t>Duke Corporate Education. (2013/14)</w:t>
      </w:r>
      <w:r w:rsidRPr="00E937FA">
        <w:rPr>
          <w:sz w:val="20"/>
          <w:szCs w:val="20"/>
        </w:rPr>
        <w:t xml:space="preserve">. Women leading Africa. Retrieved April 29, 2015, from </w:t>
      </w:r>
      <w:hyperlink r:id="rId1" w:history="1">
        <w:r w:rsidRPr="00A5227A">
          <w:rPr>
            <w:rStyle w:val="Hyperlink"/>
            <w:sz w:val="20"/>
            <w:szCs w:val="20"/>
          </w:rPr>
          <w:t>http://www.dukece.com/elements/docs/WLA Brochure.pdf</w:t>
        </w:r>
      </w:hyperlink>
      <w:r>
        <w:rPr>
          <w:sz w:val="20"/>
          <w:szCs w:val="20"/>
        </w:rPr>
        <w:t xml:space="preserve"> </w:t>
      </w:r>
    </w:p>
  </w:footnote>
  <w:footnote w:id="9">
    <w:p w:rsidR="00C144B0" w:rsidRDefault="00C144B0" w:rsidP="00EB56BB">
      <w:pPr>
        <w:pStyle w:val="FootnoteText"/>
      </w:pPr>
      <w:r>
        <w:rPr>
          <w:rStyle w:val="FootnoteReference"/>
        </w:rPr>
        <w:footnoteRef/>
      </w:r>
      <w:r>
        <w:t xml:space="preserve"> World Economic Forum. (2013</w:t>
      </w:r>
      <w:r w:rsidRPr="009B7279">
        <w:t>). Professional and technical workers. World Economic Forum Re</w:t>
      </w:r>
      <w:r>
        <w:t>port 2013, Appendix D/ Table D5</w:t>
      </w:r>
      <w:r w:rsidRPr="009B7279">
        <w:t>.</w:t>
      </w:r>
      <w:r>
        <w:t xml:space="preserve"> </w:t>
      </w:r>
    </w:p>
  </w:footnote>
  <w:footnote w:id="10">
    <w:p w:rsidR="00C144B0" w:rsidRPr="00B501E4" w:rsidRDefault="00C144B0" w:rsidP="009543EB">
      <w:pPr>
        <w:pStyle w:val="FootnoteText"/>
        <w:rPr>
          <w:sz w:val="18"/>
          <w:szCs w:val="18"/>
        </w:rPr>
      </w:pPr>
      <w:r>
        <w:rPr>
          <w:rStyle w:val="FootnoteReference"/>
        </w:rPr>
        <w:footnoteRef/>
      </w:r>
      <w:r>
        <w:t xml:space="preserve"> </w:t>
      </w:r>
      <w:r>
        <w:rPr>
          <w:rFonts w:cs="Arial"/>
          <w:color w:val="333333"/>
          <w:sz w:val="18"/>
          <w:szCs w:val="18"/>
          <w:shd w:val="clear" w:color="auto" w:fill="FFFFFF"/>
        </w:rPr>
        <w:t>World Bank. (2014</w:t>
      </w:r>
      <w:r w:rsidRPr="00B501E4">
        <w:rPr>
          <w:rFonts w:cs="Arial"/>
          <w:color w:val="333333"/>
          <w:sz w:val="18"/>
          <w:szCs w:val="18"/>
          <w:shd w:val="clear" w:color="auto" w:fill="FFFFFF"/>
        </w:rPr>
        <w:t>). Retrieved April 26, 2015, from http://data.worldbank.org/indicator/SP.POP.TOTL.FE.ZS</w:t>
      </w:r>
    </w:p>
  </w:footnote>
  <w:footnote w:id="11">
    <w:p w:rsidR="00C144B0" w:rsidRDefault="00C144B0" w:rsidP="009543EB">
      <w:pPr>
        <w:pStyle w:val="FootnoteText"/>
      </w:pPr>
      <w:r>
        <w:rPr>
          <w:rStyle w:val="FootnoteReference"/>
        </w:rPr>
        <w:footnoteRef/>
      </w:r>
      <w:r>
        <w:t xml:space="preserve"> </w:t>
      </w:r>
      <w:r w:rsidRPr="00554DF4">
        <w:t>Diop, M. (2015, January 28). How Empowering Women Can Help End Poverty in Africa. Retrieved April 28, 2015, from http://blogs.worldbank.org/nasikiliza/how-empowering-women-can-help-end-poverty-africa</w:t>
      </w:r>
    </w:p>
  </w:footnote>
  <w:footnote w:id="12">
    <w:p w:rsidR="00C144B0" w:rsidRPr="00FF204D" w:rsidRDefault="00C144B0" w:rsidP="00DE484E">
      <w:pPr>
        <w:pStyle w:val="FootnoteText"/>
        <w:rPr>
          <w:rFonts w:cs="Arial"/>
          <w:color w:val="333333"/>
          <w:sz w:val="18"/>
          <w:szCs w:val="18"/>
          <w:shd w:val="clear" w:color="auto" w:fill="FFFFFF"/>
        </w:rPr>
      </w:pPr>
      <w:r w:rsidRPr="00FF204D">
        <w:rPr>
          <w:rFonts w:cs="Arial"/>
          <w:color w:val="333333"/>
          <w:sz w:val="18"/>
          <w:szCs w:val="18"/>
          <w:shd w:val="clear" w:color="auto" w:fill="FFFFFF"/>
        </w:rPr>
        <w:footnoteRef/>
      </w:r>
      <w:r w:rsidRPr="00FF204D">
        <w:rPr>
          <w:rFonts w:cs="Arial"/>
          <w:color w:val="333333"/>
          <w:sz w:val="18"/>
          <w:szCs w:val="18"/>
          <w:shd w:val="clear" w:color="auto" w:fill="FFFFFF"/>
        </w:rPr>
        <w:t xml:space="preserve"> FAO. (2014). FAO statistical yearbook - Africa food and agriculture 2014. Retrieved from </w:t>
      </w:r>
      <w:hyperlink r:id="rId2" w:history="1">
        <w:r w:rsidRPr="00FF204D">
          <w:rPr>
            <w:rFonts w:cs="Arial"/>
            <w:color w:val="333333"/>
            <w:sz w:val="18"/>
            <w:szCs w:val="18"/>
            <w:shd w:val="clear" w:color="auto" w:fill="FFFFFF"/>
          </w:rPr>
          <w:t>http://www.fao.org/3/a-i3620e.pdf</w:t>
        </w:r>
      </w:hyperlink>
      <w:r w:rsidRPr="00FF204D">
        <w:rPr>
          <w:rFonts w:cs="Arial"/>
          <w:color w:val="333333"/>
          <w:sz w:val="18"/>
          <w:szCs w:val="18"/>
          <w:shd w:val="clear" w:color="auto" w:fill="FFFFFF"/>
        </w:rPr>
        <w:t xml:space="preserve"> .12-12.</w:t>
      </w:r>
    </w:p>
  </w:footnote>
  <w:footnote w:id="13">
    <w:p w:rsidR="00C144B0" w:rsidRPr="00FF204D" w:rsidRDefault="00C144B0" w:rsidP="006E2D54">
      <w:pPr>
        <w:pStyle w:val="FootnoteText"/>
        <w:rPr>
          <w:rFonts w:cs="Arial"/>
          <w:color w:val="333333"/>
          <w:sz w:val="18"/>
          <w:szCs w:val="18"/>
          <w:shd w:val="clear" w:color="auto" w:fill="FFFFFF"/>
        </w:rPr>
      </w:pPr>
      <w:r w:rsidRPr="00FF204D">
        <w:rPr>
          <w:rFonts w:cs="Arial"/>
          <w:color w:val="333333"/>
          <w:sz w:val="18"/>
          <w:szCs w:val="18"/>
          <w:shd w:val="clear" w:color="auto" w:fill="FFFFFF"/>
        </w:rPr>
        <w:footnoteRef/>
      </w:r>
      <w:r w:rsidRPr="00FF204D">
        <w:rPr>
          <w:rFonts w:cs="Arial"/>
          <w:color w:val="333333"/>
          <w:sz w:val="18"/>
          <w:szCs w:val="18"/>
          <w:shd w:val="clear" w:color="auto" w:fill="FFFFFF"/>
        </w:rPr>
        <w:t xml:space="preserve"> United Nations. (2000, January 1). Chart 5.13. The world’s women 2000: Trends and statistics. 122.</w:t>
      </w:r>
    </w:p>
  </w:footnote>
  <w:footnote w:id="14">
    <w:p w:rsidR="00C144B0" w:rsidRDefault="00C144B0" w:rsidP="006E2D54">
      <w:pPr>
        <w:pStyle w:val="FootnoteText"/>
      </w:pPr>
      <w:r w:rsidRPr="00FF204D">
        <w:rPr>
          <w:rFonts w:cs="Arial"/>
          <w:color w:val="333333"/>
          <w:sz w:val="18"/>
          <w:szCs w:val="18"/>
          <w:shd w:val="clear" w:color="auto" w:fill="FFFFFF"/>
        </w:rPr>
        <w:footnoteRef/>
      </w:r>
      <w:r w:rsidRPr="00FF204D">
        <w:rPr>
          <w:rFonts w:cs="Arial"/>
          <w:color w:val="333333"/>
          <w:sz w:val="18"/>
          <w:szCs w:val="18"/>
          <w:shd w:val="clear" w:color="auto" w:fill="FFFFFF"/>
        </w:rPr>
        <w:t xml:space="preserve"> Chen, M. A. (2001). Women and informality: A global picture, the global movement. SAIS Review, 21(1), 3-4.</w:t>
      </w:r>
      <w:r>
        <w:rPr>
          <w:rFonts w:ascii="Arial" w:hAnsi="Arial" w:cs="Arial"/>
          <w:color w:val="222222"/>
        </w:rPr>
        <w:t xml:space="preserve"> </w:t>
      </w:r>
    </w:p>
  </w:footnote>
  <w:footnote w:id="15">
    <w:p w:rsidR="00C144B0" w:rsidRDefault="00C144B0" w:rsidP="009543EB">
      <w:pPr>
        <w:pStyle w:val="FootnoteText"/>
      </w:pPr>
      <w:r>
        <w:rPr>
          <w:rStyle w:val="FootnoteReference"/>
        </w:rPr>
        <w:footnoteRef/>
      </w:r>
      <w:r>
        <w:t xml:space="preserve"> United Nations. (2000). Ibid.</w:t>
      </w:r>
    </w:p>
  </w:footnote>
  <w:footnote w:id="16">
    <w:p w:rsidR="00C144B0" w:rsidRDefault="00C144B0" w:rsidP="00FA7230">
      <w:pPr>
        <w:pStyle w:val="FootnoteText"/>
      </w:pPr>
      <w:r>
        <w:rPr>
          <w:rStyle w:val="FootnoteReference"/>
        </w:rPr>
        <w:footnoteRef/>
      </w:r>
      <w:r>
        <w:t xml:space="preserve"> </w:t>
      </w:r>
      <w:r w:rsidRPr="000C6473">
        <w:t>Ibarra, H., &amp; Hansen, M. (2009, December 21). Women CEOs: Why so few? Retrieved May 4, 2015, from https://hbr.org/2009/12/women-ceo-why-so-few/</w:t>
      </w:r>
    </w:p>
  </w:footnote>
  <w:footnote w:id="17">
    <w:p w:rsidR="00C144B0" w:rsidRDefault="00C144B0" w:rsidP="00E66889">
      <w:pPr>
        <w:pStyle w:val="FootnoteText"/>
      </w:pPr>
      <w:r>
        <w:rPr>
          <w:rStyle w:val="FootnoteReference"/>
        </w:rPr>
        <w:footnoteRef/>
      </w:r>
      <w:r>
        <w:t xml:space="preserve"> World Economic Forum. (2011-2012</w:t>
      </w:r>
      <w:r w:rsidRPr="00462B61">
        <w:t>). Global Agenda Council on Women's Empowerment. Five Challenges, One Solution: Women, 11-11.</w:t>
      </w:r>
    </w:p>
  </w:footnote>
  <w:footnote w:id="18">
    <w:p w:rsidR="00C144B0" w:rsidRPr="00EC4C40" w:rsidRDefault="00C144B0" w:rsidP="00C754D2">
      <w:pPr>
        <w:shd w:val="clear" w:color="auto" w:fill="FFFFFF"/>
        <w:spacing w:after="0" w:line="240" w:lineRule="auto"/>
        <w:rPr>
          <w:rFonts w:ascii="Arial" w:eastAsia="Times New Roman" w:hAnsi="Arial" w:cs="Arial"/>
          <w:color w:val="333333"/>
          <w:sz w:val="26"/>
          <w:szCs w:val="26"/>
        </w:rPr>
      </w:pPr>
      <w:r>
        <w:rPr>
          <w:rStyle w:val="FootnoteReference"/>
        </w:rPr>
        <w:footnoteRef/>
      </w:r>
      <w:r w:rsidRPr="00F834A0">
        <w:rPr>
          <w:sz w:val="20"/>
          <w:szCs w:val="20"/>
        </w:rPr>
        <w:t xml:space="preserve"> </w:t>
      </w:r>
      <w:r w:rsidRPr="00F834A0">
        <w:rPr>
          <w:rFonts w:eastAsia="Times New Roman" w:cs="Arial"/>
          <w:color w:val="333333"/>
          <w:sz w:val="20"/>
          <w:szCs w:val="20"/>
        </w:rPr>
        <w:t>Anomaly, J., &amp; Brennan, G. (2014). Social norms, the invisible hand, and the law.</w:t>
      </w:r>
      <w:r>
        <w:rPr>
          <w:rFonts w:eastAsia="Times New Roman" w:cs="Arial"/>
          <w:color w:val="333333"/>
          <w:sz w:val="20"/>
          <w:szCs w:val="20"/>
        </w:rPr>
        <w:t xml:space="preserve"> </w:t>
      </w:r>
      <w:r w:rsidRPr="00F834A0">
        <w:rPr>
          <w:rFonts w:eastAsia="Times New Roman" w:cs="Arial"/>
          <w:i/>
          <w:iCs/>
          <w:color w:val="333333"/>
          <w:sz w:val="20"/>
          <w:szCs w:val="20"/>
        </w:rPr>
        <w:t>University of Queensland Law Journal,</w:t>
      </w:r>
      <w:r w:rsidRPr="00F834A0">
        <w:rPr>
          <w:rFonts w:eastAsia="Times New Roman" w:cs="Arial"/>
          <w:color w:val="333333"/>
          <w:sz w:val="20"/>
          <w:szCs w:val="20"/>
        </w:rPr>
        <w:t> </w:t>
      </w:r>
      <w:r w:rsidRPr="00F834A0">
        <w:rPr>
          <w:rFonts w:eastAsia="Times New Roman" w:cs="Arial"/>
          <w:i/>
          <w:iCs/>
          <w:color w:val="333333"/>
          <w:sz w:val="20"/>
          <w:szCs w:val="20"/>
        </w:rPr>
        <w:t>33</w:t>
      </w:r>
      <w:r w:rsidRPr="00F834A0">
        <w:rPr>
          <w:rFonts w:eastAsia="Times New Roman" w:cs="Arial"/>
          <w:color w:val="333333"/>
          <w:sz w:val="20"/>
          <w:szCs w:val="20"/>
        </w:rPr>
        <w:t>(2), 269-269.</w:t>
      </w:r>
    </w:p>
    <w:p w:rsidR="00C144B0" w:rsidRDefault="00C144B0" w:rsidP="00C754D2">
      <w:pPr>
        <w:pStyle w:val="FootnoteText"/>
      </w:pPr>
    </w:p>
  </w:footnote>
  <w:footnote w:id="19">
    <w:p w:rsidR="00C144B0" w:rsidRDefault="00C144B0" w:rsidP="00C754D2">
      <w:pPr>
        <w:pStyle w:val="FootnoteText"/>
      </w:pPr>
      <w:r>
        <w:rPr>
          <w:rStyle w:val="FootnoteReference"/>
        </w:rPr>
        <w:footnoteRef/>
      </w:r>
      <w:r>
        <w:t xml:space="preserve"> Ibid. 269.</w:t>
      </w:r>
    </w:p>
  </w:footnote>
  <w:footnote w:id="20">
    <w:p w:rsidR="00C144B0" w:rsidRDefault="00C144B0" w:rsidP="00EF3E3D">
      <w:pPr>
        <w:pStyle w:val="FootnoteText"/>
      </w:pPr>
      <w:r>
        <w:rPr>
          <w:rStyle w:val="FootnoteReference"/>
        </w:rPr>
        <w:footnoteRef/>
      </w:r>
      <w:r>
        <w:t xml:space="preserve"> </w:t>
      </w:r>
      <w:r w:rsidRPr="00DD287D">
        <w:t>Msimang, S. (2015, January 10). The backlash against African women. The New York Times, p. Opinion.</w:t>
      </w:r>
    </w:p>
  </w:footnote>
  <w:footnote w:id="21">
    <w:p w:rsidR="00C144B0" w:rsidRDefault="00C144B0" w:rsidP="00EF3E3D">
      <w:pPr>
        <w:pStyle w:val="FootnoteText"/>
      </w:pPr>
      <w:r>
        <w:rPr>
          <w:rStyle w:val="FootnoteReference"/>
        </w:rPr>
        <w:footnoteRef/>
      </w:r>
      <w:r>
        <w:t xml:space="preserve"> </w:t>
      </w:r>
      <w:r w:rsidRPr="00F83579">
        <w:t>Anomaly, J., &amp; Brennan, G. (2014). Social norms, the invisible hand, and the law. University of Queensl</w:t>
      </w:r>
      <w:r>
        <w:t>and Law Journal, 33(2), 268-268</w:t>
      </w:r>
    </w:p>
  </w:footnote>
  <w:footnote w:id="22">
    <w:p w:rsidR="00C144B0" w:rsidRDefault="00C144B0" w:rsidP="00EF3E3D">
      <w:pPr>
        <w:pStyle w:val="FootnoteText"/>
      </w:pPr>
      <w:r>
        <w:rPr>
          <w:rStyle w:val="FootnoteReference"/>
        </w:rPr>
        <w:footnoteRef/>
      </w:r>
      <w:r>
        <w:t xml:space="preserve"> </w:t>
      </w:r>
      <w:r w:rsidRPr="00D81822">
        <w:t>International Labor Organization. (2012). Global employment trends for women. Retrieved from https:www.worldwewant2015.org/ru/node/296465</w:t>
      </w:r>
    </w:p>
  </w:footnote>
  <w:footnote w:id="23">
    <w:p w:rsidR="00C144B0" w:rsidRDefault="00C144B0" w:rsidP="00FA7230">
      <w:pPr>
        <w:pStyle w:val="FootnoteText"/>
      </w:pPr>
      <w:r>
        <w:rPr>
          <w:rStyle w:val="FootnoteReference"/>
        </w:rPr>
        <w:footnoteRef/>
      </w:r>
      <w:r>
        <w:t xml:space="preserve"> </w:t>
      </w:r>
      <w:r w:rsidRPr="00103C53">
        <w:t>INNOVATE. (2013, September 17). Preliminary study: gender, higher education and AET. University of Florida, USAID, VirginiaTech, PennState, Tuskegee University. Retrieved from http://www.oired.vt.edu/innovate/documents/Cross-cutting%20Studies/9_24_13%20VT%20Gender,%20Higher%20Education%20and%20AET.pdf. 4-4.</w:t>
      </w:r>
    </w:p>
  </w:footnote>
  <w:footnote w:id="24">
    <w:p w:rsidR="00C144B0" w:rsidRDefault="00C144B0" w:rsidP="00FA7230">
      <w:pPr>
        <w:pStyle w:val="FootnoteText"/>
      </w:pPr>
      <w:r>
        <w:rPr>
          <w:rStyle w:val="FootnoteReference"/>
        </w:rPr>
        <w:footnoteRef/>
      </w:r>
      <w:r>
        <w:t xml:space="preserve"> Ibid. 4.</w:t>
      </w:r>
    </w:p>
  </w:footnote>
  <w:footnote w:id="25">
    <w:p w:rsidR="00C144B0" w:rsidRDefault="00C144B0" w:rsidP="00FA7230">
      <w:pPr>
        <w:pStyle w:val="FootnoteText"/>
      </w:pPr>
      <w:r>
        <w:rPr>
          <w:rStyle w:val="FootnoteReference"/>
        </w:rPr>
        <w:footnoteRef/>
      </w:r>
      <w:r>
        <w:t xml:space="preserve"> </w:t>
      </w:r>
      <w:r w:rsidRPr="001F1102">
        <w:t>Grant Thornton</w:t>
      </w:r>
      <w:r>
        <w:t>. (2014</w:t>
      </w:r>
      <w:r w:rsidRPr="001F1102">
        <w:t>). The workforce. Women in Business: From classroom to boardroom, 8-8.</w:t>
      </w:r>
    </w:p>
  </w:footnote>
  <w:footnote w:id="26">
    <w:p w:rsidR="00C144B0" w:rsidRDefault="00C144B0" w:rsidP="00FA7230">
      <w:pPr>
        <w:pStyle w:val="FootnoteText"/>
      </w:pPr>
      <w:r>
        <w:rPr>
          <w:rStyle w:val="FootnoteReference"/>
        </w:rPr>
        <w:footnoteRef/>
      </w:r>
      <w:r>
        <w:t xml:space="preserve"> Ibid. 12-12. </w:t>
      </w:r>
    </w:p>
  </w:footnote>
  <w:footnote w:id="27">
    <w:p w:rsidR="00C144B0" w:rsidRDefault="00C144B0" w:rsidP="00FA7230">
      <w:pPr>
        <w:pStyle w:val="FootnoteText"/>
      </w:pPr>
      <w:r>
        <w:rPr>
          <w:rStyle w:val="FootnoteReference"/>
        </w:rPr>
        <w:footnoteRef/>
      </w:r>
      <w:r>
        <w:t xml:space="preserve"> </w:t>
      </w:r>
      <w:r w:rsidRPr="001D125F">
        <w:t>Ernst &amp; Young. (n.d.). Africa’s women: A powerful untapped economic force. Women of Africa</w:t>
      </w:r>
      <w:r>
        <w:t>. Retrieved from</w:t>
      </w:r>
      <w:r w:rsidRPr="001D125F">
        <w:t xml:space="preserve"> </w:t>
      </w:r>
      <w:hyperlink r:id="rId3" w:history="1">
        <w:r w:rsidRPr="00AD3B27">
          <w:rPr>
            <w:rStyle w:val="Hyperlink"/>
          </w:rPr>
          <w:t>http://www.ey.com/Publication/vwLUAssets/Women_of_Africa/$FILE/Women%20of%20Africa%20final.pdf</w:t>
        </w:r>
      </w:hyperlink>
      <w:r>
        <w:t xml:space="preserve">. </w:t>
      </w:r>
      <w:r w:rsidRPr="001D125F">
        <w:t>7-7.</w:t>
      </w:r>
    </w:p>
  </w:footnote>
  <w:footnote w:id="28">
    <w:p w:rsidR="00C144B0" w:rsidRDefault="00C144B0" w:rsidP="00806F07">
      <w:pPr>
        <w:pStyle w:val="FootnoteText"/>
      </w:pPr>
      <w:r>
        <w:rPr>
          <w:rStyle w:val="FootnoteReference"/>
        </w:rPr>
        <w:footnoteRef/>
      </w:r>
      <w:r>
        <w:t xml:space="preserve"> </w:t>
      </w:r>
      <w:r>
        <w:rPr>
          <w:rFonts w:ascii="Arial" w:hAnsi="Arial" w:cs="Arial"/>
          <w:color w:val="333333"/>
          <w:sz w:val="23"/>
          <w:szCs w:val="23"/>
          <w:shd w:val="clear" w:color="auto" w:fill="FFFFFF"/>
        </w:rPr>
        <w:t>“</w:t>
      </w:r>
      <w:r w:rsidRPr="006E2E32">
        <w:rPr>
          <w:rFonts w:cs="Arial"/>
          <w:color w:val="333333"/>
          <w:sz w:val="18"/>
          <w:szCs w:val="18"/>
          <w:shd w:val="clear" w:color="auto" w:fill="FFFFFF"/>
        </w:rPr>
        <w:t>Women's Leadership: A challenge for the development of Africa”. (2011, March 8). Retrieved April 26, 2015, from http://www.gender-budgets.org/index.php?option=com_content&amp;view=article&amp;id=780:womens-leadership-a-challenge-for-the-development-of-africa-keynote-address-ms-michelle-bachelet-under-secretary-general-executive-director-of-un-women&amp;catid=51&amp;Itemid=215</w:t>
      </w:r>
    </w:p>
  </w:footnote>
  <w:footnote w:id="29">
    <w:p w:rsidR="00C144B0" w:rsidRDefault="00C144B0" w:rsidP="008120AC">
      <w:pPr>
        <w:pStyle w:val="FootnoteText"/>
      </w:pPr>
      <w:r>
        <w:rPr>
          <w:rStyle w:val="FootnoteReference"/>
        </w:rPr>
        <w:footnoteRef/>
      </w:r>
      <w:r>
        <w:t xml:space="preserve"> </w:t>
      </w:r>
      <w:r w:rsidRPr="003C0931">
        <w:t>The World's Women 2010</w:t>
      </w:r>
      <w:r>
        <w:t>: Trends and Statistics. (2014</w:t>
      </w:r>
      <w:r w:rsidRPr="003C0931">
        <w:t>). Retrieved April 28, 2015, from http://unstats.un.org/unsd/demographic/products/Worldswomen/Executive summary.htm</w:t>
      </w:r>
    </w:p>
  </w:footnote>
  <w:footnote w:id="30">
    <w:p w:rsidR="00C144B0" w:rsidRDefault="00C144B0" w:rsidP="008120AC">
      <w:pPr>
        <w:pStyle w:val="FootnoteText"/>
      </w:pPr>
      <w:r>
        <w:rPr>
          <w:rStyle w:val="FootnoteReference"/>
        </w:rPr>
        <w:footnoteRef/>
      </w:r>
      <w:r>
        <w:t xml:space="preserve"> </w:t>
      </w:r>
      <w:r w:rsidRPr="00111C1A">
        <w:t>Ernst &amp; Young. Ibid. 7-7</w:t>
      </w:r>
    </w:p>
  </w:footnote>
  <w:footnote w:id="31">
    <w:p w:rsidR="00C144B0" w:rsidRDefault="00C144B0">
      <w:pPr>
        <w:pStyle w:val="FootnoteText"/>
      </w:pPr>
      <w:r>
        <w:rPr>
          <w:rStyle w:val="FootnoteReference"/>
        </w:rPr>
        <w:footnoteRef/>
      </w:r>
      <w:r>
        <w:t xml:space="preserve"> </w:t>
      </w:r>
      <w:r w:rsidRPr="00D22FBC">
        <w:t>Women in the workforce: Female power. (2009, December 30). The Economist.</w:t>
      </w:r>
    </w:p>
  </w:footnote>
  <w:footnote w:id="32">
    <w:p w:rsidR="00C144B0" w:rsidRDefault="00C144B0" w:rsidP="00910455">
      <w:pPr>
        <w:pStyle w:val="FootnoteText"/>
      </w:pPr>
      <w:r>
        <w:rPr>
          <w:rStyle w:val="FootnoteReference"/>
        </w:rPr>
        <w:footnoteRef/>
      </w:r>
      <w:r>
        <w:t xml:space="preserve"> UNESCO. (2014</w:t>
      </w:r>
      <w:r w:rsidRPr="004A4484">
        <w:t>). Table 7. EFA Global Monitoring Report 2013/4., 368-369.</w:t>
      </w:r>
    </w:p>
  </w:footnote>
  <w:footnote w:id="33">
    <w:p w:rsidR="00C144B0" w:rsidRDefault="00C144B0" w:rsidP="00DC0E5E">
      <w:pPr>
        <w:pStyle w:val="FootnoteText"/>
      </w:pPr>
      <w:r>
        <w:rPr>
          <w:rStyle w:val="FootnoteReference"/>
        </w:rPr>
        <w:footnoteRef/>
      </w:r>
      <w:r>
        <w:t xml:space="preserve"> Ibid.368-369</w:t>
      </w:r>
    </w:p>
  </w:footnote>
  <w:footnote w:id="34">
    <w:p w:rsidR="00C144B0" w:rsidRDefault="00C144B0" w:rsidP="00305C3D">
      <w:pPr>
        <w:spacing w:after="0" w:line="240" w:lineRule="auto"/>
        <w:rPr>
          <w:rFonts w:ascii="Arial" w:hAnsi="Arial" w:cs="Arial"/>
          <w:highlight w:val="yellow"/>
        </w:rPr>
      </w:pPr>
      <w:r>
        <w:rPr>
          <w:rStyle w:val="FootnoteReference"/>
        </w:rPr>
        <w:footnoteRef/>
      </w:r>
      <w:r>
        <w:t xml:space="preserve"> </w:t>
      </w:r>
      <w:r w:rsidRPr="00D16E2B">
        <w:rPr>
          <w:sz w:val="20"/>
          <w:szCs w:val="20"/>
        </w:rPr>
        <w:t>Hideg, I., &amp; Ferris, L. (2013, January). Two Sides of Sexism: How Sexist Attitudes May Undermine and Promote Gender Diversity. In Academy of Management Proceedings </w:t>
      </w:r>
      <w:r>
        <w:rPr>
          <w:sz w:val="20"/>
          <w:szCs w:val="20"/>
        </w:rPr>
        <w:t>(Vol. 2013, No. 1</w:t>
      </w:r>
      <w:r w:rsidRPr="00D16E2B">
        <w:rPr>
          <w:sz w:val="20"/>
          <w:szCs w:val="20"/>
        </w:rPr>
        <w:t>). Academy of Management.</w:t>
      </w:r>
    </w:p>
    <w:p w:rsidR="00C144B0" w:rsidRPr="00E70A2C" w:rsidRDefault="00C144B0" w:rsidP="00305C3D">
      <w:pPr>
        <w:pStyle w:val="FootnoteText"/>
      </w:pPr>
    </w:p>
  </w:footnote>
  <w:footnote w:id="35">
    <w:p w:rsidR="00C144B0" w:rsidRDefault="00C144B0" w:rsidP="00DD5DDE">
      <w:pPr>
        <w:pStyle w:val="FootnoteText"/>
      </w:pPr>
      <w:r w:rsidRPr="00E70A2C">
        <w:rPr>
          <w:rStyle w:val="FootnoteReference"/>
        </w:rPr>
        <w:footnoteRef/>
      </w:r>
      <w:r w:rsidRPr="00E70A2C">
        <w:t xml:space="preserve"> </w:t>
      </w:r>
      <w:r w:rsidRPr="00E70A2C">
        <w:rPr>
          <w:rFonts w:cs="Arial"/>
          <w:color w:val="333333"/>
        </w:rPr>
        <w:t xml:space="preserve">Bardasi, E., Blackden, C., &amp; Guzman, J. (2007, January 1). Gender, entrepreneurship, and competitiveness in Africa (World Bank, Ed.). </w:t>
      </w:r>
      <w:r w:rsidRPr="00E70A2C">
        <w:rPr>
          <w:rFonts w:cs="Arial"/>
          <w:i/>
          <w:iCs/>
          <w:color w:val="333333"/>
        </w:rPr>
        <w:t>Competitiveness Report 2007</w:t>
      </w:r>
      <w:r w:rsidRPr="00E70A2C">
        <w:rPr>
          <w:rFonts w:cs="Arial"/>
          <w:color w:val="333333"/>
        </w:rPr>
        <w:t>, 69-69</w:t>
      </w:r>
    </w:p>
  </w:footnote>
  <w:footnote w:id="36">
    <w:p w:rsidR="00C144B0" w:rsidRDefault="00C144B0" w:rsidP="00FA1E2B">
      <w:pPr>
        <w:pStyle w:val="FootnoteText"/>
      </w:pPr>
      <w:r>
        <w:rPr>
          <w:rStyle w:val="FootnoteReference"/>
        </w:rPr>
        <w:footnoteRef/>
      </w:r>
      <w:r>
        <w:t xml:space="preserve"> </w:t>
      </w:r>
      <w:r w:rsidRPr="00A82DFF">
        <w:rPr>
          <w:rFonts w:cs="Arial"/>
          <w:color w:val="333333"/>
          <w:shd w:val="clear" w:color="auto" w:fill="FFFFFF"/>
        </w:rPr>
        <w:t>World Bank Group. (2015, January). Accessing institutions. Retrieved April 28, 2015, from http://wbl.worldbank.org/data/exploretopics/accessing-institutions</w:t>
      </w:r>
    </w:p>
  </w:footnote>
  <w:footnote w:id="37">
    <w:p w:rsidR="00C144B0" w:rsidRDefault="00C144B0" w:rsidP="00DE6B30">
      <w:pPr>
        <w:pStyle w:val="FootnoteText"/>
      </w:pPr>
      <w:r>
        <w:rPr>
          <w:rStyle w:val="FootnoteReference"/>
        </w:rPr>
        <w:footnoteRef/>
      </w:r>
      <w:r>
        <w:t xml:space="preserve"> </w:t>
      </w:r>
      <w:r w:rsidRPr="00E80441">
        <w:t>The International Bank for Reconstruction and Deve</w:t>
      </w:r>
      <w:r>
        <w:t>lo</w:t>
      </w:r>
      <w:r w:rsidRPr="00E80441">
        <w:t>pment</w:t>
      </w:r>
      <w:r>
        <w:t xml:space="preserve"> </w:t>
      </w:r>
      <w:r w:rsidRPr="00E80441">
        <w:t>/ the World Bank. (2009, January 1). Paying taxes. Doing Business 2009: Comparing Regulations in 181</w:t>
      </w:r>
      <w:r>
        <w:t xml:space="preserve"> </w:t>
      </w:r>
      <w:r w:rsidRPr="00E80441">
        <w:t>economies, 39-39.</w:t>
      </w:r>
    </w:p>
  </w:footnote>
  <w:footnote w:id="38">
    <w:p w:rsidR="00C144B0" w:rsidRDefault="00C144B0" w:rsidP="00A86FB6">
      <w:pPr>
        <w:pStyle w:val="FootnoteText"/>
      </w:pPr>
      <w:r>
        <w:rPr>
          <w:rStyle w:val="FootnoteReference"/>
        </w:rPr>
        <w:footnoteRef/>
      </w:r>
      <w:r>
        <w:t xml:space="preserve"> </w:t>
      </w:r>
      <w:r w:rsidRPr="0059248F">
        <w:t>International Covenant on Economic, Social and Cultural Rights. (n.d.). Retrieved May 4, 2015, from http://www.ohchr.org/EN/ProfessionalInterest/Pages/CESCR.aspx</w:t>
      </w:r>
    </w:p>
  </w:footnote>
  <w:footnote w:id="39">
    <w:p w:rsidR="00C144B0" w:rsidRDefault="00C144B0" w:rsidP="009C25A2">
      <w:pPr>
        <w:pStyle w:val="FootnoteText"/>
      </w:pPr>
      <w:r>
        <w:rPr>
          <w:rStyle w:val="FootnoteReference"/>
        </w:rPr>
        <w:footnoteRef/>
      </w:r>
      <w:r>
        <w:t xml:space="preserve"> </w:t>
      </w:r>
      <w:r w:rsidRPr="006C3D85">
        <w:t>African union. solemn declaration on gender equality in Africa. (n.d.). Retrieved from http://library.unesco-iicba.org/English/Girls Education/files/International Instruments/International Instruments5.html</w:t>
      </w:r>
    </w:p>
  </w:footnote>
  <w:footnote w:id="40">
    <w:p w:rsidR="00C144B0" w:rsidRDefault="00C144B0">
      <w:pPr>
        <w:pStyle w:val="FootnoteText"/>
      </w:pPr>
      <w:r>
        <w:rPr>
          <w:rStyle w:val="FootnoteReference"/>
        </w:rPr>
        <w:footnoteRef/>
      </w:r>
      <w:r>
        <w:t xml:space="preserve"> </w:t>
      </w:r>
      <w:r w:rsidRPr="002C1E85">
        <w:t>The African Union, (n.d.). Af</w:t>
      </w:r>
      <w:r>
        <w:t>rican union gender policy (pg.14</w:t>
      </w:r>
      <w:r w:rsidRPr="002C1E85">
        <w:t>). Retrieved from website: (n.d.). African union gender policy. Retrieved from The African Union website: http://wgd.au.int/en/sites/default/files/Gender Policy - English.pdf</w:t>
      </w:r>
    </w:p>
  </w:footnote>
  <w:footnote w:id="41">
    <w:p w:rsidR="00C144B0" w:rsidRDefault="00C144B0" w:rsidP="00F667C9">
      <w:pPr>
        <w:pStyle w:val="FootnoteText"/>
      </w:pPr>
      <w:r>
        <w:rPr>
          <w:rStyle w:val="FootnoteReference"/>
        </w:rPr>
        <w:footnoteRef/>
      </w:r>
      <w:r>
        <w:t xml:space="preserve"> </w:t>
      </w:r>
      <w:r w:rsidRPr="00F84DD2">
        <w:t>The African Union, (n.d.). African union gender policy (pg.13). Retrieved from website: (n.d.). African union gender policy. Retrieved from The African Union website: http://wgd.au.int/en/sites/default/files/Gender Policy - English.pdf</w:t>
      </w:r>
    </w:p>
  </w:footnote>
  <w:footnote w:id="42">
    <w:p w:rsidR="00C144B0" w:rsidRDefault="00C144B0">
      <w:pPr>
        <w:pStyle w:val="FootnoteText"/>
      </w:pPr>
      <w:r>
        <w:rPr>
          <w:rStyle w:val="FootnoteReference"/>
        </w:rPr>
        <w:footnoteRef/>
      </w:r>
      <w:r>
        <w:t xml:space="preserve"> </w:t>
      </w:r>
      <w:r w:rsidRPr="009C2237">
        <w:t>(n.d.). The constitution of Angola. Retrieved from politicsresources.net website: http://www.politicsresources.net/docs/angola.pdf</w:t>
      </w:r>
    </w:p>
  </w:footnote>
  <w:footnote w:id="43">
    <w:p w:rsidR="00C144B0" w:rsidRDefault="00C144B0">
      <w:pPr>
        <w:pStyle w:val="FootnoteText"/>
      </w:pPr>
      <w:r>
        <w:rPr>
          <w:rStyle w:val="FootnoteReference"/>
        </w:rPr>
        <w:footnoteRef/>
      </w:r>
      <w:r>
        <w:t xml:space="preserve"> </w:t>
      </w:r>
      <w:r w:rsidRPr="0013610F">
        <w:t>(2004). Angola. Concluding observations adopted at 31st session (CEDAW/C/AGO/1-3 and CEDAW/C/AGO/4-5). Retrieved from website: http://www2.ohchr.org/english/bodies/cedaw/docs/co/AngolaCO31.pdf</w:t>
      </w:r>
    </w:p>
  </w:footnote>
  <w:footnote w:id="44">
    <w:p w:rsidR="00C144B0" w:rsidRDefault="00C144B0">
      <w:pPr>
        <w:pStyle w:val="FootnoteText"/>
      </w:pPr>
      <w:r>
        <w:rPr>
          <w:rStyle w:val="FootnoteReference"/>
        </w:rPr>
        <w:footnoteRef/>
      </w:r>
      <w:r>
        <w:t xml:space="preserve"> </w:t>
      </w:r>
      <w:r w:rsidRPr="00052E45">
        <w:t>(2005). The constitution of the democratic of republic of the Congo- 2005. Retrieved from website: http://www.constitutionnet.org/files/DRC - Congo Constitution.pdf</w:t>
      </w:r>
    </w:p>
  </w:footnote>
  <w:footnote w:id="45">
    <w:p w:rsidR="00C144B0" w:rsidRDefault="00C144B0">
      <w:pPr>
        <w:pStyle w:val="FootnoteText"/>
      </w:pPr>
      <w:r>
        <w:rPr>
          <w:rStyle w:val="FootnoteReference"/>
        </w:rPr>
        <w:footnoteRef/>
      </w:r>
      <w:r>
        <w:t xml:space="preserve"> </w:t>
      </w:r>
      <w:r w:rsidRPr="00CE2531">
        <w:t>World Bank Group. (2015, January). Accessing institutions. Retrieved April 28, 2015, from http://wbl.worldbank.org/data/exploretopics/accessing-institutions</w:t>
      </w:r>
    </w:p>
  </w:footnote>
  <w:footnote w:id="46">
    <w:p w:rsidR="00C144B0" w:rsidRDefault="00C144B0">
      <w:pPr>
        <w:pStyle w:val="FootnoteText"/>
      </w:pPr>
      <w:r>
        <w:rPr>
          <w:rStyle w:val="FootnoteReference"/>
        </w:rPr>
        <w:footnoteRef/>
      </w:r>
      <w:r>
        <w:t xml:space="preserve"> </w:t>
      </w:r>
      <w:r w:rsidRPr="00B8047D">
        <w:t xml:space="preserve">UNHCR. (2007, December 15). </w:t>
      </w:r>
      <w:r>
        <w:t>W</w:t>
      </w:r>
      <w:r w:rsidRPr="00B8047D">
        <w:t>omen in leadership roles. Retrieved from http://www.un.org/womenwatch/feature/women_leadership/On-line_discussion_report_Women_in_Leadeship_Roles.pdf</w:t>
      </w:r>
      <w:r>
        <w:t xml:space="preserve"> . 6-6.</w:t>
      </w:r>
    </w:p>
  </w:footnote>
  <w:footnote w:id="47">
    <w:p w:rsidR="00C144B0" w:rsidRDefault="00C144B0">
      <w:pPr>
        <w:pStyle w:val="FootnoteText"/>
      </w:pPr>
      <w:r>
        <w:rPr>
          <w:rStyle w:val="FootnoteReference"/>
        </w:rPr>
        <w:footnoteRef/>
      </w:r>
      <w:r>
        <w:t xml:space="preserve"> </w:t>
      </w:r>
      <w:r w:rsidRPr="0067139E">
        <w:t>Chuma, M., &amp; Chazovachii, B. (2012). International Journal of Politics and Good Governance, 3(3.4), 1-18. Retrieved from http://www.onlineresearchjournals.com/ijopagg/art/110.pdf</w:t>
      </w:r>
    </w:p>
  </w:footnote>
  <w:footnote w:id="48">
    <w:p w:rsidR="00C144B0" w:rsidRDefault="00C144B0">
      <w:pPr>
        <w:pStyle w:val="FootnoteText"/>
      </w:pPr>
      <w:r>
        <w:rPr>
          <w:rStyle w:val="FootnoteReference"/>
        </w:rPr>
        <w:footnoteRef/>
      </w:r>
      <w:r>
        <w:t xml:space="preserve"> UNHCR. Ibid. 7-7</w:t>
      </w:r>
    </w:p>
  </w:footnote>
  <w:footnote w:id="49">
    <w:p w:rsidR="00C144B0" w:rsidRDefault="00C144B0">
      <w:pPr>
        <w:pStyle w:val="FootnoteText"/>
      </w:pPr>
      <w:r>
        <w:rPr>
          <w:rStyle w:val="FootnoteReference"/>
        </w:rPr>
        <w:footnoteRef/>
      </w:r>
      <w:r>
        <w:t xml:space="preserve"> </w:t>
      </w:r>
      <w:r w:rsidRPr="006A3ED0">
        <w:t>Eftimie, A., Heller, K. &amp; Strongman, J. (2009, August). Gender dimensions of the extractive industries, 9. Retrieved from http://siteresources.worldbank.org/EXTOGMC/Resources/eifd8_gender_equity.pdf</w:t>
      </w:r>
    </w:p>
  </w:footnote>
  <w:footnote w:id="50">
    <w:p w:rsidR="00A7210A" w:rsidRDefault="00A7210A" w:rsidP="00A7210A">
      <w:pPr>
        <w:pStyle w:val="FootnoteText"/>
      </w:pPr>
      <w:r>
        <w:rPr>
          <w:rStyle w:val="FootnoteReference"/>
        </w:rPr>
        <w:footnoteRef/>
      </w:r>
      <w:r>
        <w:t xml:space="preserve"> Eftimie et al. Ibid. 10.</w:t>
      </w:r>
    </w:p>
  </w:footnote>
  <w:footnote w:id="51">
    <w:p w:rsidR="00C144B0" w:rsidRPr="00C62B2D" w:rsidRDefault="00C144B0" w:rsidP="00C83948">
      <w:pPr>
        <w:shd w:val="clear" w:color="auto" w:fill="FFFFFF"/>
        <w:spacing w:after="0" w:line="240" w:lineRule="auto"/>
        <w:rPr>
          <w:sz w:val="20"/>
          <w:szCs w:val="20"/>
        </w:rPr>
      </w:pPr>
      <w:r>
        <w:rPr>
          <w:rStyle w:val="FootnoteReference"/>
        </w:rPr>
        <w:footnoteRef/>
      </w:r>
      <w:r>
        <w:t xml:space="preserve"> </w:t>
      </w:r>
      <w:r w:rsidRPr="00C62B2D">
        <w:rPr>
          <w:sz w:val="20"/>
          <w:szCs w:val="20"/>
        </w:rPr>
        <w:t>Jackson, C. (2015, January 1). Affirmative action. Retrieved April 29, 2015, from http://ez</w:t>
      </w:r>
      <w:r>
        <w:rPr>
          <w:sz w:val="20"/>
          <w:szCs w:val="20"/>
        </w:rPr>
        <w:t xml:space="preserve">women </w:t>
      </w:r>
      <w:r w:rsidRPr="00C62B2D">
        <w:rPr>
          <w:sz w:val="20"/>
          <w:szCs w:val="20"/>
        </w:rPr>
        <w:t>proxy.library.nyu.edu:15504/eds/detail/detail?sid=11ad93ef-9915-4a6c-aeb9-35a0f5553122@sessionmgr4004&amp;vid=5&amp;hid=4202&amp;bdata=JnNpdGU9ZWRzLWxpdmU=#db=ers&amp;AN=96397094</w:t>
      </w:r>
    </w:p>
    <w:p w:rsidR="00C144B0" w:rsidRDefault="00C144B0" w:rsidP="00C83948">
      <w:pPr>
        <w:pStyle w:val="FootnoteText"/>
      </w:pPr>
    </w:p>
  </w:footnote>
  <w:footnote w:id="52">
    <w:p w:rsidR="007A0BAA" w:rsidRDefault="007A0BAA">
      <w:pPr>
        <w:pStyle w:val="FootnoteText"/>
      </w:pPr>
      <w:r>
        <w:rPr>
          <w:rStyle w:val="FootnoteReference"/>
        </w:rPr>
        <w:footnoteRef/>
      </w:r>
      <w:r>
        <w:t xml:space="preserve"> </w:t>
      </w:r>
      <w:r w:rsidRPr="007A0BAA">
        <w:t>Fridell, M. (2009, April 7). Consolidated response on gender quotas in African countries [Web log message]. Retrieved from http://aceproject.org/electoral-advice/archive/questions/replies/165671188</w:t>
      </w:r>
    </w:p>
  </w:footnote>
  <w:footnote w:id="53">
    <w:p w:rsidR="00CD102E" w:rsidRDefault="00CD102E">
      <w:pPr>
        <w:pStyle w:val="FootnoteText"/>
      </w:pPr>
      <w:r>
        <w:rPr>
          <w:rStyle w:val="FootnoteReference"/>
        </w:rPr>
        <w:footnoteRef/>
      </w:r>
      <w:r>
        <w:t xml:space="preserve"> </w:t>
      </w:r>
      <w:r w:rsidRPr="00CD102E">
        <w:t>Klugman, J. &amp; Twigg, S. (2015, January). Gender at work in africa: legal constraints and opportunities for reform. Oxford Human Rights Hub, Working Paper N0.3, 9-10.</w:t>
      </w:r>
    </w:p>
  </w:footnote>
  <w:footnote w:id="54">
    <w:p w:rsidR="00C144B0" w:rsidRDefault="00C144B0">
      <w:pPr>
        <w:pStyle w:val="FootnoteText"/>
      </w:pPr>
      <w:r>
        <w:rPr>
          <w:rStyle w:val="FootnoteReference"/>
        </w:rPr>
        <w:footnoteRef/>
      </w:r>
      <w:r>
        <w:t xml:space="preserve"> </w:t>
      </w:r>
      <w:r w:rsidRPr="00221484">
        <w:t>Mining.com. (2015, April 15). Let's talk about: women in the mining industry. Retrieved from http://www.mining.com/lets-talk-about-women-in-the-mining-industry-31775/</w:t>
      </w:r>
    </w:p>
  </w:footnote>
  <w:footnote w:id="55">
    <w:p w:rsidR="00C144B0" w:rsidRDefault="00C144B0">
      <w:pPr>
        <w:pStyle w:val="FootnoteText"/>
      </w:pPr>
      <w:r>
        <w:rPr>
          <w:rStyle w:val="FootnoteReference"/>
        </w:rPr>
        <w:footnoteRef/>
      </w:r>
      <w:r>
        <w:t xml:space="preserve"> PwC. (2013-2015</w:t>
      </w:r>
      <w:r w:rsidRPr="0027242D">
        <w:t>.). Mining for talent. A study of women on boards in the mining industry. Retrieved from http://www.pwc.co.uk/mining/publications/mining-for-talent-a-study-of-women-on-boards-in-the-mining-industry.jhtml</w:t>
      </w:r>
    </w:p>
  </w:footnote>
  <w:footnote w:id="56">
    <w:p w:rsidR="00C144B0" w:rsidRDefault="00C144B0">
      <w:pPr>
        <w:pStyle w:val="FootnoteText"/>
      </w:pPr>
      <w:r>
        <w:rPr>
          <w:rStyle w:val="FootnoteReference"/>
        </w:rPr>
        <w:footnoteRef/>
      </w:r>
      <w:r>
        <w:t xml:space="preserve"> PwC. Ibid.</w:t>
      </w:r>
    </w:p>
  </w:footnote>
  <w:footnote w:id="57">
    <w:p w:rsidR="00C144B0" w:rsidRDefault="00C144B0">
      <w:pPr>
        <w:pStyle w:val="FootnoteText"/>
      </w:pPr>
      <w:r>
        <w:rPr>
          <w:rStyle w:val="FootnoteReference"/>
        </w:rPr>
        <w:footnoteRef/>
      </w:r>
      <w:r>
        <w:t xml:space="preserve"> </w:t>
      </w:r>
      <w:r w:rsidRPr="00A03230">
        <w:t>CNBCAfrica.com. (2015, February 12). S. Africa’s new gender bill ruffles feathers with 50% women quota. Retrieved from http://www.cnbcafrica.com/news/southern-africa/2014/02/10/safrica’s-new-gender-bill-ruffles-feathers-with-50-women-quota/</w:t>
      </w:r>
    </w:p>
  </w:footnote>
  <w:footnote w:id="58">
    <w:p w:rsidR="009002F6" w:rsidRDefault="009002F6">
      <w:pPr>
        <w:pStyle w:val="FootnoteText"/>
      </w:pPr>
      <w:r>
        <w:rPr>
          <w:rStyle w:val="FootnoteReference"/>
        </w:rPr>
        <w:footnoteRef/>
      </w:r>
      <w:r>
        <w:t xml:space="preserve"> </w:t>
      </w:r>
      <w:r w:rsidR="00DF0748" w:rsidRPr="00DF0748">
        <w:t>Gla</w:t>
      </w:r>
      <w:r w:rsidR="00DF0748">
        <w:t>dman, K., &amp; Lamb, M. (2013). GMI</w:t>
      </w:r>
      <w:r w:rsidR="00DF0748" w:rsidRPr="00DF0748">
        <w:t xml:space="preserve"> ratings' 2013 women on boards survey (pg. 19). Retrieved from GMI Ratings website: https://www.boarddiversity.ca/sites/default/files/GMIRatings_WOB_042013.pdf</w:t>
      </w:r>
    </w:p>
  </w:footnote>
  <w:footnote w:id="59">
    <w:p w:rsidR="00263516" w:rsidRDefault="00263516">
      <w:pPr>
        <w:pStyle w:val="FootnoteText"/>
      </w:pPr>
      <w:r>
        <w:rPr>
          <w:rStyle w:val="FootnoteReference"/>
        </w:rPr>
        <w:footnoteRef/>
      </w:r>
      <w:r>
        <w:t xml:space="preserve"> </w:t>
      </w:r>
      <w:r w:rsidR="00774351" w:rsidRPr="00774351">
        <w:t>National Corporate Governance Review Committee (NCGRC). (2011)</w:t>
      </w:r>
      <w:r w:rsidR="00774351">
        <w:t>. The Malawi code II</w:t>
      </w:r>
      <w:r w:rsidR="00774351" w:rsidRPr="00774351">
        <w:t xml:space="preserve"> (CAMO Sector Guidelines - section 10.3</w:t>
      </w:r>
      <w:r w:rsidR="00752BB2" w:rsidRPr="00774351">
        <w:t>) Institute</w:t>
      </w:r>
      <w:r w:rsidR="00774351" w:rsidRPr="00774351">
        <w:t xml:space="preserve"> of Directors - Malawi.</w:t>
      </w:r>
    </w:p>
  </w:footnote>
  <w:footnote w:id="60">
    <w:p w:rsidR="00752BB2" w:rsidRDefault="00752BB2">
      <w:pPr>
        <w:pStyle w:val="FootnoteText"/>
      </w:pPr>
      <w:r>
        <w:rPr>
          <w:rStyle w:val="FootnoteReference"/>
        </w:rPr>
        <w:footnoteRef/>
      </w:r>
      <w:r>
        <w:t xml:space="preserve"> </w:t>
      </w:r>
      <w:r w:rsidRPr="00752BB2">
        <w:t>Okioga, C. (2013, April). The role of women in corporate governance on organizational performance, a Kenyan case study. Journal of Research in Peace, Gender and Development, 3(3), 39-40.</w:t>
      </w:r>
      <w:r>
        <w:t xml:space="preserve"> </w:t>
      </w:r>
    </w:p>
  </w:footnote>
  <w:footnote w:id="61">
    <w:p w:rsidR="00A604FC" w:rsidRDefault="00A604FC">
      <w:pPr>
        <w:pStyle w:val="FootnoteText"/>
      </w:pPr>
      <w:r>
        <w:rPr>
          <w:rStyle w:val="FootnoteReference"/>
        </w:rPr>
        <w:footnoteRef/>
      </w:r>
      <w:r>
        <w:t xml:space="preserve"> Ibid.</w:t>
      </w:r>
    </w:p>
  </w:footnote>
  <w:footnote w:id="62">
    <w:p w:rsidR="004746DD" w:rsidRDefault="004746DD">
      <w:pPr>
        <w:pStyle w:val="FootnoteText"/>
      </w:pPr>
      <w:r>
        <w:rPr>
          <w:rStyle w:val="FootnoteReference"/>
        </w:rPr>
        <w:footnoteRef/>
      </w:r>
      <w:r>
        <w:t xml:space="preserve"> </w:t>
      </w:r>
      <w:r w:rsidR="00E63DE8" w:rsidRPr="00E63DE8">
        <w:t>Hastings, P. (2013). Morocco. Breaking the glass ceiling: women in the boardroom, Third Edition, 46-47. Retrieved from https://www.paulhastings.com/genderparity/pdf/Gender_Parity_Report.pdf</w:t>
      </w:r>
    </w:p>
  </w:footnote>
  <w:footnote w:id="63">
    <w:p w:rsidR="005F34E3" w:rsidRDefault="005F34E3">
      <w:pPr>
        <w:pStyle w:val="FootnoteText"/>
      </w:pPr>
      <w:r>
        <w:rPr>
          <w:rStyle w:val="FootnoteReference"/>
        </w:rPr>
        <w:footnoteRef/>
      </w:r>
      <w:r>
        <w:t xml:space="preserve"> </w:t>
      </w:r>
      <w:r w:rsidR="00BE38C3" w:rsidRPr="00BE38C3">
        <w:t>Grant Thornton. (2014</w:t>
      </w:r>
      <w:r w:rsidR="001E4616">
        <w:t>a</w:t>
      </w:r>
      <w:r w:rsidR="00BE38C3" w:rsidRPr="00BE38C3">
        <w:t xml:space="preserve">). The workforce. Women in Business: </w:t>
      </w:r>
      <w:r w:rsidR="00BE38C3">
        <w:t>From classroom to boardroom, 13-13</w:t>
      </w:r>
      <w:r w:rsidR="00BE38C3" w:rsidRPr="00BE38C3">
        <w:t>.</w:t>
      </w:r>
    </w:p>
  </w:footnote>
  <w:footnote w:id="64">
    <w:p w:rsidR="001E4616" w:rsidRDefault="001E4616">
      <w:pPr>
        <w:pStyle w:val="FootnoteText"/>
      </w:pPr>
      <w:r>
        <w:rPr>
          <w:rStyle w:val="FootnoteReference"/>
        </w:rPr>
        <w:footnoteRef/>
      </w:r>
      <w:r>
        <w:t xml:space="preserve"> </w:t>
      </w:r>
      <w:r w:rsidRPr="001E4616">
        <w:t>GrantThonton. (2014</w:t>
      </w:r>
      <w:r>
        <w:t>b</w:t>
      </w:r>
      <w:r w:rsidRPr="001E4616">
        <w:t>, August 6). Support for gende</w:t>
      </w:r>
      <w:r w:rsidR="00E8663B">
        <w:t>r quotas rises worldwide while SA</w:t>
      </w:r>
      <w:r w:rsidRPr="001E4616">
        <w:t xml:space="preserve"> support starts to diminish. Retrieved from http://www.gt.co.za/news/2014/08/support-for-gender-quotas-rises-worldwide-while-sa-support-starts-to-diminish/</w:t>
      </w:r>
    </w:p>
  </w:footnote>
  <w:footnote w:id="65">
    <w:p w:rsidR="00D3515E" w:rsidRDefault="00D3515E" w:rsidP="00D3515E">
      <w:pPr>
        <w:pStyle w:val="FootnoteText"/>
      </w:pPr>
      <w:r>
        <w:rPr>
          <w:rStyle w:val="FootnoteReference"/>
        </w:rPr>
        <w:footnoteRef/>
      </w:r>
      <w:r>
        <w:t xml:space="preserve"> </w:t>
      </w:r>
      <w:r w:rsidRPr="009F3FB8">
        <w:t>Tinker, I. (2004). Promises of empowerment: Women in Asia and Latin America (pp. 35-59) (P. Smith, J. Troutner, &amp; C. Huefeldt, Eds.). Lanham, Md., MD: Rowman &amp; Littlefield.</w:t>
      </w:r>
    </w:p>
  </w:footnote>
  <w:footnote w:id="66">
    <w:p w:rsidR="00E0342D" w:rsidRDefault="00E0342D" w:rsidP="003334CA">
      <w:r>
        <w:rPr>
          <w:rStyle w:val="FootnoteReference"/>
        </w:rPr>
        <w:footnoteRef/>
      </w:r>
      <w:r>
        <w:t xml:space="preserve"> </w:t>
      </w:r>
      <w:r>
        <w:rPr>
          <w:sz w:val="20"/>
          <w:szCs w:val="20"/>
        </w:rPr>
        <w:t>Krook, L</w:t>
      </w:r>
      <w:r w:rsidRPr="00855019">
        <w:rPr>
          <w:sz w:val="20"/>
          <w:szCs w:val="20"/>
        </w:rPr>
        <w:t xml:space="preserve">. (2013). </w:t>
      </w:r>
      <w:r>
        <w:rPr>
          <w:sz w:val="20"/>
          <w:szCs w:val="20"/>
        </w:rPr>
        <w:t>G</w:t>
      </w:r>
      <w:r w:rsidRPr="00855019">
        <w:rPr>
          <w:sz w:val="20"/>
          <w:szCs w:val="20"/>
        </w:rPr>
        <w:t>ender quotas</w:t>
      </w:r>
      <w:r>
        <w:rPr>
          <w:sz w:val="20"/>
          <w:szCs w:val="20"/>
        </w:rPr>
        <w:t xml:space="preserve"> and democracy: Insights from Africa and beyond</w:t>
      </w:r>
      <w:r w:rsidRPr="00855019">
        <w:rPr>
          <w:sz w:val="20"/>
          <w:szCs w:val="20"/>
        </w:rPr>
        <w:t>. Women’s Stud</w:t>
      </w:r>
      <w:r>
        <w:rPr>
          <w:sz w:val="20"/>
          <w:szCs w:val="20"/>
        </w:rPr>
        <w:t>ies International Forum, 41, 161-161.</w:t>
      </w:r>
      <w:r w:rsidR="003334CA">
        <w:rPr>
          <w:sz w:val="20"/>
          <w:szCs w:val="20"/>
        </w:rPr>
        <w:t xml:space="preserve"> </w:t>
      </w:r>
    </w:p>
  </w:footnote>
  <w:footnote w:id="67">
    <w:p w:rsidR="009B5BDD" w:rsidRDefault="009B5BDD" w:rsidP="003334CA">
      <w:pPr>
        <w:spacing w:line="240" w:lineRule="auto"/>
      </w:pPr>
      <w:r>
        <w:rPr>
          <w:rStyle w:val="FootnoteReference"/>
        </w:rPr>
        <w:footnoteRef/>
      </w:r>
      <w:r>
        <w:t xml:space="preserve"> </w:t>
      </w:r>
      <w:r w:rsidRPr="00C37D7F">
        <w:rPr>
          <w:sz w:val="20"/>
          <w:szCs w:val="20"/>
        </w:rPr>
        <w:t xml:space="preserve">Voting rights are not quotas. (1982, March 19). Voting Rights Are Not Quotas. Retrieved April 29, 2015, from </w:t>
      </w:r>
      <w:hyperlink r:id="rId4" w:history="1">
        <w:r w:rsidR="003334CA" w:rsidRPr="00205019">
          <w:rPr>
            <w:rStyle w:val="Hyperlink"/>
            <w:sz w:val="20"/>
            <w:szCs w:val="20"/>
          </w:rPr>
          <w:t>http://www.nytimes.com/1982/03/19/opinion/voting-rights-are-not-quotas.html</w:t>
        </w:r>
      </w:hyperlink>
      <w:r w:rsidR="003334CA">
        <w:rPr>
          <w:sz w:val="20"/>
          <w:szCs w:val="20"/>
        </w:rPr>
        <w:t xml:space="preserve"> </w:t>
      </w:r>
    </w:p>
  </w:footnote>
  <w:footnote w:id="68">
    <w:p w:rsidR="00C144B0" w:rsidRDefault="00C144B0" w:rsidP="00780613">
      <w:pPr>
        <w:pStyle w:val="FootnoteText"/>
      </w:pPr>
      <w:r>
        <w:rPr>
          <w:rStyle w:val="FootnoteReference"/>
        </w:rPr>
        <w:footnoteRef/>
      </w:r>
      <w:r>
        <w:t xml:space="preserve"> Duke Corporate Education. (2013/14)</w:t>
      </w:r>
      <w:r w:rsidRPr="00E937FA">
        <w:t xml:space="preserve">. Women leading Africa. Retrieved April 29, 2015, from </w:t>
      </w:r>
      <w:bookmarkStart w:id="0" w:name="_GoBack"/>
      <w:r w:rsidRPr="00E937FA">
        <w:t>http://www.dukece.com/elements/docs/WLA Brochure.pdf</w:t>
      </w:r>
    </w:p>
    <w:bookmarkEnd w:id="0"/>
  </w:footnote>
  <w:footnote w:id="69">
    <w:p w:rsidR="00C144B0" w:rsidRDefault="00C144B0" w:rsidP="00780613">
      <w:pPr>
        <w:pStyle w:val="FootnoteText"/>
      </w:pPr>
      <w:r>
        <w:rPr>
          <w:rStyle w:val="FootnoteReference"/>
        </w:rPr>
        <w:footnoteRef/>
      </w:r>
      <w:r>
        <w:t xml:space="preserve"> Ernst &amp; Young. Ibid. 7-7</w:t>
      </w:r>
    </w:p>
  </w:footnote>
  <w:footnote w:id="70">
    <w:p w:rsidR="00611AD3" w:rsidRDefault="00611AD3">
      <w:pPr>
        <w:pStyle w:val="FootnoteText"/>
      </w:pPr>
      <w:r>
        <w:rPr>
          <w:rStyle w:val="FootnoteReference"/>
        </w:rPr>
        <w:footnoteRef/>
      </w:r>
      <w:r>
        <w:t xml:space="preserve"> </w:t>
      </w:r>
      <w:r w:rsidRPr="00611AD3">
        <w:t>UNIDO. (2008). 6.3.3 strengthening inter-firm specialization and linkages Creating an enabling environment for private sector development in sub-Saharan Africa, 45. Retrieved from https://www.unido.org/fileadmin/user_media/Publications/documents/creating_an_enabling_environment_for_private_sector_development_in_subSaharan_Africa_01.pdf</w:t>
      </w:r>
    </w:p>
  </w:footnote>
  <w:footnote w:id="71">
    <w:p w:rsidR="00C144B0" w:rsidRDefault="00C144B0" w:rsidP="00A5366E">
      <w:pPr>
        <w:pStyle w:val="FootnoteText"/>
      </w:pPr>
      <w:r>
        <w:rPr>
          <w:rStyle w:val="FootnoteReference"/>
        </w:rPr>
        <w:footnoteRef/>
      </w:r>
      <w:r>
        <w:t xml:space="preserve"> </w:t>
      </w:r>
      <w:r w:rsidRPr="00C94A7C">
        <w:t>Coleman, I. (2011). Women and the global economy. Yale Journal of International Affairs, (Winter 2011), 26-26.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DD4"/>
    <w:multiLevelType w:val="hybridMultilevel"/>
    <w:tmpl w:val="0846D3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25C75"/>
    <w:multiLevelType w:val="hybridMultilevel"/>
    <w:tmpl w:val="27207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F02EE"/>
    <w:multiLevelType w:val="hybridMultilevel"/>
    <w:tmpl w:val="A4B41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02FBE"/>
    <w:multiLevelType w:val="hybridMultilevel"/>
    <w:tmpl w:val="751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D1AFC"/>
    <w:multiLevelType w:val="hybridMultilevel"/>
    <w:tmpl w:val="C57CDD8E"/>
    <w:lvl w:ilvl="0" w:tplc="DFC2A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E2916"/>
    <w:multiLevelType w:val="hybridMultilevel"/>
    <w:tmpl w:val="BD7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31AAA"/>
    <w:multiLevelType w:val="hybridMultilevel"/>
    <w:tmpl w:val="640A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9D6B86"/>
    <w:multiLevelType w:val="hybridMultilevel"/>
    <w:tmpl w:val="19FE8EF4"/>
    <w:lvl w:ilvl="0" w:tplc="E90E6640">
      <w:start w:val="1"/>
      <w:numFmt w:val="upp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nsid w:val="523170CF"/>
    <w:multiLevelType w:val="hybridMultilevel"/>
    <w:tmpl w:val="F774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D4349"/>
    <w:multiLevelType w:val="hybridMultilevel"/>
    <w:tmpl w:val="237E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92287"/>
    <w:multiLevelType w:val="hybridMultilevel"/>
    <w:tmpl w:val="47BE9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C02539"/>
    <w:multiLevelType w:val="hybridMultilevel"/>
    <w:tmpl w:val="4ED8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D61FD"/>
    <w:multiLevelType w:val="hybridMultilevel"/>
    <w:tmpl w:val="5B8EAA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E36679F"/>
    <w:multiLevelType w:val="hybridMultilevel"/>
    <w:tmpl w:val="0D027C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72561BCD"/>
    <w:multiLevelType w:val="hybridMultilevel"/>
    <w:tmpl w:val="A90E1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E7B56"/>
    <w:multiLevelType w:val="hybridMultilevel"/>
    <w:tmpl w:val="A5448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141236"/>
    <w:multiLevelType w:val="hybridMultilevel"/>
    <w:tmpl w:val="8580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345CFA"/>
    <w:multiLevelType w:val="hybridMultilevel"/>
    <w:tmpl w:val="C3BCA730"/>
    <w:lvl w:ilvl="0" w:tplc="FF783C5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6"/>
  </w:num>
  <w:num w:numId="4">
    <w:abstractNumId w:val="11"/>
  </w:num>
  <w:num w:numId="5">
    <w:abstractNumId w:val="13"/>
  </w:num>
  <w:num w:numId="6">
    <w:abstractNumId w:val="9"/>
  </w:num>
  <w:num w:numId="7">
    <w:abstractNumId w:val="4"/>
  </w:num>
  <w:num w:numId="8">
    <w:abstractNumId w:val="1"/>
  </w:num>
  <w:num w:numId="9">
    <w:abstractNumId w:val="3"/>
  </w:num>
  <w:num w:numId="10">
    <w:abstractNumId w:val="14"/>
  </w:num>
  <w:num w:numId="11">
    <w:abstractNumId w:val="2"/>
  </w:num>
  <w:num w:numId="12">
    <w:abstractNumId w:val="8"/>
  </w:num>
  <w:num w:numId="13">
    <w:abstractNumId w:val="5"/>
  </w:num>
  <w:num w:numId="14">
    <w:abstractNumId w:val="7"/>
  </w:num>
  <w:num w:numId="15">
    <w:abstractNumId w:val="15"/>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E4"/>
    <w:rsid w:val="0000185A"/>
    <w:rsid w:val="00002910"/>
    <w:rsid w:val="00003CB1"/>
    <w:rsid w:val="0001003F"/>
    <w:rsid w:val="00012454"/>
    <w:rsid w:val="00014C35"/>
    <w:rsid w:val="00017031"/>
    <w:rsid w:val="00026E17"/>
    <w:rsid w:val="000358B5"/>
    <w:rsid w:val="00035E90"/>
    <w:rsid w:val="000378F3"/>
    <w:rsid w:val="00040480"/>
    <w:rsid w:val="00040A1D"/>
    <w:rsid w:val="00041346"/>
    <w:rsid w:val="000417FA"/>
    <w:rsid w:val="0004717F"/>
    <w:rsid w:val="0005166C"/>
    <w:rsid w:val="000524EF"/>
    <w:rsid w:val="00052E45"/>
    <w:rsid w:val="00056889"/>
    <w:rsid w:val="00057AB9"/>
    <w:rsid w:val="00057BD3"/>
    <w:rsid w:val="0006053B"/>
    <w:rsid w:val="0006074C"/>
    <w:rsid w:val="00062BAB"/>
    <w:rsid w:val="0006496D"/>
    <w:rsid w:val="000719EA"/>
    <w:rsid w:val="00072FEC"/>
    <w:rsid w:val="00081EB2"/>
    <w:rsid w:val="00082DE1"/>
    <w:rsid w:val="00083D42"/>
    <w:rsid w:val="00090C61"/>
    <w:rsid w:val="00092621"/>
    <w:rsid w:val="00093669"/>
    <w:rsid w:val="000957BC"/>
    <w:rsid w:val="000A05D9"/>
    <w:rsid w:val="000A279A"/>
    <w:rsid w:val="000A2AD7"/>
    <w:rsid w:val="000A2ADF"/>
    <w:rsid w:val="000A6C7D"/>
    <w:rsid w:val="000B0896"/>
    <w:rsid w:val="000B0DC2"/>
    <w:rsid w:val="000B1746"/>
    <w:rsid w:val="000B6CC9"/>
    <w:rsid w:val="000B6DB5"/>
    <w:rsid w:val="000C011A"/>
    <w:rsid w:val="000C2325"/>
    <w:rsid w:val="000C2AE4"/>
    <w:rsid w:val="000C2BE5"/>
    <w:rsid w:val="000C63E2"/>
    <w:rsid w:val="000C6473"/>
    <w:rsid w:val="000D2E5E"/>
    <w:rsid w:val="000D3113"/>
    <w:rsid w:val="000D6940"/>
    <w:rsid w:val="000E1DCE"/>
    <w:rsid w:val="000E2078"/>
    <w:rsid w:val="000E5B83"/>
    <w:rsid w:val="000E79DC"/>
    <w:rsid w:val="000E7EC0"/>
    <w:rsid w:val="000F3192"/>
    <w:rsid w:val="000F64DE"/>
    <w:rsid w:val="00103651"/>
    <w:rsid w:val="00103C53"/>
    <w:rsid w:val="00105B52"/>
    <w:rsid w:val="00106D5E"/>
    <w:rsid w:val="001072DE"/>
    <w:rsid w:val="00111C1A"/>
    <w:rsid w:val="001151F4"/>
    <w:rsid w:val="00120077"/>
    <w:rsid w:val="00127AB8"/>
    <w:rsid w:val="001302BA"/>
    <w:rsid w:val="00131CEB"/>
    <w:rsid w:val="00132088"/>
    <w:rsid w:val="00132B9B"/>
    <w:rsid w:val="001335D6"/>
    <w:rsid w:val="0013610F"/>
    <w:rsid w:val="00136E24"/>
    <w:rsid w:val="001408C1"/>
    <w:rsid w:val="00141707"/>
    <w:rsid w:val="0014319E"/>
    <w:rsid w:val="0014429B"/>
    <w:rsid w:val="00145E20"/>
    <w:rsid w:val="00147BD1"/>
    <w:rsid w:val="00150F46"/>
    <w:rsid w:val="00152F13"/>
    <w:rsid w:val="0015338B"/>
    <w:rsid w:val="00155517"/>
    <w:rsid w:val="001565DA"/>
    <w:rsid w:val="00162952"/>
    <w:rsid w:val="00162D63"/>
    <w:rsid w:val="00162FFE"/>
    <w:rsid w:val="00165E4A"/>
    <w:rsid w:val="00166642"/>
    <w:rsid w:val="001679CD"/>
    <w:rsid w:val="00170FD9"/>
    <w:rsid w:val="001710EA"/>
    <w:rsid w:val="00171E74"/>
    <w:rsid w:val="00173342"/>
    <w:rsid w:val="00176764"/>
    <w:rsid w:val="001828F1"/>
    <w:rsid w:val="001850C7"/>
    <w:rsid w:val="00185BAF"/>
    <w:rsid w:val="001865A7"/>
    <w:rsid w:val="00196852"/>
    <w:rsid w:val="00197909"/>
    <w:rsid w:val="001A1982"/>
    <w:rsid w:val="001A68A7"/>
    <w:rsid w:val="001A79EE"/>
    <w:rsid w:val="001B2259"/>
    <w:rsid w:val="001B24AB"/>
    <w:rsid w:val="001B6B21"/>
    <w:rsid w:val="001C2C38"/>
    <w:rsid w:val="001C3E27"/>
    <w:rsid w:val="001C41CE"/>
    <w:rsid w:val="001C71D2"/>
    <w:rsid w:val="001D1019"/>
    <w:rsid w:val="001D125F"/>
    <w:rsid w:val="001D3560"/>
    <w:rsid w:val="001D55B7"/>
    <w:rsid w:val="001E4616"/>
    <w:rsid w:val="001F0016"/>
    <w:rsid w:val="001F1102"/>
    <w:rsid w:val="001F2F8B"/>
    <w:rsid w:val="001F3BD6"/>
    <w:rsid w:val="001F48B6"/>
    <w:rsid w:val="001F510A"/>
    <w:rsid w:val="002063F1"/>
    <w:rsid w:val="00217497"/>
    <w:rsid w:val="00217659"/>
    <w:rsid w:val="00221484"/>
    <w:rsid w:val="0022287E"/>
    <w:rsid w:val="0022573D"/>
    <w:rsid w:val="00227226"/>
    <w:rsid w:val="0022747B"/>
    <w:rsid w:val="002323A7"/>
    <w:rsid w:val="0023486D"/>
    <w:rsid w:val="002355D4"/>
    <w:rsid w:val="002409ED"/>
    <w:rsid w:val="00241F7C"/>
    <w:rsid w:val="002430B0"/>
    <w:rsid w:val="002533C0"/>
    <w:rsid w:val="00254C8C"/>
    <w:rsid w:val="0025707C"/>
    <w:rsid w:val="00260B93"/>
    <w:rsid w:val="00263516"/>
    <w:rsid w:val="00263C81"/>
    <w:rsid w:val="00264F8C"/>
    <w:rsid w:val="00266A27"/>
    <w:rsid w:val="0026779F"/>
    <w:rsid w:val="0027242D"/>
    <w:rsid w:val="00281F3F"/>
    <w:rsid w:val="00284D2A"/>
    <w:rsid w:val="00284E97"/>
    <w:rsid w:val="002909BB"/>
    <w:rsid w:val="00292E85"/>
    <w:rsid w:val="002A21FE"/>
    <w:rsid w:val="002A36B0"/>
    <w:rsid w:val="002A37DE"/>
    <w:rsid w:val="002A6AED"/>
    <w:rsid w:val="002A7EE0"/>
    <w:rsid w:val="002B0BB4"/>
    <w:rsid w:val="002B4282"/>
    <w:rsid w:val="002B4876"/>
    <w:rsid w:val="002B7675"/>
    <w:rsid w:val="002C127C"/>
    <w:rsid w:val="002C1E85"/>
    <w:rsid w:val="002C7145"/>
    <w:rsid w:val="002D506C"/>
    <w:rsid w:val="002D759F"/>
    <w:rsid w:val="002E092C"/>
    <w:rsid w:val="002E0DE6"/>
    <w:rsid w:val="002E1208"/>
    <w:rsid w:val="002E285B"/>
    <w:rsid w:val="002E2CA0"/>
    <w:rsid w:val="002E2F2D"/>
    <w:rsid w:val="002E445A"/>
    <w:rsid w:val="002F28BA"/>
    <w:rsid w:val="002F4921"/>
    <w:rsid w:val="002F78B3"/>
    <w:rsid w:val="0030291B"/>
    <w:rsid w:val="00305C3D"/>
    <w:rsid w:val="003107C2"/>
    <w:rsid w:val="00310F59"/>
    <w:rsid w:val="003127F6"/>
    <w:rsid w:val="00313057"/>
    <w:rsid w:val="00314B18"/>
    <w:rsid w:val="003151EF"/>
    <w:rsid w:val="0032057A"/>
    <w:rsid w:val="00322016"/>
    <w:rsid w:val="00327FBA"/>
    <w:rsid w:val="0033303E"/>
    <w:rsid w:val="003334CA"/>
    <w:rsid w:val="00335423"/>
    <w:rsid w:val="003407E2"/>
    <w:rsid w:val="00342281"/>
    <w:rsid w:val="00345E1B"/>
    <w:rsid w:val="00351165"/>
    <w:rsid w:val="003566B2"/>
    <w:rsid w:val="0036530C"/>
    <w:rsid w:val="00367D90"/>
    <w:rsid w:val="00370749"/>
    <w:rsid w:val="00371419"/>
    <w:rsid w:val="00375302"/>
    <w:rsid w:val="0037531A"/>
    <w:rsid w:val="00376F91"/>
    <w:rsid w:val="00376FD4"/>
    <w:rsid w:val="003807D1"/>
    <w:rsid w:val="0038301E"/>
    <w:rsid w:val="003836D2"/>
    <w:rsid w:val="00386C4F"/>
    <w:rsid w:val="00390715"/>
    <w:rsid w:val="0039337A"/>
    <w:rsid w:val="00395791"/>
    <w:rsid w:val="003A1F3D"/>
    <w:rsid w:val="003A2C8D"/>
    <w:rsid w:val="003A36CA"/>
    <w:rsid w:val="003A4CFE"/>
    <w:rsid w:val="003A5755"/>
    <w:rsid w:val="003A724C"/>
    <w:rsid w:val="003B3E32"/>
    <w:rsid w:val="003B490E"/>
    <w:rsid w:val="003B6EEC"/>
    <w:rsid w:val="003C0931"/>
    <w:rsid w:val="003C7F7C"/>
    <w:rsid w:val="003D170C"/>
    <w:rsid w:val="003D486D"/>
    <w:rsid w:val="003D74B2"/>
    <w:rsid w:val="003E4AA4"/>
    <w:rsid w:val="003E5D8A"/>
    <w:rsid w:val="00401356"/>
    <w:rsid w:val="00404756"/>
    <w:rsid w:val="0040589D"/>
    <w:rsid w:val="00410432"/>
    <w:rsid w:val="004119E1"/>
    <w:rsid w:val="00412089"/>
    <w:rsid w:val="004120A1"/>
    <w:rsid w:val="004125F0"/>
    <w:rsid w:val="00417132"/>
    <w:rsid w:val="00417475"/>
    <w:rsid w:val="004202D2"/>
    <w:rsid w:val="00426E5D"/>
    <w:rsid w:val="00431981"/>
    <w:rsid w:val="0043254C"/>
    <w:rsid w:val="00434A30"/>
    <w:rsid w:val="00437925"/>
    <w:rsid w:val="0044252A"/>
    <w:rsid w:val="00442E82"/>
    <w:rsid w:val="004507A0"/>
    <w:rsid w:val="00453EEC"/>
    <w:rsid w:val="00455237"/>
    <w:rsid w:val="00462B61"/>
    <w:rsid w:val="00463A4C"/>
    <w:rsid w:val="004714FD"/>
    <w:rsid w:val="004746DD"/>
    <w:rsid w:val="00482981"/>
    <w:rsid w:val="00482E3B"/>
    <w:rsid w:val="004852D2"/>
    <w:rsid w:val="00487D43"/>
    <w:rsid w:val="0049002F"/>
    <w:rsid w:val="004904CB"/>
    <w:rsid w:val="0049538A"/>
    <w:rsid w:val="004A351D"/>
    <w:rsid w:val="004A4484"/>
    <w:rsid w:val="004A4E88"/>
    <w:rsid w:val="004A65B0"/>
    <w:rsid w:val="004B109B"/>
    <w:rsid w:val="004B57A8"/>
    <w:rsid w:val="004B7374"/>
    <w:rsid w:val="004C1C66"/>
    <w:rsid w:val="004C3CAD"/>
    <w:rsid w:val="004C5206"/>
    <w:rsid w:val="004C5D6E"/>
    <w:rsid w:val="004C6C83"/>
    <w:rsid w:val="004C6FA5"/>
    <w:rsid w:val="004D1297"/>
    <w:rsid w:val="004D246A"/>
    <w:rsid w:val="004D35B0"/>
    <w:rsid w:val="004D4BFB"/>
    <w:rsid w:val="004E1B47"/>
    <w:rsid w:val="004E2AE2"/>
    <w:rsid w:val="004E44D7"/>
    <w:rsid w:val="004E738E"/>
    <w:rsid w:val="004F18AA"/>
    <w:rsid w:val="004F22CB"/>
    <w:rsid w:val="004F22E4"/>
    <w:rsid w:val="004F23B6"/>
    <w:rsid w:val="004F3F22"/>
    <w:rsid w:val="004F5415"/>
    <w:rsid w:val="004F5FC6"/>
    <w:rsid w:val="00503850"/>
    <w:rsid w:val="005045B4"/>
    <w:rsid w:val="00505B56"/>
    <w:rsid w:val="005105EC"/>
    <w:rsid w:val="0051125D"/>
    <w:rsid w:val="00513585"/>
    <w:rsid w:val="0051531D"/>
    <w:rsid w:val="00516342"/>
    <w:rsid w:val="00520B63"/>
    <w:rsid w:val="00520C38"/>
    <w:rsid w:val="00523FC7"/>
    <w:rsid w:val="005272EE"/>
    <w:rsid w:val="00531CD1"/>
    <w:rsid w:val="00531DA1"/>
    <w:rsid w:val="00536735"/>
    <w:rsid w:val="00536E47"/>
    <w:rsid w:val="00537F26"/>
    <w:rsid w:val="0054149D"/>
    <w:rsid w:val="00541AB0"/>
    <w:rsid w:val="00543E20"/>
    <w:rsid w:val="005454E0"/>
    <w:rsid w:val="00547D79"/>
    <w:rsid w:val="005507C6"/>
    <w:rsid w:val="00552322"/>
    <w:rsid w:val="0055352A"/>
    <w:rsid w:val="00553C61"/>
    <w:rsid w:val="00554445"/>
    <w:rsid w:val="00554DF4"/>
    <w:rsid w:val="0055612A"/>
    <w:rsid w:val="005604D5"/>
    <w:rsid w:val="005619AB"/>
    <w:rsid w:val="005632FD"/>
    <w:rsid w:val="00567407"/>
    <w:rsid w:val="005723FD"/>
    <w:rsid w:val="005736A8"/>
    <w:rsid w:val="0057579C"/>
    <w:rsid w:val="00577CF4"/>
    <w:rsid w:val="0058166B"/>
    <w:rsid w:val="00591546"/>
    <w:rsid w:val="0059248F"/>
    <w:rsid w:val="00592EDB"/>
    <w:rsid w:val="005A06A2"/>
    <w:rsid w:val="005A3725"/>
    <w:rsid w:val="005A39DE"/>
    <w:rsid w:val="005A462E"/>
    <w:rsid w:val="005A4701"/>
    <w:rsid w:val="005A662C"/>
    <w:rsid w:val="005B088B"/>
    <w:rsid w:val="005C0326"/>
    <w:rsid w:val="005C1EB5"/>
    <w:rsid w:val="005C3E95"/>
    <w:rsid w:val="005C4503"/>
    <w:rsid w:val="005C4EDE"/>
    <w:rsid w:val="005C5CAA"/>
    <w:rsid w:val="005D4EEA"/>
    <w:rsid w:val="005D6012"/>
    <w:rsid w:val="005D788B"/>
    <w:rsid w:val="005E2AB3"/>
    <w:rsid w:val="005E3F2C"/>
    <w:rsid w:val="005E5DCA"/>
    <w:rsid w:val="005E7A6F"/>
    <w:rsid w:val="005F0005"/>
    <w:rsid w:val="005F0821"/>
    <w:rsid w:val="005F10A8"/>
    <w:rsid w:val="005F203A"/>
    <w:rsid w:val="005F34E3"/>
    <w:rsid w:val="005F4B9B"/>
    <w:rsid w:val="005F5BF5"/>
    <w:rsid w:val="00600010"/>
    <w:rsid w:val="00600F40"/>
    <w:rsid w:val="00602CD6"/>
    <w:rsid w:val="00603530"/>
    <w:rsid w:val="006052CF"/>
    <w:rsid w:val="0061022E"/>
    <w:rsid w:val="00611AD3"/>
    <w:rsid w:val="00613C4D"/>
    <w:rsid w:val="00616699"/>
    <w:rsid w:val="00623B9E"/>
    <w:rsid w:val="00633E06"/>
    <w:rsid w:val="00636251"/>
    <w:rsid w:val="006371FC"/>
    <w:rsid w:val="00637B08"/>
    <w:rsid w:val="00640E65"/>
    <w:rsid w:val="00642EFB"/>
    <w:rsid w:val="006460D7"/>
    <w:rsid w:val="00647221"/>
    <w:rsid w:val="006534D9"/>
    <w:rsid w:val="006542DA"/>
    <w:rsid w:val="00655767"/>
    <w:rsid w:val="00656AB1"/>
    <w:rsid w:val="00664ACF"/>
    <w:rsid w:val="0067139E"/>
    <w:rsid w:val="0067576F"/>
    <w:rsid w:val="00675892"/>
    <w:rsid w:val="00684ED6"/>
    <w:rsid w:val="00687EB7"/>
    <w:rsid w:val="00692F29"/>
    <w:rsid w:val="00695BB0"/>
    <w:rsid w:val="00695F6F"/>
    <w:rsid w:val="00697655"/>
    <w:rsid w:val="006A08B6"/>
    <w:rsid w:val="006A1678"/>
    <w:rsid w:val="006A3CF7"/>
    <w:rsid w:val="006A3ED0"/>
    <w:rsid w:val="006A7F26"/>
    <w:rsid w:val="006B445B"/>
    <w:rsid w:val="006B6680"/>
    <w:rsid w:val="006B74D5"/>
    <w:rsid w:val="006C30FB"/>
    <w:rsid w:val="006C3D85"/>
    <w:rsid w:val="006D0D22"/>
    <w:rsid w:val="006D170A"/>
    <w:rsid w:val="006D1B9C"/>
    <w:rsid w:val="006D65B5"/>
    <w:rsid w:val="006D681E"/>
    <w:rsid w:val="006E0920"/>
    <w:rsid w:val="006E2D54"/>
    <w:rsid w:val="006E2E32"/>
    <w:rsid w:val="006E5381"/>
    <w:rsid w:val="006F3C2C"/>
    <w:rsid w:val="006F510D"/>
    <w:rsid w:val="006F7570"/>
    <w:rsid w:val="0070054C"/>
    <w:rsid w:val="00700673"/>
    <w:rsid w:val="007025F5"/>
    <w:rsid w:val="00703690"/>
    <w:rsid w:val="0070521A"/>
    <w:rsid w:val="00710EE0"/>
    <w:rsid w:val="00714DB0"/>
    <w:rsid w:val="00714EBE"/>
    <w:rsid w:val="0072040E"/>
    <w:rsid w:val="00723290"/>
    <w:rsid w:val="007244DF"/>
    <w:rsid w:val="00726C18"/>
    <w:rsid w:val="00730FCE"/>
    <w:rsid w:val="00732B1E"/>
    <w:rsid w:val="007333D5"/>
    <w:rsid w:val="00740BF1"/>
    <w:rsid w:val="00741D6E"/>
    <w:rsid w:val="00745AC0"/>
    <w:rsid w:val="007517A0"/>
    <w:rsid w:val="00752BB2"/>
    <w:rsid w:val="00756206"/>
    <w:rsid w:val="00756824"/>
    <w:rsid w:val="007569F9"/>
    <w:rsid w:val="00756F27"/>
    <w:rsid w:val="00774351"/>
    <w:rsid w:val="00774E1C"/>
    <w:rsid w:val="00780613"/>
    <w:rsid w:val="00781593"/>
    <w:rsid w:val="00781B07"/>
    <w:rsid w:val="00781FF3"/>
    <w:rsid w:val="00787425"/>
    <w:rsid w:val="007936B0"/>
    <w:rsid w:val="0079412F"/>
    <w:rsid w:val="007944B7"/>
    <w:rsid w:val="00797370"/>
    <w:rsid w:val="007A054B"/>
    <w:rsid w:val="007A0BAA"/>
    <w:rsid w:val="007A12B2"/>
    <w:rsid w:val="007A2647"/>
    <w:rsid w:val="007A3D24"/>
    <w:rsid w:val="007A58A6"/>
    <w:rsid w:val="007A6E7E"/>
    <w:rsid w:val="007B4A9D"/>
    <w:rsid w:val="007B5D85"/>
    <w:rsid w:val="007B6CDD"/>
    <w:rsid w:val="007C016D"/>
    <w:rsid w:val="007C3B02"/>
    <w:rsid w:val="007D3FCB"/>
    <w:rsid w:val="007D69E3"/>
    <w:rsid w:val="007D773E"/>
    <w:rsid w:val="007D79EB"/>
    <w:rsid w:val="007E1B2A"/>
    <w:rsid w:val="007E517C"/>
    <w:rsid w:val="007F72E0"/>
    <w:rsid w:val="00802ACB"/>
    <w:rsid w:val="00803C34"/>
    <w:rsid w:val="00806F07"/>
    <w:rsid w:val="008108A1"/>
    <w:rsid w:val="008109E0"/>
    <w:rsid w:val="008120AC"/>
    <w:rsid w:val="00814D3C"/>
    <w:rsid w:val="00814DE2"/>
    <w:rsid w:val="0081552C"/>
    <w:rsid w:val="00815C93"/>
    <w:rsid w:val="008245E5"/>
    <w:rsid w:val="0082550D"/>
    <w:rsid w:val="00834A11"/>
    <w:rsid w:val="00837CE7"/>
    <w:rsid w:val="0084343A"/>
    <w:rsid w:val="00845EA6"/>
    <w:rsid w:val="00850749"/>
    <w:rsid w:val="00852AE5"/>
    <w:rsid w:val="00854730"/>
    <w:rsid w:val="00854844"/>
    <w:rsid w:val="00854B6D"/>
    <w:rsid w:val="00855019"/>
    <w:rsid w:val="008722AD"/>
    <w:rsid w:val="00876D9F"/>
    <w:rsid w:val="008848B2"/>
    <w:rsid w:val="008853F6"/>
    <w:rsid w:val="008870BD"/>
    <w:rsid w:val="00890720"/>
    <w:rsid w:val="0089323D"/>
    <w:rsid w:val="00893E89"/>
    <w:rsid w:val="008B00AC"/>
    <w:rsid w:val="008B1393"/>
    <w:rsid w:val="008B7EAF"/>
    <w:rsid w:val="008C60EC"/>
    <w:rsid w:val="008C67D7"/>
    <w:rsid w:val="008C79E3"/>
    <w:rsid w:val="008D672E"/>
    <w:rsid w:val="008D7D11"/>
    <w:rsid w:val="008E04CF"/>
    <w:rsid w:val="008E0ECA"/>
    <w:rsid w:val="008E1348"/>
    <w:rsid w:val="008E1A46"/>
    <w:rsid w:val="008E3E38"/>
    <w:rsid w:val="008E5EAC"/>
    <w:rsid w:val="008E7901"/>
    <w:rsid w:val="008F03E1"/>
    <w:rsid w:val="008F387E"/>
    <w:rsid w:val="009002F6"/>
    <w:rsid w:val="00901285"/>
    <w:rsid w:val="00902456"/>
    <w:rsid w:val="0090362B"/>
    <w:rsid w:val="00910455"/>
    <w:rsid w:val="00912411"/>
    <w:rsid w:val="00915198"/>
    <w:rsid w:val="0092318E"/>
    <w:rsid w:val="00930109"/>
    <w:rsid w:val="00931F2B"/>
    <w:rsid w:val="00936D17"/>
    <w:rsid w:val="009370A2"/>
    <w:rsid w:val="00937F7D"/>
    <w:rsid w:val="00940E0C"/>
    <w:rsid w:val="00941370"/>
    <w:rsid w:val="009434CD"/>
    <w:rsid w:val="00943D60"/>
    <w:rsid w:val="00945DBA"/>
    <w:rsid w:val="00946FD5"/>
    <w:rsid w:val="00951F9E"/>
    <w:rsid w:val="0095226E"/>
    <w:rsid w:val="009543EB"/>
    <w:rsid w:val="00954FE2"/>
    <w:rsid w:val="00957776"/>
    <w:rsid w:val="00960E03"/>
    <w:rsid w:val="00961488"/>
    <w:rsid w:val="00961C26"/>
    <w:rsid w:val="009620C4"/>
    <w:rsid w:val="009639E4"/>
    <w:rsid w:val="00970929"/>
    <w:rsid w:val="009768E3"/>
    <w:rsid w:val="009828A3"/>
    <w:rsid w:val="00983C9D"/>
    <w:rsid w:val="009850D7"/>
    <w:rsid w:val="009863DE"/>
    <w:rsid w:val="009922EE"/>
    <w:rsid w:val="00993FA6"/>
    <w:rsid w:val="009952F1"/>
    <w:rsid w:val="009B1B4F"/>
    <w:rsid w:val="009B5BDD"/>
    <w:rsid w:val="009B5EEE"/>
    <w:rsid w:val="009B705F"/>
    <w:rsid w:val="009B7279"/>
    <w:rsid w:val="009C132E"/>
    <w:rsid w:val="009C1A76"/>
    <w:rsid w:val="009C2237"/>
    <w:rsid w:val="009C25A2"/>
    <w:rsid w:val="009C62D0"/>
    <w:rsid w:val="009C6427"/>
    <w:rsid w:val="009D1B78"/>
    <w:rsid w:val="009D255B"/>
    <w:rsid w:val="009D3515"/>
    <w:rsid w:val="009D3665"/>
    <w:rsid w:val="009D3BC9"/>
    <w:rsid w:val="009D5AA3"/>
    <w:rsid w:val="009E024C"/>
    <w:rsid w:val="009E0500"/>
    <w:rsid w:val="009E09E5"/>
    <w:rsid w:val="009E500F"/>
    <w:rsid w:val="009E68EF"/>
    <w:rsid w:val="009F3B5E"/>
    <w:rsid w:val="009F4986"/>
    <w:rsid w:val="009F72E4"/>
    <w:rsid w:val="00A01643"/>
    <w:rsid w:val="00A03230"/>
    <w:rsid w:val="00A03660"/>
    <w:rsid w:val="00A05849"/>
    <w:rsid w:val="00A06A97"/>
    <w:rsid w:val="00A16271"/>
    <w:rsid w:val="00A23E00"/>
    <w:rsid w:val="00A24141"/>
    <w:rsid w:val="00A30552"/>
    <w:rsid w:val="00A31584"/>
    <w:rsid w:val="00A37CF6"/>
    <w:rsid w:val="00A408FA"/>
    <w:rsid w:val="00A426F3"/>
    <w:rsid w:val="00A43094"/>
    <w:rsid w:val="00A440B0"/>
    <w:rsid w:val="00A45126"/>
    <w:rsid w:val="00A52A78"/>
    <w:rsid w:val="00A52BE1"/>
    <w:rsid w:val="00A52C67"/>
    <w:rsid w:val="00A5366E"/>
    <w:rsid w:val="00A5417C"/>
    <w:rsid w:val="00A54F71"/>
    <w:rsid w:val="00A604FC"/>
    <w:rsid w:val="00A62BED"/>
    <w:rsid w:val="00A65641"/>
    <w:rsid w:val="00A65AEF"/>
    <w:rsid w:val="00A67366"/>
    <w:rsid w:val="00A675DB"/>
    <w:rsid w:val="00A70454"/>
    <w:rsid w:val="00A71CC1"/>
    <w:rsid w:val="00A7210A"/>
    <w:rsid w:val="00A72280"/>
    <w:rsid w:val="00A7265E"/>
    <w:rsid w:val="00A82DFF"/>
    <w:rsid w:val="00A86FB6"/>
    <w:rsid w:val="00A87E0B"/>
    <w:rsid w:val="00A9051D"/>
    <w:rsid w:val="00A956EC"/>
    <w:rsid w:val="00A9793A"/>
    <w:rsid w:val="00AA0015"/>
    <w:rsid w:val="00AA7E64"/>
    <w:rsid w:val="00AB50FB"/>
    <w:rsid w:val="00AB75EF"/>
    <w:rsid w:val="00AB77A6"/>
    <w:rsid w:val="00AC16D2"/>
    <w:rsid w:val="00AC1FCC"/>
    <w:rsid w:val="00AC33C0"/>
    <w:rsid w:val="00AC434F"/>
    <w:rsid w:val="00AD2017"/>
    <w:rsid w:val="00AD369A"/>
    <w:rsid w:val="00AD4B06"/>
    <w:rsid w:val="00AE4106"/>
    <w:rsid w:val="00AF076B"/>
    <w:rsid w:val="00AF24C3"/>
    <w:rsid w:val="00AF4640"/>
    <w:rsid w:val="00AF56F7"/>
    <w:rsid w:val="00AF77AB"/>
    <w:rsid w:val="00B04407"/>
    <w:rsid w:val="00B060AA"/>
    <w:rsid w:val="00B064BB"/>
    <w:rsid w:val="00B117AF"/>
    <w:rsid w:val="00B142C1"/>
    <w:rsid w:val="00B14B51"/>
    <w:rsid w:val="00B17EEC"/>
    <w:rsid w:val="00B21220"/>
    <w:rsid w:val="00B2687D"/>
    <w:rsid w:val="00B3466E"/>
    <w:rsid w:val="00B4256E"/>
    <w:rsid w:val="00B43962"/>
    <w:rsid w:val="00B44612"/>
    <w:rsid w:val="00B46E8E"/>
    <w:rsid w:val="00B478F3"/>
    <w:rsid w:val="00B501E4"/>
    <w:rsid w:val="00B51FBB"/>
    <w:rsid w:val="00B53A40"/>
    <w:rsid w:val="00B54CA2"/>
    <w:rsid w:val="00B57A1E"/>
    <w:rsid w:val="00B61822"/>
    <w:rsid w:val="00B64134"/>
    <w:rsid w:val="00B66ED2"/>
    <w:rsid w:val="00B67F7C"/>
    <w:rsid w:val="00B71F98"/>
    <w:rsid w:val="00B7395F"/>
    <w:rsid w:val="00B73AB8"/>
    <w:rsid w:val="00B7499A"/>
    <w:rsid w:val="00B76F4D"/>
    <w:rsid w:val="00B8024E"/>
    <w:rsid w:val="00B8047D"/>
    <w:rsid w:val="00B840AF"/>
    <w:rsid w:val="00B846C1"/>
    <w:rsid w:val="00B84929"/>
    <w:rsid w:val="00B97663"/>
    <w:rsid w:val="00BA3B69"/>
    <w:rsid w:val="00BB2548"/>
    <w:rsid w:val="00BB4716"/>
    <w:rsid w:val="00BB5954"/>
    <w:rsid w:val="00BB6642"/>
    <w:rsid w:val="00BB7D11"/>
    <w:rsid w:val="00BC204D"/>
    <w:rsid w:val="00BC2C08"/>
    <w:rsid w:val="00BC353B"/>
    <w:rsid w:val="00BD61B3"/>
    <w:rsid w:val="00BE11D7"/>
    <w:rsid w:val="00BE1B64"/>
    <w:rsid w:val="00BE1B88"/>
    <w:rsid w:val="00BE2B19"/>
    <w:rsid w:val="00BE38C3"/>
    <w:rsid w:val="00BE6EAA"/>
    <w:rsid w:val="00BE7CA2"/>
    <w:rsid w:val="00BF1A52"/>
    <w:rsid w:val="00BF2EBA"/>
    <w:rsid w:val="00BF5480"/>
    <w:rsid w:val="00C027D8"/>
    <w:rsid w:val="00C03610"/>
    <w:rsid w:val="00C04A01"/>
    <w:rsid w:val="00C07BD7"/>
    <w:rsid w:val="00C144B0"/>
    <w:rsid w:val="00C15171"/>
    <w:rsid w:val="00C20D2D"/>
    <w:rsid w:val="00C21B4D"/>
    <w:rsid w:val="00C21C10"/>
    <w:rsid w:val="00C317AF"/>
    <w:rsid w:val="00C319A1"/>
    <w:rsid w:val="00C31FEB"/>
    <w:rsid w:val="00C331CC"/>
    <w:rsid w:val="00C451B2"/>
    <w:rsid w:val="00C46D56"/>
    <w:rsid w:val="00C47D5E"/>
    <w:rsid w:val="00C504CB"/>
    <w:rsid w:val="00C51416"/>
    <w:rsid w:val="00C57975"/>
    <w:rsid w:val="00C65FD6"/>
    <w:rsid w:val="00C703F4"/>
    <w:rsid w:val="00C72B27"/>
    <w:rsid w:val="00C74658"/>
    <w:rsid w:val="00C754D2"/>
    <w:rsid w:val="00C8156D"/>
    <w:rsid w:val="00C821FD"/>
    <w:rsid w:val="00C82686"/>
    <w:rsid w:val="00C83948"/>
    <w:rsid w:val="00C84DF3"/>
    <w:rsid w:val="00C85519"/>
    <w:rsid w:val="00C85E08"/>
    <w:rsid w:val="00C913E1"/>
    <w:rsid w:val="00C935B9"/>
    <w:rsid w:val="00C94A7C"/>
    <w:rsid w:val="00CA057F"/>
    <w:rsid w:val="00CB0175"/>
    <w:rsid w:val="00CB3B95"/>
    <w:rsid w:val="00CB50A6"/>
    <w:rsid w:val="00CB6E3F"/>
    <w:rsid w:val="00CD053D"/>
    <w:rsid w:val="00CD0DE0"/>
    <w:rsid w:val="00CD102E"/>
    <w:rsid w:val="00CD2860"/>
    <w:rsid w:val="00CD7377"/>
    <w:rsid w:val="00CE2531"/>
    <w:rsid w:val="00CE37D0"/>
    <w:rsid w:val="00CE58BF"/>
    <w:rsid w:val="00CF01BE"/>
    <w:rsid w:val="00CF6F4E"/>
    <w:rsid w:val="00CF7A3F"/>
    <w:rsid w:val="00D00E30"/>
    <w:rsid w:val="00D04914"/>
    <w:rsid w:val="00D05605"/>
    <w:rsid w:val="00D05D10"/>
    <w:rsid w:val="00D06778"/>
    <w:rsid w:val="00D13D1D"/>
    <w:rsid w:val="00D16E2B"/>
    <w:rsid w:val="00D17DAC"/>
    <w:rsid w:val="00D201A2"/>
    <w:rsid w:val="00D22FBC"/>
    <w:rsid w:val="00D26E54"/>
    <w:rsid w:val="00D270AC"/>
    <w:rsid w:val="00D32320"/>
    <w:rsid w:val="00D33EE7"/>
    <w:rsid w:val="00D34BAF"/>
    <w:rsid w:val="00D3515E"/>
    <w:rsid w:val="00D361EA"/>
    <w:rsid w:val="00D36810"/>
    <w:rsid w:val="00D37436"/>
    <w:rsid w:val="00D37AAC"/>
    <w:rsid w:val="00D4396B"/>
    <w:rsid w:val="00D44363"/>
    <w:rsid w:val="00D46047"/>
    <w:rsid w:val="00D4694D"/>
    <w:rsid w:val="00D46E40"/>
    <w:rsid w:val="00D470C3"/>
    <w:rsid w:val="00D503D9"/>
    <w:rsid w:val="00D51C3E"/>
    <w:rsid w:val="00D5389A"/>
    <w:rsid w:val="00D56A8D"/>
    <w:rsid w:val="00D60B69"/>
    <w:rsid w:val="00D60E93"/>
    <w:rsid w:val="00D61255"/>
    <w:rsid w:val="00D61293"/>
    <w:rsid w:val="00D61346"/>
    <w:rsid w:val="00D632C0"/>
    <w:rsid w:val="00D641A5"/>
    <w:rsid w:val="00D7132B"/>
    <w:rsid w:val="00D71601"/>
    <w:rsid w:val="00D76523"/>
    <w:rsid w:val="00D81822"/>
    <w:rsid w:val="00D85B26"/>
    <w:rsid w:val="00D874F8"/>
    <w:rsid w:val="00D91B8F"/>
    <w:rsid w:val="00D946DA"/>
    <w:rsid w:val="00DB075B"/>
    <w:rsid w:val="00DB135F"/>
    <w:rsid w:val="00DB1FFC"/>
    <w:rsid w:val="00DC030E"/>
    <w:rsid w:val="00DC048D"/>
    <w:rsid w:val="00DC0E5E"/>
    <w:rsid w:val="00DC150B"/>
    <w:rsid w:val="00DC62EE"/>
    <w:rsid w:val="00DD287D"/>
    <w:rsid w:val="00DD5DDE"/>
    <w:rsid w:val="00DE2B55"/>
    <w:rsid w:val="00DE484E"/>
    <w:rsid w:val="00DE6B30"/>
    <w:rsid w:val="00DF019C"/>
    <w:rsid w:val="00DF0748"/>
    <w:rsid w:val="00E0342D"/>
    <w:rsid w:val="00E0433F"/>
    <w:rsid w:val="00E04A92"/>
    <w:rsid w:val="00E0675A"/>
    <w:rsid w:val="00E072AF"/>
    <w:rsid w:val="00E139DB"/>
    <w:rsid w:val="00E157E2"/>
    <w:rsid w:val="00E26F4C"/>
    <w:rsid w:val="00E31996"/>
    <w:rsid w:val="00E31FD5"/>
    <w:rsid w:val="00E33652"/>
    <w:rsid w:val="00E42574"/>
    <w:rsid w:val="00E47F2A"/>
    <w:rsid w:val="00E54AF3"/>
    <w:rsid w:val="00E55898"/>
    <w:rsid w:val="00E56F1B"/>
    <w:rsid w:val="00E61F67"/>
    <w:rsid w:val="00E63DE8"/>
    <w:rsid w:val="00E650DD"/>
    <w:rsid w:val="00E65A04"/>
    <w:rsid w:val="00E66889"/>
    <w:rsid w:val="00E70A2C"/>
    <w:rsid w:val="00E71253"/>
    <w:rsid w:val="00E73905"/>
    <w:rsid w:val="00E748B6"/>
    <w:rsid w:val="00E7509C"/>
    <w:rsid w:val="00E7530F"/>
    <w:rsid w:val="00E75769"/>
    <w:rsid w:val="00E77CB8"/>
    <w:rsid w:val="00E80441"/>
    <w:rsid w:val="00E8109F"/>
    <w:rsid w:val="00E82F2F"/>
    <w:rsid w:val="00E84635"/>
    <w:rsid w:val="00E84CBA"/>
    <w:rsid w:val="00E8663B"/>
    <w:rsid w:val="00E866A8"/>
    <w:rsid w:val="00E86A9F"/>
    <w:rsid w:val="00E90663"/>
    <w:rsid w:val="00E937FA"/>
    <w:rsid w:val="00E942FE"/>
    <w:rsid w:val="00E95D0E"/>
    <w:rsid w:val="00EA1094"/>
    <w:rsid w:val="00EA38D8"/>
    <w:rsid w:val="00EA4E8B"/>
    <w:rsid w:val="00EB56BB"/>
    <w:rsid w:val="00EC002E"/>
    <w:rsid w:val="00EC045D"/>
    <w:rsid w:val="00EC28A3"/>
    <w:rsid w:val="00EC2B3C"/>
    <w:rsid w:val="00EC4C40"/>
    <w:rsid w:val="00EC69D7"/>
    <w:rsid w:val="00ED0F40"/>
    <w:rsid w:val="00ED1088"/>
    <w:rsid w:val="00ED132F"/>
    <w:rsid w:val="00ED20EC"/>
    <w:rsid w:val="00ED4630"/>
    <w:rsid w:val="00ED48BA"/>
    <w:rsid w:val="00EE0F25"/>
    <w:rsid w:val="00EE26E0"/>
    <w:rsid w:val="00EE46E7"/>
    <w:rsid w:val="00EE714B"/>
    <w:rsid w:val="00EF0C86"/>
    <w:rsid w:val="00EF390A"/>
    <w:rsid w:val="00EF3E3D"/>
    <w:rsid w:val="00F007C9"/>
    <w:rsid w:val="00F008E9"/>
    <w:rsid w:val="00F03A0B"/>
    <w:rsid w:val="00F061A0"/>
    <w:rsid w:val="00F11450"/>
    <w:rsid w:val="00F15FC4"/>
    <w:rsid w:val="00F211DB"/>
    <w:rsid w:val="00F25A76"/>
    <w:rsid w:val="00F273B6"/>
    <w:rsid w:val="00F3126D"/>
    <w:rsid w:val="00F344BA"/>
    <w:rsid w:val="00F34B83"/>
    <w:rsid w:val="00F37BF1"/>
    <w:rsid w:val="00F407E3"/>
    <w:rsid w:val="00F4249C"/>
    <w:rsid w:val="00F45194"/>
    <w:rsid w:val="00F471DB"/>
    <w:rsid w:val="00F479F3"/>
    <w:rsid w:val="00F50E41"/>
    <w:rsid w:val="00F558AF"/>
    <w:rsid w:val="00F57EE3"/>
    <w:rsid w:val="00F62DB9"/>
    <w:rsid w:val="00F65A67"/>
    <w:rsid w:val="00F667C9"/>
    <w:rsid w:val="00F70AAA"/>
    <w:rsid w:val="00F7174B"/>
    <w:rsid w:val="00F742E5"/>
    <w:rsid w:val="00F750F9"/>
    <w:rsid w:val="00F766C6"/>
    <w:rsid w:val="00F77EB3"/>
    <w:rsid w:val="00F834A0"/>
    <w:rsid w:val="00F83579"/>
    <w:rsid w:val="00F84DD2"/>
    <w:rsid w:val="00F92696"/>
    <w:rsid w:val="00F93A04"/>
    <w:rsid w:val="00F93C6F"/>
    <w:rsid w:val="00FA1E2B"/>
    <w:rsid w:val="00FA2AAE"/>
    <w:rsid w:val="00FA33FF"/>
    <w:rsid w:val="00FA453B"/>
    <w:rsid w:val="00FA582E"/>
    <w:rsid w:val="00FA7230"/>
    <w:rsid w:val="00FA759A"/>
    <w:rsid w:val="00FB305E"/>
    <w:rsid w:val="00FB62B6"/>
    <w:rsid w:val="00FC40EA"/>
    <w:rsid w:val="00FD27F4"/>
    <w:rsid w:val="00FD2D4C"/>
    <w:rsid w:val="00FD70FF"/>
    <w:rsid w:val="00FD7D8A"/>
    <w:rsid w:val="00FE32E2"/>
    <w:rsid w:val="00FE5082"/>
    <w:rsid w:val="00FE6313"/>
    <w:rsid w:val="00FE7ACF"/>
    <w:rsid w:val="00FF13E8"/>
    <w:rsid w:val="00FF204D"/>
    <w:rsid w:val="00FF3BDD"/>
    <w:rsid w:val="00FF4716"/>
    <w:rsid w:val="00FF6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rules v:ext="edit">
        <o:r id="V:Rule3" type="connector" idref="#Straight Arrow Connector 4"/>
        <o:r id="V:Rule4" type="connector" idref="#Straight Arrow Connector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83"/>
    <w:pPr>
      <w:ind w:left="720"/>
      <w:contextualSpacing/>
    </w:pPr>
  </w:style>
  <w:style w:type="paragraph" w:styleId="FootnoteText">
    <w:name w:val="footnote text"/>
    <w:basedOn w:val="Normal"/>
    <w:link w:val="FootnoteTextChar"/>
    <w:uiPriority w:val="99"/>
    <w:unhideWhenUsed/>
    <w:rsid w:val="00703690"/>
    <w:pPr>
      <w:spacing w:after="0" w:line="240" w:lineRule="auto"/>
    </w:pPr>
    <w:rPr>
      <w:sz w:val="20"/>
      <w:szCs w:val="20"/>
    </w:rPr>
  </w:style>
  <w:style w:type="character" w:customStyle="1" w:styleId="FootnoteTextChar">
    <w:name w:val="Footnote Text Char"/>
    <w:basedOn w:val="DefaultParagraphFont"/>
    <w:link w:val="FootnoteText"/>
    <w:uiPriority w:val="99"/>
    <w:rsid w:val="00703690"/>
    <w:rPr>
      <w:sz w:val="20"/>
      <w:szCs w:val="20"/>
    </w:rPr>
  </w:style>
  <w:style w:type="character" w:styleId="FootnoteReference">
    <w:name w:val="footnote reference"/>
    <w:basedOn w:val="DefaultParagraphFont"/>
    <w:uiPriority w:val="99"/>
    <w:semiHidden/>
    <w:unhideWhenUsed/>
    <w:rsid w:val="00703690"/>
    <w:rPr>
      <w:vertAlign w:val="superscript"/>
    </w:rPr>
  </w:style>
  <w:style w:type="paragraph" w:customStyle="1" w:styleId="Default">
    <w:name w:val="Default"/>
    <w:rsid w:val="00F93A0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75EF"/>
    <w:rPr>
      <w:color w:val="0563C1" w:themeColor="hyperlink"/>
      <w:u w:val="single"/>
    </w:rPr>
  </w:style>
  <w:style w:type="paragraph" w:styleId="BalloonText">
    <w:name w:val="Balloon Text"/>
    <w:basedOn w:val="Normal"/>
    <w:link w:val="BalloonTextChar"/>
    <w:uiPriority w:val="99"/>
    <w:semiHidden/>
    <w:unhideWhenUsed/>
    <w:rsid w:val="007A2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647"/>
    <w:rPr>
      <w:rFonts w:ascii="Segoe UI" w:hAnsi="Segoe UI" w:cs="Segoe UI"/>
      <w:sz w:val="18"/>
      <w:szCs w:val="18"/>
    </w:rPr>
  </w:style>
  <w:style w:type="paragraph" w:styleId="Header">
    <w:name w:val="header"/>
    <w:basedOn w:val="Normal"/>
    <w:link w:val="HeaderChar"/>
    <w:uiPriority w:val="99"/>
    <w:unhideWhenUsed/>
    <w:rsid w:val="000C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1A"/>
  </w:style>
  <w:style w:type="paragraph" w:styleId="Footer">
    <w:name w:val="footer"/>
    <w:basedOn w:val="Normal"/>
    <w:link w:val="FooterChar"/>
    <w:uiPriority w:val="99"/>
    <w:unhideWhenUsed/>
    <w:rsid w:val="000C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1A"/>
  </w:style>
  <w:style w:type="paragraph" w:styleId="NormalWeb">
    <w:name w:val="Normal (Web)"/>
    <w:basedOn w:val="Normal"/>
    <w:uiPriority w:val="99"/>
    <w:unhideWhenUsed/>
    <w:rsid w:val="00756F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6F3"/>
    <w:rPr>
      <w:i/>
      <w:iCs/>
    </w:rPr>
  </w:style>
  <w:style w:type="character" w:customStyle="1" w:styleId="apple-converted-space">
    <w:name w:val="apple-converted-space"/>
    <w:basedOn w:val="DefaultParagraphFont"/>
    <w:rsid w:val="00EC4C40"/>
  </w:style>
  <w:style w:type="table" w:styleId="TableGrid">
    <w:name w:val="Table Grid"/>
    <w:basedOn w:val="TableNormal"/>
    <w:uiPriority w:val="39"/>
    <w:rsid w:val="002A21FE"/>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1AD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83"/>
    <w:pPr>
      <w:ind w:left="720"/>
      <w:contextualSpacing/>
    </w:pPr>
  </w:style>
  <w:style w:type="paragraph" w:styleId="FootnoteText">
    <w:name w:val="footnote text"/>
    <w:basedOn w:val="Normal"/>
    <w:link w:val="FootnoteTextChar"/>
    <w:uiPriority w:val="99"/>
    <w:unhideWhenUsed/>
    <w:rsid w:val="00703690"/>
    <w:pPr>
      <w:spacing w:after="0" w:line="240" w:lineRule="auto"/>
    </w:pPr>
    <w:rPr>
      <w:sz w:val="20"/>
      <w:szCs w:val="20"/>
    </w:rPr>
  </w:style>
  <w:style w:type="character" w:customStyle="1" w:styleId="FootnoteTextChar">
    <w:name w:val="Footnote Text Char"/>
    <w:basedOn w:val="DefaultParagraphFont"/>
    <w:link w:val="FootnoteText"/>
    <w:uiPriority w:val="99"/>
    <w:rsid w:val="00703690"/>
    <w:rPr>
      <w:sz w:val="20"/>
      <w:szCs w:val="20"/>
    </w:rPr>
  </w:style>
  <w:style w:type="character" w:styleId="FootnoteReference">
    <w:name w:val="footnote reference"/>
    <w:basedOn w:val="DefaultParagraphFont"/>
    <w:uiPriority w:val="99"/>
    <w:semiHidden/>
    <w:unhideWhenUsed/>
    <w:rsid w:val="00703690"/>
    <w:rPr>
      <w:vertAlign w:val="superscript"/>
    </w:rPr>
  </w:style>
  <w:style w:type="paragraph" w:customStyle="1" w:styleId="Default">
    <w:name w:val="Default"/>
    <w:rsid w:val="00F93A0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75EF"/>
    <w:rPr>
      <w:color w:val="0563C1" w:themeColor="hyperlink"/>
      <w:u w:val="single"/>
    </w:rPr>
  </w:style>
  <w:style w:type="paragraph" w:styleId="BalloonText">
    <w:name w:val="Balloon Text"/>
    <w:basedOn w:val="Normal"/>
    <w:link w:val="BalloonTextChar"/>
    <w:uiPriority w:val="99"/>
    <w:semiHidden/>
    <w:unhideWhenUsed/>
    <w:rsid w:val="007A2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647"/>
    <w:rPr>
      <w:rFonts w:ascii="Segoe UI" w:hAnsi="Segoe UI" w:cs="Segoe UI"/>
      <w:sz w:val="18"/>
      <w:szCs w:val="18"/>
    </w:rPr>
  </w:style>
  <w:style w:type="paragraph" w:styleId="Header">
    <w:name w:val="header"/>
    <w:basedOn w:val="Normal"/>
    <w:link w:val="HeaderChar"/>
    <w:uiPriority w:val="99"/>
    <w:unhideWhenUsed/>
    <w:rsid w:val="000C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1A"/>
  </w:style>
  <w:style w:type="paragraph" w:styleId="Footer">
    <w:name w:val="footer"/>
    <w:basedOn w:val="Normal"/>
    <w:link w:val="FooterChar"/>
    <w:uiPriority w:val="99"/>
    <w:unhideWhenUsed/>
    <w:rsid w:val="000C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1A"/>
  </w:style>
  <w:style w:type="paragraph" w:styleId="NormalWeb">
    <w:name w:val="Normal (Web)"/>
    <w:basedOn w:val="Normal"/>
    <w:uiPriority w:val="99"/>
    <w:unhideWhenUsed/>
    <w:rsid w:val="00756F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6F3"/>
    <w:rPr>
      <w:i/>
      <w:iCs/>
    </w:rPr>
  </w:style>
  <w:style w:type="character" w:customStyle="1" w:styleId="apple-converted-space">
    <w:name w:val="apple-converted-space"/>
    <w:basedOn w:val="DefaultParagraphFont"/>
    <w:rsid w:val="00EC4C40"/>
  </w:style>
  <w:style w:type="table" w:styleId="TableGrid">
    <w:name w:val="Table Grid"/>
    <w:basedOn w:val="TableNormal"/>
    <w:uiPriority w:val="39"/>
    <w:rsid w:val="002A21FE"/>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1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13512">
      <w:bodyDiv w:val="1"/>
      <w:marLeft w:val="0"/>
      <w:marRight w:val="0"/>
      <w:marTop w:val="0"/>
      <w:marBottom w:val="0"/>
      <w:divBdr>
        <w:top w:val="none" w:sz="0" w:space="0" w:color="auto"/>
        <w:left w:val="none" w:sz="0" w:space="0" w:color="auto"/>
        <w:bottom w:val="none" w:sz="0" w:space="0" w:color="auto"/>
        <w:right w:val="none" w:sz="0" w:space="0" w:color="auto"/>
      </w:divBdr>
      <w:divsChild>
        <w:div w:id="1224752500">
          <w:marLeft w:val="0"/>
          <w:marRight w:val="0"/>
          <w:marTop w:val="0"/>
          <w:marBottom w:val="0"/>
          <w:divBdr>
            <w:top w:val="single" w:sz="8" w:space="9" w:color="B2B2B2"/>
            <w:left w:val="single" w:sz="8" w:space="9" w:color="B2B2B2"/>
            <w:bottom w:val="single" w:sz="8" w:space="19" w:color="B2B2B2"/>
            <w:right w:val="single" w:sz="8" w:space="9" w:color="B2B2B2"/>
          </w:divBdr>
        </w:div>
      </w:divsChild>
    </w:div>
    <w:div w:id="516236985">
      <w:bodyDiv w:val="1"/>
      <w:marLeft w:val="0"/>
      <w:marRight w:val="0"/>
      <w:marTop w:val="0"/>
      <w:marBottom w:val="0"/>
      <w:divBdr>
        <w:top w:val="none" w:sz="0" w:space="0" w:color="auto"/>
        <w:left w:val="none" w:sz="0" w:space="0" w:color="auto"/>
        <w:bottom w:val="none" w:sz="0" w:space="0" w:color="auto"/>
        <w:right w:val="none" w:sz="0" w:space="0" w:color="auto"/>
      </w:divBdr>
    </w:div>
    <w:div w:id="627055240">
      <w:bodyDiv w:val="1"/>
      <w:marLeft w:val="0"/>
      <w:marRight w:val="0"/>
      <w:marTop w:val="0"/>
      <w:marBottom w:val="0"/>
      <w:divBdr>
        <w:top w:val="none" w:sz="0" w:space="0" w:color="auto"/>
        <w:left w:val="none" w:sz="0" w:space="0" w:color="auto"/>
        <w:bottom w:val="none" w:sz="0" w:space="0" w:color="auto"/>
        <w:right w:val="none" w:sz="0" w:space="0" w:color="auto"/>
      </w:divBdr>
    </w:div>
    <w:div w:id="736436650">
      <w:bodyDiv w:val="1"/>
      <w:marLeft w:val="0"/>
      <w:marRight w:val="0"/>
      <w:marTop w:val="0"/>
      <w:marBottom w:val="0"/>
      <w:divBdr>
        <w:top w:val="none" w:sz="0" w:space="0" w:color="auto"/>
        <w:left w:val="none" w:sz="0" w:space="0" w:color="auto"/>
        <w:bottom w:val="none" w:sz="0" w:space="0" w:color="auto"/>
        <w:right w:val="none" w:sz="0" w:space="0" w:color="auto"/>
      </w:divBdr>
    </w:div>
    <w:div w:id="746729859">
      <w:bodyDiv w:val="1"/>
      <w:marLeft w:val="0"/>
      <w:marRight w:val="0"/>
      <w:marTop w:val="0"/>
      <w:marBottom w:val="0"/>
      <w:divBdr>
        <w:top w:val="none" w:sz="0" w:space="0" w:color="auto"/>
        <w:left w:val="none" w:sz="0" w:space="0" w:color="auto"/>
        <w:bottom w:val="none" w:sz="0" w:space="0" w:color="auto"/>
        <w:right w:val="none" w:sz="0" w:space="0" w:color="auto"/>
      </w:divBdr>
      <w:divsChild>
        <w:div w:id="899361866">
          <w:marLeft w:val="0"/>
          <w:marRight w:val="0"/>
          <w:marTop w:val="0"/>
          <w:marBottom w:val="0"/>
          <w:divBdr>
            <w:top w:val="single" w:sz="8" w:space="9" w:color="B2B2B2"/>
            <w:left w:val="single" w:sz="8" w:space="9" w:color="B2B2B2"/>
            <w:bottom w:val="single" w:sz="8" w:space="19" w:color="B2B2B2"/>
            <w:right w:val="single" w:sz="8" w:space="9" w:color="B2B2B2"/>
          </w:divBdr>
        </w:div>
      </w:divsChild>
    </w:div>
    <w:div w:id="1182664713">
      <w:bodyDiv w:val="1"/>
      <w:marLeft w:val="0"/>
      <w:marRight w:val="0"/>
      <w:marTop w:val="0"/>
      <w:marBottom w:val="0"/>
      <w:divBdr>
        <w:top w:val="none" w:sz="0" w:space="0" w:color="auto"/>
        <w:left w:val="none" w:sz="0" w:space="0" w:color="auto"/>
        <w:bottom w:val="none" w:sz="0" w:space="0" w:color="auto"/>
        <w:right w:val="none" w:sz="0" w:space="0" w:color="auto"/>
      </w:divBdr>
      <w:divsChild>
        <w:div w:id="1691644087">
          <w:marLeft w:val="0"/>
          <w:marRight w:val="0"/>
          <w:marTop w:val="0"/>
          <w:marBottom w:val="0"/>
          <w:divBdr>
            <w:top w:val="single" w:sz="8" w:space="9" w:color="B2B2B2"/>
            <w:left w:val="single" w:sz="8" w:space="9" w:color="B2B2B2"/>
            <w:bottom w:val="single" w:sz="8" w:space="19" w:color="B2B2B2"/>
            <w:right w:val="single" w:sz="8" w:space="9" w:color="B2B2B2"/>
          </w:divBdr>
        </w:div>
      </w:divsChild>
    </w:div>
    <w:div w:id="1200167631">
      <w:bodyDiv w:val="1"/>
      <w:marLeft w:val="0"/>
      <w:marRight w:val="0"/>
      <w:marTop w:val="0"/>
      <w:marBottom w:val="0"/>
      <w:divBdr>
        <w:top w:val="none" w:sz="0" w:space="0" w:color="auto"/>
        <w:left w:val="none" w:sz="0" w:space="0" w:color="auto"/>
        <w:bottom w:val="none" w:sz="0" w:space="0" w:color="auto"/>
        <w:right w:val="none" w:sz="0" w:space="0" w:color="auto"/>
      </w:divBdr>
      <w:divsChild>
        <w:div w:id="764693334">
          <w:marLeft w:val="0"/>
          <w:marRight w:val="0"/>
          <w:marTop w:val="0"/>
          <w:marBottom w:val="0"/>
          <w:divBdr>
            <w:top w:val="single" w:sz="8" w:space="9" w:color="B2B2B2"/>
            <w:left w:val="single" w:sz="8" w:space="9" w:color="B2B2B2"/>
            <w:bottom w:val="single" w:sz="8" w:space="19" w:color="B2B2B2"/>
            <w:right w:val="single" w:sz="8" w:space="9" w:color="B2B2B2"/>
          </w:divBdr>
        </w:div>
      </w:divsChild>
    </w:div>
    <w:div w:id="1249659007">
      <w:bodyDiv w:val="1"/>
      <w:marLeft w:val="0"/>
      <w:marRight w:val="0"/>
      <w:marTop w:val="0"/>
      <w:marBottom w:val="0"/>
      <w:divBdr>
        <w:top w:val="none" w:sz="0" w:space="0" w:color="auto"/>
        <w:left w:val="none" w:sz="0" w:space="0" w:color="auto"/>
        <w:bottom w:val="none" w:sz="0" w:space="0" w:color="auto"/>
        <w:right w:val="none" w:sz="0" w:space="0" w:color="auto"/>
      </w:divBdr>
      <w:divsChild>
        <w:div w:id="1558317579">
          <w:marLeft w:val="0"/>
          <w:marRight w:val="0"/>
          <w:marTop w:val="0"/>
          <w:marBottom w:val="0"/>
          <w:divBdr>
            <w:top w:val="single" w:sz="8" w:space="9" w:color="B2B2B2"/>
            <w:left w:val="single" w:sz="8" w:space="9" w:color="B2B2B2"/>
            <w:bottom w:val="single" w:sz="8" w:space="19" w:color="B2B2B2"/>
            <w:right w:val="single" w:sz="8" w:space="9" w:color="B2B2B2"/>
          </w:divBdr>
        </w:div>
      </w:divsChild>
    </w:div>
    <w:div w:id="1965041724">
      <w:bodyDiv w:val="1"/>
      <w:marLeft w:val="0"/>
      <w:marRight w:val="0"/>
      <w:marTop w:val="0"/>
      <w:marBottom w:val="0"/>
      <w:divBdr>
        <w:top w:val="none" w:sz="0" w:space="0" w:color="auto"/>
        <w:left w:val="none" w:sz="0" w:space="0" w:color="auto"/>
        <w:bottom w:val="none" w:sz="0" w:space="0" w:color="auto"/>
        <w:right w:val="none" w:sz="0" w:space="0" w:color="auto"/>
      </w:divBdr>
      <w:divsChild>
        <w:div w:id="432092293">
          <w:marLeft w:val="0"/>
          <w:marRight w:val="0"/>
          <w:marTop w:val="0"/>
          <w:marBottom w:val="0"/>
          <w:divBdr>
            <w:top w:val="single" w:sz="8" w:space="9" w:color="B2B2B2"/>
            <w:left w:val="single" w:sz="8" w:space="9" w:color="B2B2B2"/>
            <w:bottom w:val="single" w:sz="8" w:space="19" w:color="B2B2B2"/>
            <w:right w:val="single" w:sz="8" w:space="9" w:color="B2B2B2"/>
          </w:divBdr>
        </w:div>
      </w:divsChild>
    </w:div>
    <w:div w:id="21446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adc.int/" TargetMode="External"/><Relationship Id="rId10"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www.ey.com/Publication/vwLUAssets/Women_of_Africa/$FILE/Women%20of%20Africa%20final.pdf" TargetMode="External"/><Relationship Id="rId4" Type="http://schemas.openxmlformats.org/officeDocument/2006/relationships/hyperlink" Target="http://www.nytimes.com/1982/03/19/opinion/voting-rights-are-not-quotas.html" TargetMode="External"/><Relationship Id="rId1" Type="http://schemas.openxmlformats.org/officeDocument/2006/relationships/hyperlink" Target="http://www.dukece.com/elements/docs/WLA%20Brochure.pdf" TargetMode="External"/><Relationship Id="rId2" Type="http://schemas.openxmlformats.org/officeDocument/2006/relationships/hyperlink" Target="http://www.fao.org/3/a-i3620e.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 Informal Sector labor'!$B$5</c:f>
              <c:strCache>
                <c:ptCount val="1"/>
                <c:pt idx="0">
                  <c:v>women</c:v>
                </c:pt>
              </c:strCache>
            </c:strRef>
          </c:tx>
          <c:spPr>
            <a:solidFill>
              <a:schemeClr val="accent1"/>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 Informal Sector labor'!$A$6:$A$12</c:f>
              <c:strCache>
                <c:ptCount val="7"/>
                <c:pt idx="0">
                  <c:v>Benin</c:v>
                </c:pt>
                <c:pt idx="1">
                  <c:v>Chad</c:v>
                </c:pt>
                <c:pt idx="2">
                  <c:v>Mali</c:v>
                </c:pt>
                <c:pt idx="3">
                  <c:v>Guinea</c:v>
                </c:pt>
                <c:pt idx="4">
                  <c:v>Kenya</c:v>
                </c:pt>
                <c:pt idx="5">
                  <c:v>Tunisia</c:v>
                </c:pt>
                <c:pt idx="6">
                  <c:v>South Africa</c:v>
                </c:pt>
              </c:strCache>
            </c:strRef>
          </c:cat>
          <c:val>
            <c:numRef>
              <c:f>' Informal Sector labor'!$B$6:$B$12</c:f>
              <c:numCache>
                <c:formatCode>General</c:formatCode>
                <c:ptCount val="7"/>
                <c:pt idx="0">
                  <c:v>97.0</c:v>
                </c:pt>
                <c:pt idx="1">
                  <c:v>97.0</c:v>
                </c:pt>
                <c:pt idx="2">
                  <c:v>96.0</c:v>
                </c:pt>
                <c:pt idx="3">
                  <c:v>84.0</c:v>
                </c:pt>
                <c:pt idx="4">
                  <c:v>83.0</c:v>
                </c:pt>
                <c:pt idx="5">
                  <c:v>39.0</c:v>
                </c:pt>
                <c:pt idx="6">
                  <c:v>30.0</c:v>
                </c:pt>
              </c:numCache>
            </c:numRef>
          </c:val>
        </c:ser>
        <c:ser>
          <c:idx val="1"/>
          <c:order val="1"/>
          <c:tx>
            <c:strRef>
              <c:f>' Informal Sector labor'!$C$5</c:f>
              <c:strCache>
                <c:ptCount val="1"/>
                <c:pt idx="0">
                  <c:v>men</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 Informal Sector labor'!$A$6:$A$12</c:f>
              <c:strCache>
                <c:ptCount val="7"/>
                <c:pt idx="0">
                  <c:v>Benin</c:v>
                </c:pt>
                <c:pt idx="1">
                  <c:v>Chad</c:v>
                </c:pt>
                <c:pt idx="2">
                  <c:v>Mali</c:v>
                </c:pt>
                <c:pt idx="3">
                  <c:v>Guinea</c:v>
                </c:pt>
                <c:pt idx="4">
                  <c:v>Kenya</c:v>
                </c:pt>
                <c:pt idx="5">
                  <c:v>Tunisia</c:v>
                </c:pt>
                <c:pt idx="6">
                  <c:v>South Africa</c:v>
                </c:pt>
              </c:strCache>
            </c:strRef>
          </c:cat>
          <c:val>
            <c:numRef>
              <c:f>' Informal Sector labor'!$C$6:$C$12</c:f>
              <c:numCache>
                <c:formatCode>General</c:formatCode>
                <c:ptCount val="7"/>
                <c:pt idx="0">
                  <c:v>83.0</c:v>
                </c:pt>
                <c:pt idx="1">
                  <c:v>59.0</c:v>
                </c:pt>
                <c:pt idx="2">
                  <c:v>91.0</c:v>
                </c:pt>
                <c:pt idx="3">
                  <c:v>61.0</c:v>
                </c:pt>
                <c:pt idx="4">
                  <c:v>59.0</c:v>
                </c:pt>
                <c:pt idx="5">
                  <c:v>52.0</c:v>
                </c:pt>
                <c:pt idx="6">
                  <c:v>14.0</c:v>
                </c:pt>
              </c:numCache>
            </c:numRef>
          </c:val>
        </c:ser>
        <c:dLbls>
          <c:showLegendKey val="0"/>
          <c:showVal val="0"/>
          <c:showCatName val="0"/>
          <c:showSerName val="0"/>
          <c:showPercent val="0"/>
          <c:showBubbleSize val="0"/>
        </c:dLbls>
        <c:gapWidth val="182"/>
        <c:axId val="-2118933000"/>
        <c:axId val="-2118936728"/>
      </c:barChart>
      <c:catAx>
        <c:axId val="-2118933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936728"/>
        <c:crosses val="autoZero"/>
        <c:auto val="1"/>
        <c:lblAlgn val="ctr"/>
        <c:lblOffset val="100"/>
        <c:noMultiLvlLbl val="0"/>
      </c:catAx>
      <c:valAx>
        <c:axId val="-2118936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933000"/>
        <c:crosses val="autoZero"/>
        <c:crossBetween val="between"/>
      </c:valAx>
      <c:spPr>
        <a:noFill/>
        <a:ln>
          <a:noFill/>
        </a:ln>
        <a:effectLst/>
      </c:spPr>
    </c:plotArea>
    <c:legend>
      <c:legendPos val="b"/>
      <c:layout>
        <c:manualLayout>
          <c:xMode val="edge"/>
          <c:yMode val="edge"/>
          <c:x val="0.664426111386319"/>
          <c:y val="0.0561337124526101"/>
          <c:w val="0.238679673399822"/>
          <c:h val="0.1151625838436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'Transition rates'!#REF!</c:f>
              <c:strCache>
                <c:ptCount val="1"/>
                <c:pt idx="0">
                  <c:v>#REF!</c:v>
                </c:pt>
              </c:strCache>
            </c:strRef>
          </c:tx>
          <c:spPr>
            <a:solidFill>
              <a:schemeClr val="accent1"/>
            </a:solidFill>
            <a:ln>
              <a:noFill/>
            </a:ln>
            <a:effectLst/>
            <a:sp3d/>
          </c:spPr>
          <c:invertIfNegative val="0"/>
          <c:cat>
            <c:strRef>
              <c:f>'Transition rates'!$H$9:$H$21</c:f>
              <c:strCache>
                <c:ptCount val="13"/>
                <c:pt idx="0">
                  <c:v>Seychelles</c:v>
                </c:pt>
                <c:pt idx="1">
                  <c:v>Cape Verde</c:v>
                </c:pt>
                <c:pt idx="2">
                  <c:v>Ghana</c:v>
                </c:pt>
                <c:pt idx="3">
                  <c:v>Gambia</c:v>
                </c:pt>
                <c:pt idx="4">
                  <c:v>Equatorial Guinea</c:v>
                </c:pt>
                <c:pt idx="5">
                  <c:v>Namibia</c:v>
                </c:pt>
                <c:pt idx="6">
                  <c:v>Lesotho</c:v>
                </c:pt>
                <c:pt idx="7">
                  <c:v>Mauritius</c:v>
                </c:pt>
                <c:pt idx="8">
                  <c:v>Sao Tome and Principe</c:v>
                </c:pt>
                <c:pt idx="9">
                  <c:v>Cameroon</c:v>
                </c:pt>
                <c:pt idx="10">
                  <c:v>Guinea</c:v>
                </c:pt>
                <c:pt idx="11">
                  <c:v>Zambia</c:v>
                </c:pt>
                <c:pt idx="12">
                  <c:v>Mozambique</c:v>
                </c:pt>
              </c:strCache>
            </c:strRef>
          </c:cat>
          <c:val>
            <c:numRef>
              <c:f>'Transition rates'!#REF!</c:f>
              <c:numCache>
                <c:formatCode>General</c:formatCode>
                <c:ptCount val="1"/>
                <c:pt idx="0">
                  <c:v>1.0</c:v>
                </c:pt>
              </c:numCache>
            </c:numRef>
          </c:val>
        </c:ser>
        <c:ser>
          <c:idx val="1"/>
          <c:order val="1"/>
          <c:tx>
            <c:strRef>
              <c:f>'Transition rates'!$I$8</c:f>
              <c:strCache>
                <c:ptCount val="1"/>
                <c:pt idx="0">
                  <c:v>Male (%)</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'Transition rates'!$H$9:$H$21</c:f>
              <c:strCache>
                <c:ptCount val="13"/>
                <c:pt idx="0">
                  <c:v>Seychelles</c:v>
                </c:pt>
                <c:pt idx="1">
                  <c:v>Cape Verde</c:v>
                </c:pt>
                <c:pt idx="2">
                  <c:v>Ghana</c:v>
                </c:pt>
                <c:pt idx="3">
                  <c:v>Gambia</c:v>
                </c:pt>
                <c:pt idx="4">
                  <c:v>Equatorial Guinea</c:v>
                </c:pt>
                <c:pt idx="5">
                  <c:v>Namibia</c:v>
                </c:pt>
                <c:pt idx="6">
                  <c:v>Lesotho</c:v>
                </c:pt>
                <c:pt idx="7">
                  <c:v>Mauritius</c:v>
                </c:pt>
                <c:pt idx="8">
                  <c:v>Sao Tome and Principe</c:v>
                </c:pt>
                <c:pt idx="9">
                  <c:v>Cameroon</c:v>
                </c:pt>
                <c:pt idx="10">
                  <c:v>Guinea</c:v>
                </c:pt>
                <c:pt idx="11">
                  <c:v>Zambia</c:v>
                </c:pt>
                <c:pt idx="12">
                  <c:v>Mozambique</c:v>
                </c:pt>
              </c:strCache>
            </c:strRef>
          </c:cat>
          <c:val>
            <c:numRef>
              <c:f>'Transition rates'!$I$9:$I$21</c:f>
              <c:numCache>
                <c:formatCode>General</c:formatCode>
                <c:ptCount val="13"/>
                <c:pt idx="0">
                  <c:v>95.0</c:v>
                </c:pt>
                <c:pt idx="1">
                  <c:v>87.0</c:v>
                </c:pt>
                <c:pt idx="2">
                  <c:v>90.0</c:v>
                </c:pt>
                <c:pt idx="3">
                  <c:v>84.0</c:v>
                </c:pt>
                <c:pt idx="4">
                  <c:v>86.0</c:v>
                </c:pt>
                <c:pt idx="5">
                  <c:v>81.0</c:v>
                </c:pt>
                <c:pt idx="6">
                  <c:v>72.0</c:v>
                </c:pt>
                <c:pt idx="7">
                  <c:v>66.0</c:v>
                </c:pt>
                <c:pt idx="8">
                  <c:v>65.0</c:v>
                </c:pt>
                <c:pt idx="9">
                  <c:v>49.0</c:v>
                </c:pt>
                <c:pt idx="10">
                  <c:v>62.0</c:v>
                </c:pt>
                <c:pt idx="11">
                  <c:v>61.0</c:v>
                </c:pt>
                <c:pt idx="12">
                  <c:v>47.0</c:v>
                </c:pt>
              </c:numCache>
            </c:numRef>
          </c:val>
        </c:ser>
        <c:ser>
          <c:idx val="2"/>
          <c:order val="2"/>
          <c:tx>
            <c:strRef>
              <c:f>'Transition rates'!$J$8</c:f>
              <c:strCache>
                <c:ptCount val="1"/>
                <c:pt idx="0">
                  <c:v>Female (%)</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'Transition rates'!$H$9:$H$21</c:f>
              <c:strCache>
                <c:ptCount val="13"/>
                <c:pt idx="0">
                  <c:v>Seychelles</c:v>
                </c:pt>
                <c:pt idx="1">
                  <c:v>Cape Verde</c:v>
                </c:pt>
                <c:pt idx="2">
                  <c:v>Ghana</c:v>
                </c:pt>
                <c:pt idx="3">
                  <c:v>Gambia</c:v>
                </c:pt>
                <c:pt idx="4">
                  <c:v>Equatorial Guinea</c:v>
                </c:pt>
                <c:pt idx="5">
                  <c:v>Namibia</c:v>
                </c:pt>
                <c:pt idx="6">
                  <c:v>Lesotho</c:v>
                </c:pt>
                <c:pt idx="7">
                  <c:v>Mauritius</c:v>
                </c:pt>
                <c:pt idx="8">
                  <c:v>Sao Tome and Principe</c:v>
                </c:pt>
                <c:pt idx="9">
                  <c:v>Cameroon</c:v>
                </c:pt>
                <c:pt idx="10">
                  <c:v>Guinea</c:v>
                </c:pt>
                <c:pt idx="11">
                  <c:v>Zambia</c:v>
                </c:pt>
                <c:pt idx="12">
                  <c:v>Mozambique</c:v>
                </c:pt>
              </c:strCache>
            </c:strRef>
          </c:cat>
          <c:val>
            <c:numRef>
              <c:f>'Transition rates'!$J$9:$J$21</c:f>
              <c:numCache>
                <c:formatCode>General</c:formatCode>
                <c:ptCount val="13"/>
                <c:pt idx="0">
                  <c:v>98.0</c:v>
                </c:pt>
                <c:pt idx="1">
                  <c:v>93.0</c:v>
                </c:pt>
                <c:pt idx="2">
                  <c:v>91.0</c:v>
                </c:pt>
                <c:pt idx="3">
                  <c:v>85.0</c:v>
                </c:pt>
                <c:pt idx="4">
                  <c:v>84.0</c:v>
                </c:pt>
                <c:pt idx="5">
                  <c:v>84.0</c:v>
                </c:pt>
                <c:pt idx="6">
                  <c:v>76.0</c:v>
                </c:pt>
                <c:pt idx="7">
                  <c:v>76.0</c:v>
                </c:pt>
                <c:pt idx="8">
                  <c:v>70.0</c:v>
                </c:pt>
                <c:pt idx="9">
                  <c:v>56.0</c:v>
                </c:pt>
                <c:pt idx="10">
                  <c:v>54.0</c:v>
                </c:pt>
                <c:pt idx="11">
                  <c:v>51.0</c:v>
                </c:pt>
                <c:pt idx="12">
                  <c:v>51.0</c:v>
                </c:pt>
              </c:numCache>
            </c:numRef>
          </c:val>
        </c:ser>
        <c:dLbls>
          <c:showLegendKey val="0"/>
          <c:showVal val="0"/>
          <c:showCatName val="0"/>
          <c:showSerName val="0"/>
          <c:showPercent val="0"/>
          <c:showBubbleSize val="0"/>
        </c:dLbls>
        <c:gapWidth val="150"/>
        <c:shape val="box"/>
        <c:axId val="-2118988824"/>
        <c:axId val="-2118992536"/>
        <c:axId val="0"/>
      </c:bar3DChart>
      <c:catAx>
        <c:axId val="-21189888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992536"/>
        <c:crosses val="autoZero"/>
        <c:auto val="1"/>
        <c:lblAlgn val="ctr"/>
        <c:lblOffset val="100"/>
        <c:noMultiLvlLbl val="0"/>
      </c:catAx>
      <c:valAx>
        <c:axId val="-2118992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988824"/>
        <c:crosses val="autoZero"/>
        <c:crossBetween val="between"/>
      </c:valAx>
      <c:spPr>
        <a:noFill/>
        <a:ln>
          <a:noFill/>
        </a:ln>
        <a:effectLst/>
      </c:spPr>
    </c:plotArea>
    <c:legend>
      <c:legendPos val="b"/>
      <c:legendEntry>
        <c:idx val="0"/>
        <c:delete val="1"/>
      </c:legendEntry>
      <c:layout>
        <c:manualLayout>
          <c:xMode val="edge"/>
          <c:yMode val="edge"/>
          <c:x val="0.642054556565408"/>
          <c:y val="0.0414840308580818"/>
          <c:w val="0.241543733862536"/>
          <c:h val="0.07978776277888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'Extractive Industries'!$B$24</c:f>
              <c:strCache>
                <c:ptCount val="1"/>
                <c:pt idx="0">
                  <c:v>Average % women on boards of top 100 mining companies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'Extractive Industries'!$A$25:$A$30</c:f>
              <c:strCache>
                <c:ptCount val="6"/>
                <c:pt idx="0">
                  <c:v>South Africa – JSE</c:v>
                </c:pt>
                <c:pt idx="1">
                  <c:v>Australia – ASX</c:v>
                </c:pt>
                <c:pt idx="2">
                  <c:v>USA – NYSE</c:v>
                </c:pt>
                <c:pt idx="3">
                  <c:v>Hong Kong – SEHK</c:v>
                </c:pt>
                <c:pt idx="4">
                  <c:v>Canada – TSX/TSXv</c:v>
                </c:pt>
                <c:pt idx="5">
                  <c:v>United Kingdom – LSE/AIM</c:v>
                </c:pt>
              </c:strCache>
            </c:strRef>
          </c:cat>
          <c:val>
            <c:numRef>
              <c:f>'Extractive Industries'!$B$25:$B$30</c:f>
              <c:numCache>
                <c:formatCode>General</c:formatCode>
                <c:ptCount val="6"/>
                <c:pt idx="0">
                  <c:v>21.05</c:v>
                </c:pt>
                <c:pt idx="1">
                  <c:v>11.97</c:v>
                </c:pt>
                <c:pt idx="2">
                  <c:v>7.34</c:v>
                </c:pt>
                <c:pt idx="3">
                  <c:v>6.02</c:v>
                </c:pt>
                <c:pt idx="4">
                  <c:v>5.24</c:v>
                </c:pt>
                <c:pt idx="5">
                  <c:v>4.27</c:v>
                </c:pt>
              </c:numCache>
            </c:numRef>
          </c:val>
        </c:ser>
        <c:dLbls>
          <c:showLegendKey val="0"/>
          <c:showVal val="0"/>
          <c:showCatName val="0"/>
          <c:showSerName val="0"/>
          <c:showPercent val="0"/>
          <c:showBubbleSize val="0"/>
        </c:dLbls>
        <c:gapWidth val="182"/>
        <c:axId val="-2119026968"/>
        <c:axId val="-2119030552"/>
      </c:barChart>
      <c:catAx>
        <c:axId val="-2119026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030552"/>
        <c:crosses val="autoZero"/>
        <c:auto val="1"/>
        <c:lblAlgn val="ctr"/>
        <c:lblOffset val="100"/>
        <c:noMultiLvlLbl val="0"/>
      </c:catAx>
      <c:valAx>
        <c:axId val="-2119030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026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E3AA9-3522-A343-9941-E037FC8F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6260</Words>
  <Characters>35682</Characters>
  <Application>Microsoft Macintosh Word</Application>
  <DocSecurity>4</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Ahmadou MBoup</dc:creator>
  <cp:keywords/>
  <dc:description/>
  <cp:lastModifiedBy>James Neuhaus</cp:lastModifiedBy>
  <cp:revision>2</cp:revision>
  <cp:lastPrinted>2015-05-08T16:29:00Z</cp:lastPrinted>
  <dcterms:created xsi:type="dcterms:W3CDTF">2015-05-08T21:51:00Z</dcterms:created>
  <dcterms:modified xsi:type="dcterms:W3CDTF">2015-05-08T21:51:00Z</dcterms:modified>
</cp:coreProperties>
</file>