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IMPLEMENTATION HANDOFF / COPY ALL BODY TEXT</w:t>
      </w:r>
    </w:p>
    <w:p>
      <w:pPr>
        <w:pStyle w:val="Title"/>
      </w:pPr>
      <w:r>
        <w:t>Build halimrafi.com</w:t>
      </w:r>
    </w:p>
    <w:p>
      <w:pPr>
        <w:pStyle w:val="Subtitle"/>
      </w:pPr>
      <w:r>
        <w:t>Claude Code instructions · First reviewable milestone</w:t>
      </w:r>
    </w:p>
    <w:p>
      <w:r>
        <w:t>Act as my product designer and senior frontend engineer. Build the first reviewable version of my personal website in the current project. Produce working code and a browser preview. Continue through implementation and verification; a plan alone is not the deliverable.</w:t>
      </w:r>
    </w:p>
    <w:p>
      <w:pPr>
        <w:pStyle w:val="Heading2"/>
      </w:pPr>
      <w:r>
        <w:t>Context and objective</w:t>
      </w:r>
    </w:p>
    <w:p>
      <w:r>
        <w:t>My name is Halim Rafi. I am the co-founder and CTO of Octolane AI, part of YC W24. Previously, I co-founded Mainly Coding, which was acquired by Shikho. I am based in San Francisco, originally from Bangladesh, and studied Applied Mathematics at the University of Dhaka. My domain is halimrafi.com.</w:t>
      </w:r>
    </w:p>
    <w:p>
      <w:r>
        <w:t>The website must demonstrate judgment, meaningful work, product craft and speed. My audience is founders and senior engineers who can recognize strong work. They should understand the scope of what I build and be able to inspect the choices behind it. The experience should give them a useful idea they can apply themselves.</w:t>
      </w:r>
    </w:p>
    <w:p>
      <w:r>
        <w:t>Use the accompanying halimrafi-website-brief.docx as creative direction if supplied. This handoff narrows the first implementation milestone and adds company-level context. Its instructions take precedence where they differ from the brief. Both documents are private implementation material. Never render their planning notes or intended-audience references as public copy. If the brief is missing or cannot be read, proceed from this self-contained handoff and note the limitation.</w:t>
      </w:r>
    </w:p>
    <w:p>
      <w:pPr>
        <w:pStyle w:val="Heading2"/>
      </w:pPr>
      <w:r>
        <w:t>The first milestone</w:t>
      </w:r>
    </w:p>
    <w:p>
      <w:r>
        <w:t>Build a responsive homepage, one complete case-study layout with a functioning illustrative demo, and a short About page. Provide two bounded visual directions for the homepage using identical content and the same demo component. One may be the primary route and the other a local review-only route. Share the story template between them. This is a design comparison, not two separate websites.</w:t>
      </w:r>
    </w:p>
    <w:p>
      <w:r>
        <w:t>Finish both directions, recommend one, and show desktop and mobile views. Then stop for my design choice before expanding the content or publishing. Make routine implementation decisions yourself. Ask only when a missing detail truly blocks the milestone. Missing screenshots, results or contact details should not block the local prototype.</w:t>
      </w:r>
    </w:p>
    <w:p>
      <w:r>
        <w:br w:type="page"/>
      </w:r>
    </w:p>
    <w:p>
      <w:pPr>
        <w:pStyle w:val="Kicker"/>
      </w:pPr>
      <w:r>
        <w:t>01 / EXPERIENCE AND DESIGN</w:t>
      </w:r>
    </w:p>
    <w:p>
      <w:pPr>
        <w:pStyle w:val="Heading1"/>
      </w:pPr>
      <w:r>
        <w:t>Make the reasoning visible.</w:t>
      </w:r>
    </w:p>
    <w:p>
      <w:pPr>
        <w:pStyle w:val="Heading2"/>
      </w:pPr>
      <w:r>
        <w:t>Homepage composition</w:t>
      </w:r>
    </w:p>
    <w:p>
      <w:r>
        <w:t>Open with my name and the proposed headline: “I build products, from the hard decision to the last interaction.” Follow with a short factual biography. Show the interactive example early, with an “Open the decision” link to the case study. Explain the problem in one sentence before the visitor touches any controls.</w:t>
      </w:r>
    </w:p>
    <w:p>
      <w:r>
        <w:t>Include a concise Octolane section that establishes my role as co-founder and CTO and the product context: an AI-first CRM. Reserve space for a real product overview image and the specific responsibilities I confirm. Show how the featured decision belongs to a larger product. Do not imply that I individually implemented every company feature. Include Mainly Coding as a second chapter, with the established acquisition fact. Avoid inventing a detailed company case study to fill space.</w:t>
      </w:r>
    </w:p>
    <w:p>
      <w:r>
        <w:t>Close with a short About link and contact area. Keep public contact information in one configuration file. If no email or profile URL is supplied, omit the action and record the missing value privately; do not ship a fake address or a dead contact button.</w:t>
      </w:r>
    </w:p>
    <w:p>
      <w:pPr>
        <w:pStyle w:val="Heading2"/>
      </w:pPr>
      <w:r>
        <w:t>Two visual directions</w:t>
      </w:r>
    </w:p>
    <w:p>
      <w:r>
        <w:t>Direction A: editorial. Explore warm paper, dark ink, a restrained green accent, expressive serif headlines and clear sans-serif controls. Use an asymmetrical composition with generous space around the working example. These are exploratory choices, not mandatory brand tokens.</w:t>
      </w:r>
    </w:p>
    <w:p>
      <w:r>
        <w:t>Direction B: product notebook. Explore a neutral canvas, strong sans-serif typography, precise alignment, compact annotations and a more structured relationship between the artifact and its explanation. Make its composition and hierarchy meaningfully different from A. A palette swap is insufficient.</w:t>
      </w:r>
    </w:p>
    <w:p>
      <w:r>
        <w:t>Keep navigation obvious. Let original product details supply the personality. Avoid a default bento grid, technology-logo wall, glowing gradients, fake terminal, cursor replacement, scroll hijacking, loading introduction, autoplay sound and excessive decorative animation. Use real HTML controls, readable text and original layout decisions. Do not imitate another engineer’s website.</w:t>
      </w:r>
    </w:p>
    <w:p>
      <w:pPr>
        <w:pStyle w:val="Heading2"/>
      </w:pPr>
      <w:r>
        <w:t>The case-study structure</w:t>
      </w:r>
    </w:p>
    <w:p>
      <w:r>
        <w:t>Use a clear sequence: product context, the problem, my contribution, constraints, alternatives, decision, implementation detail, verification, outcome and what remains uncertain. In this first prototype, populate the illustrative interaction and design rationale. Keep unsupported personal contribution and historical outcome claims out of the rendered story. Store the evidence gaps in a private content checklist.</w:t>
      </w:r>
    </w:p>
    <w:p>
      <w:r>
        <w:t>Do not equate motion polish with my entire professional identity. The surrounding narrative must show how product behavior connects to engineering choices, system reliability and delivery.</w:t>
      </w:r>
    </w:p>
    <w:p>
      <w:r>
        <w:br w:type="page"/>
      </w:r>
    </w:p>
    <w:p>
      <w:pPr>
        <w:pStyle w:val="Kicker"/>
      </w:pPr>
      <w:r>
        <w:t>02 / INTERACTIVE EXAMPLE</w:t>
      </w:r>
    </w:p>
    <w:p>
      <w:pPr>
        <w:pStyle w:val="Heading1"/>
      </w:pPr>
      <w:r>
        <w:t>An answer arrives in pieces.</w:t>
      </w:r>
    </w:p>
    <w:p>
      <w:r>
        <w:t>Build a deterministic streaming-response demonstration using local fixture data. It should illustrate why response presentation matters without calling an AI API. Label it visibly: “Illustrative demo using simulated events.” It is not a recording of shipped Octolane behavior or evidence of measured performance.</w:t>
      </w:r>
    </w:p>
    <w:p>
      <w:pPr>
        <w:pStyle w:val="Heading2"/>
      </w:pPr>
      <w:r>
        <w:t>Controls and behavior</w:t>
      </w:r>
    </w:p>
    <w:p>
      <w:r>
        <w:t>Offer “Raw arrival” and “Considered reveal” modes, plus Play, Pause and Restart. Add one constraint control: “Delayed tool result.” Use the same event fixture and arrival timestamps for both modes within each scenario so the comparison is fair. The delayed scenario changes only the tool-result arrival. Choosing a mode or scenario resets the demo to a predictable initial state.</w:t>
      </w:r>
    </w:p>
    <w:p>
      <w:r>
        <w:t>The fixture includes text chunks crossing a formatting boundary, a paragraph, a short list and a tool-result widget. Raw mode shows available text as it arrives. Considered mode groups readable units, safely handles incomplete formatting, reserves a stable location for the pending widget, and reveals the footer only after completion. Choose a finite wait limit so slow arrivals never leave the reader waiting indefinitely. Document the chosen behavior and its tradeoff.</w:t>
      </w:r>
    </w:p>
    <w:p>
      <w:r>
        <w:t>A delayed widget must not prevent independent readable text from appearing. Show an honest pending state in its reserved position. Keep the response order stable when it resolves. If the user scrolls away from the newest content, stop following automatically and offer a way to return. Do not move the entire page just to keep the demo in view.</w:t>
      </w:r>
    </w:p>
    <w:p>
      <w:pPr>
        <w:pStyle w:val="Heading2"/>
      </w:pPr>
      <w:r>
        <w:t>What the visitor should learn</w:t>
      </w:r>
    </w:p>
    <w:p>
      <w:r>
        <w:t>Use “Open the decision” to explain the tension between readable grouping and extra visual delay. Show what changes under a delayed result and why the widget has a reserved location. The simulation may expose its configured timing, but never present these values as measured production latency or claim a percentage improvement.</w:t>
      </w:r>
    </w:p>
    <w:p>
      <w:pPr>
        <w:pStyle w:val="Heading2"/>
      </w:pPr>
      <w:r>
        <w:t>Reliability and accessibility</w:t>
      </w:r>
    </w:p>
    <w:p>
      <w:r>
        <w:t>Restart cancels the previous playback before beginning another. Pause and resume preserve progress. Clean up timers and listeners on unmount. Repeated interaction must not duplicate text or mix scenarios. Keep fixture data separate from the replay controller and presentation components.</w:t>
      </w:r>
    </w:p>
    <w:p>
      <w:r>
        <w:t>Honor reduced-motion preferences with a static completed view by default and an optional explicit playback action. Provide a readable completed transcript without JavaScript. Use semantic buttons, visible keyboard focus and clearly conveyed selected states. Avoid announcing every arriving character to screen readers; provide a stable accessible transcript or concise status changes.</w:t>
      </w:r>
    </w:p>
    <w:p>
      <w:r>
        <w:t>If a behavior is too expensive for this first milestone, explain the specific simplification in the handoff. Keep the core comparison, delayed-result scenario and restart behavior working. Do not substitute a looping video for the requested interaction.</w:t>
      </w:r>
    </w:p>
    <w:p>
      <w:r>
        <w:br w:type="page"/>
      </w:r>
    </w:p>
    <w:p>
      <w:pPr>
        <w:pStyle w:val="Kicker"/>
      </w:pPr>
      <w:r>
        <w:t>03 / ENGINEERING AND REVIEW</w:t>
      </w:r>
    </w:p>
    <w:p>
      <w:pPr>
        <w:pStyle w:val="Heading1"/>
      </w:pPr>
      <w:r>
        <w:t>Finish a small, inspectable build.</w:t>
      </w:r>
    </w:p>
    <w:p>
      <w:pPr>
        <w:pStyle w:val="Heading2"/>
      </w:pPr>
      <w:r>
        <w:t>Project setup and architecture</w:t>
      </w:r>
    </w:p>
    <w:p>
      <w:r>
        <w:t>Inspect the existing repository and its instructions first. Preserve unrelated files and use its package manager and conventions. For an empty project, default to Next.js App Router, TypeScript and Tailwind CSS, using compatible stable versions checked against official documentation. Keep content predominantly static and client-side code limited to interactions. Do not add a database, authentication, CMS, live model integration or Docker infrastructure for this milestone.</w:t>
      </w:r>
    </w:p>
    <w:p>
      <w:r>
        <w:t>Use portable Markdown or MDX for stories, shared design tokens and reusable article components. Keep content, demo fixtures, types and replay logic separate where they have distinct responsibilities. Prefer a small comprehensible structure over an elaborate generic framework. Document how to add a case study without changing page components.</w:t>
      </w:r>
    </w:p>
    <w:p>
      <w:r>
        <w:t>Keep private briefs and evidence notes outside public assets. Exclude drafts and review-only routes from any production output before launch; noindex alone is not access control. Use mock company records only inside the labeled demo. Do not fabricate metrics, testimonials, dates, customers, screenshots or ownership claims. Do not publish private repository links or internal company material.</w:t>
      </w:r>
    </w:p>
    <w:p>
      <w:pPr>
        <w:pStyle w:val="Heading2"/>
      </w:pPr>
      <w:r>
        <w:t>Verification that matters</w:t>
      </w:r>
    </w:p>
    <w:p>
      <w:r>
        <w:t>Run the production build, type checks and the project’s relevant lint command. Test the replay controller for pause/resume, restart during playback, delayed-result ordering and cleanup. Use browser checks for keyboard traversal, disclosure controls and reduced motion. Inspect both homepage directions and the case study at approximately 390px and 1440px viewport widths. Check a 320px layout for horizontal overflow.</w:t>
      </w:r>
    </w:p>
    <w:p>
      <w:r>
        <w:t>Confirm there are no console errors, broken links, clipped text, missing assets or unstable layout shifts from the demo. Read the site without interacting: identity, product context and the point of the example must remain understandable. If browser tooling is unavailable, say which visual checks remain unperformed and provide reproducible local instructions. Never report a check as passed unless you ran it.</w:t>
      </w:r>
    </w:p>
    <w:p>
      <w:pPr>
        <w:pStyle w:val="Heading2"/>
      </w:pPr>
      <w:r>
        <w:t>Deliver the review package</w:t>
      </w:r>
    </w:p>
    <w:p>
      <w:r>
        <w:t>Return the exact start command and local preview URLs; desktop and mobile screenshots where supported; a short explanation of the two visual directions and your recommendation; completed checks and any limitations; and a short list of evidence or public contact details still needed. Keep the explanation focused on decisions that affect the site.</w:t>
      </w:r>
    </w:p>
    <w:p>
      <w:r>
        <w:t>Maintain a concise README with setup, content editing and demo-fixture instructions. Add a private project status note recording what is implemented, what is simulated and the next milestone. Make the first version ready for my browser review. Do not deploy, change DNS, connect halimrafi.com or expand into additional pages until I choose the direction.</w:t>
      </w:r>
    </w:p>
    <w:p>
      <w:r>
        <w:t>The review question: after one minute, can a visitor explain what I build, the scope of my role, and one decision worth remembering? Use that question to judge the result before presenting it.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IMPLEMENTATION PROMPT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HALIMRAFI.COM  /  CLAUDE CODE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76" w:lineRule="auto"/>
      <w:outlineLvl w:val="0"/>
    </w:pPr>
    <w:rPr>
      <w:rFonts w:asciiTheme="majorHAnsi" w:eastAsiaTheme="majorEastAsia" w:hAnsiTheme="majorHAnsi" w:cstheme="majorBidi" w:ascii="Calibri" w:hAnsi="Calibri"/>
      <w:b/>
      <w:bCs/>
      <w:color w:val="142C2D"/>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76" w:lineRule="auto"/>
      <w:outlineLvl w:val="1"/>
    </w:pPr>
    <w:rPr>
      <w:rFonts w:asciiTheme="majorHAnsi" w:eastAsiaTheme="majorEastAsia" w:hAnsiTheme="majorHAnsi" w:cstheme="majorBidi" w:ascii="Calibri" w:hAnsi="Calibri"/>
      <w:b/>
      <w:bCs/>
      <w:color w:val="142C2D"/>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76" w:lineRule="auto"/>
      <w:outlineLvl w:val="2"/>
    </w:pPr>
    <w:rPr>
      <w:rFonts w:asciiTheme="majorHAnsi" w:eastAsiaTheme="majorEastAsia" w:hAnsiTheme="majorHAnsi" w:cstheme="majorBidi" w:ascii="Calibri" w:hAnsi="Calibri"/>
      <w:b/>
      <w:bCs/>
      <w:color w:val="142C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76" w:lineRule="auto" w:before="0"/>
      <w:contextualSpacing/>
    </w:pPr>
    <w:rPr>
      <w:rFonts w:asciiTheme="majorHAnsi" w:eastAsiaTheme="majorEastAsia" w:hAnsiTheme="majorHAnsi" w:cstheme="majorBidi" w:ascii="Calibri" w:hAnsi="Calibri"/>
      <w:color w:val="142C2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276" w:lineRule="auto"/>
    </w:pPr>
    <w:rPr>
      <w:rFonts w:asciiTheme="majorHAnsi" w:eastAsiaTheme="majorEastAsia" w:hAnsiTheme="majorHAnsi" w:cstheme="majorBidi" w:ascii="Calibri" w:hAnsi="Calibri"/>
      <w:i/>
      <w:iCs/>
      <w:color w:val="56606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basedOn w:val="Normal"/>
    <w:pPr>
      <w:spacing w:before="0" w:after="160" w:line="276" w:lineRule="auto"/>
    </w:pPr>
    <w:rPr>
      <w:rFonts w:ascii="Calibri" w:hAnsi="Calibri"/>
      <w:color w:val="26736B"/>
      <w:sz w:val="18"/>
    </w:rPr>
  </w:style>
  <w:style w:type="paragraph" w:customStyle="1" w:styleId="Small">
    <w:name w:val="Small"/>
    <w:basedOn w:val="Normal"/>
    <w:pPr>
      <w:spacing w:before="0" w:after="160" w:line="276" w:lineRule="auto"/>
    </w:pPr>
    <w:rPr>
      <w:rFonts w:ascii="Calibri" w:hAnsi="Calibri"/>
      <w:color w:val="606969"/>
      <w:sz w:val="18"/>
    </w:rPr>
  </w:style>
  <w:style w:type="paragraph" w:customStyle="1" w:styleId="Specimen">
    <w:name w:val="Specimen"/>
    <w:basedOn w:val="Normal"/>
    <w:pPr>
      <w:spacing w:before="0" w:after="160" w:line="276" w:lineRule="auto"/>
    </w:pPr>
    <w:rPr>
      <w:rFonts w:ascii="Calibri" w:hAnsi="Calibri"/>
      <w:color w:val="142C2D"/>
      <w:sz w:val="3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Halim Rafi | Claude Code Implementation Handoff</dc:title>
  <dc:subject/>
  <dc:creator>Halim Rafi</dc:creator>
  <cp:keywords/>
  <dc:description>generated by python-docx</dc:description>
  <cp:lastModifiedBy/>
  <cp:revision>1</cp:revision>
  <dcterms:created xsi:type="dcterms:W3CDTF">2013-12-23T23:15:00Z</dcterms:created>
  <dcterms:modified xsi:type="dcterms:W3CDTF">2013-12-23T23:15:00Z</dcterms:modified>
  <cp:category/>
</cp:coreProperties>
</file>