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B894"/>
          <w:sz w:val="52"/>
        </w:rPr>
        <w:t>Dynamic Brand Book Generator Architecture</w:t>
      </w:r>
    </w:p>
    <w:p>
      <w:pPr>
        <w:spacing w:after="120"/>
      </w:pPr>
      <w:r>
        <w:rPr>
          <w:color w:val="C8F7E8"/>
          <w:sz w:val="24"/>
        </w:rPr>
        <w:t>Web-search driven • No hardcoding • DuckDuckGo-powered discovery • Research → Synthesis → Design → QA → Export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CORE PRINCIPLES </w:t>
      </w:r>
    </w:p>
    <w:p>
      <w:pPr>
        <w:spacing w:after="120"/>
      </w:pPr>
      <w:r>
        <w:rPr>
          <w:color w:val="EAEAEA"/>
          <w:sz w:val="22"/>
        </w:rPr>
        <w:t>• Everything is dynamic: colors, typography, layout, imagery guidance. No hardcoded palettes or fonts.</w:t>
      </w:r>
    </w:p>
    <w:p>
      <w:pPr>
        <w:spacing w:after="120"/>
      </w:pPr>
      <w:r>
        <w:rPr>
          <w:color w:val="EAEAEA"/>
          <w:sz w:val="22"/>
        </w:rPr>
        <w:t>• The agent continuously researches via DuckDuckGo (or a SERP wrapper) to learn industry aesthetics, competitor cues, and current design trends.</w:t>
      </w:r>
    </w:p>
    <w:p>
      <w:pPr>
        <w:spacing w:after="120"/>
      </w:pPr>
      <w:r>
        <w:rPr>
          <w:color w:val="EAEAEA"/>
          <w:sz w:val="22"/>
        </w:rPr>
        <w:t>• Outputs are visually rich: dark/gradient backgrounds, section dividers, logo-derived shapes and grids, and real mockup layouts.</w:t>
      </w:r>
    </w:p>
    <w:p>
      <w:pPr>
        <w:spacing w:after="120"/>
      </w:pPr>
      <w:r>
        <w:rPr>
          <w:color w:val="EAEAEA"/>
          <w:sz w:val="22"/>
        </w:rPr>
        <w:t>• Human-in-the-loop checkpoints at Strategy → Visuals → Copy → Assembly.</w:t>
      </w:r>
    </w:p>
    <w:p>
      <w:pPr>
        <w:spacing w:after="120"/>
      </w:pPr>
      <w:r>
        <w:rPr>
          <w:color w:val="EAEAEA"/>
          <w:sz w:val="22"/>
        </w:rPr>
        <w:t>• Accessibility (WCAG AA contrast), licensing, and localization are first-class citizens.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HIGH-LEVEL FLOW </w:t>
      </w:r>
    </w:p>
    <w:p>
      <w:pPr>
        <w:spacing w:after="120"/>
      </w:pPr>
      <w:r>
        <w:rPr>
          <w:color w:val="EAEAEA"/>
          <w:sz w:val="22"/>
        </w:rPr>
        <w:t>User Input → Orchestrator → (A) Web Research Agent → Brand Essence → (B) Creative Director → Visual System → (C) Copy Agent → Narrative → (D) Collateral Agent → Mockups → Assembly Engine → PDF/PPTX/HTML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MULTI‑AGENT MODULES </w:t>
      </w:r>
    </w:p>
    <w:p>
      <w:pPr>
        <w:spacing w:after="120"/>
      </w:pPr>
      <w:r>
        <w:rPr>
          <w:color w:val="EAEAEA"/>
          <w:sz w:val="22"/>
        </w:rPr>
        <w:t>1) Web Research Agent (DuckDuckGo)</w:t>
        <w:br/>
        <w:t xml:space="preserve">   • Queries: brand, industry, competitors, audience keywords, design trends</w:t>
        <w:br/>
        <w:t xml:space="preserve">   • Pipeline: SERP → fetch top N pages → deduplicate → extract CSS, colors, fonts</w:t>
        <w:br/>
        <w:t xml:space="preserve">   • Scoring: authority + freshness + visual relevancy (presence of design tokens)</w:t>
        <w:br/>
        <w:t xml:space="preserve">   • Deliverable: ‘Brand Essence &amp; Market Analysis’ with competitor moodboard cues</w:t>
      </w:r>
    </w:p>
    <w:p>
      <w:pPr>
        <w:spacing w:after="120"/>
      </w:pPr>
      <w:r>
        <w:rPr>
          <w:color w:val="EAEAEA"/>
          <w:sz w:val="22"/>
        </w:rPr>
        <w:t>2) Creative Director (IdentityAgent++)</w:t>
        <w:br/>
        <w:t xml:space="preserve">   • Derives visual system from research + brand constraints</w:t>
        <w:br/>
        <w:t xml:space="preserve">   • Generates: background gradients, section dividers, color palettes, type pairings</w:t>
        <w:br/>
        <w:t xml:space="preserve">   • Logo-derived shapes: vector geometry extracted from client logo (SVG/PNG → traced)</w:t>
        <w:br/>
        <w:t xml:space="preserve">   • Produces: grid/clear-space specs, min sizes, dos/don’ts, sub‑brand lockups</w:t>
      </w:r>
    </w:p>
    <w:p>
      <w:pPr>
        <w:spacing w:after="120"/>
      </w:pPr>
      <w:r>
        <w:rPr>
          <w:color w:val="EAEAEA"/>
          <w:sz w:val="22"/>
        </w:rPr>
        <w:t>3) Copy Agent (LiteratureAgent++)</w:t>
        <w:br/>
        <w:t xml:space="preserve">   • Writes purpose, story, voice &amp; tone, messaging, and campaign lines</w:t>
        <w:br/>
        <w:t xml:space="preserve">   • Style conditioned on ‘Brand Essence’ and target audience personas</w:t>
      </w:r>
    </w:p>
    <w:p>
      <w:pPr>
        <w:spacing w:after="120"/>
      </w:pPr>
      <w:r>
        <w:rPr>
          <w:color w:val="EAEAEA"/>
          <w:sz w:val="22"/>
        </w:rPr>
        <w:t>4) Collateral Agent (New)</w:t>
        <w:br/>
        <w:t xml:space="preserve">   • Auto-builds mockups: social posts, banners, stationery, slide templates</w:t>
        <w:br/>
        <w:t xml:space="preserve">   • Uses responsive layout templates populated with brand tokens</w:t>
      </w:r>
    </w:p>
    <w:p>
      <w:pPr>
        <w:spacing w:after="120"/>
      </w:pPr>
      <w:r>
        <w:rPr>
          <w:color w:val="EAEAEA"/>
          <w:sz w:val="22"/>
        </w:rPr>
        <w:t>5) QA &amp; Compliance Agent</w:t>
        <w:br/>
        <w:t xml:space="preserve">   • Contrast checks (WCAG AA), rasterization at export sizes, safe area rules</w:t>
        <w:br/>
        <w:t xml:space="preserve">   • Licensing guardrails: verifies stock/AI imagery license and flags risks</w:t>
      </w:r>
    </w:p>
    <w:p>
      <w:pPr>
        <w:spacing w:after="120"/>
      </w:pPr>
      <w:r>
        <w:rPr>
          <w:color w:val="EAEAEA"/>
          <w:sz w:val="22"/>
        </w:rPr>
        <w:t>6) Assembly &amp; Export Engine</w:t>
        <w:br/>
        <w:t xml:space="preserve">   • PPTX generator with colored backgrounds and section dividers</w:t>
        <w:br/>
        <w:t xml:space="preserve">   • PDF engine with vector shapes and embedded color profiles</w:t>
        <w:br/>
        <w:t xml:space="preserve">   • HTML export for browser preview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DYNAMIC DESIGN RULES (NO HARDCODING) </w:t>
      </w:r>
    </w:p>
    <w:p>
      <w:pPr>
        <w:spacing w:after="120"/>
      </w:pPr>
      <w:r>
        <w:rPr>
          <w:color w:val="EAEAEA"/>
          <w:sz w:val="22"/>
        </w:rPr>
        <w:t>• Backgrounds: gradient stops calculated from extracted palette (LCH space for perceptual harmony).</w:t>
      </w:r>
    </w:p>
    <w:p>
      <w:pPr>
        <w:spacing w:after="120"/>
      </w:pPr>
      <w:r>
        <w:rPr>
          <w:color w:val="EAEAEA"/>
          <w:sz w:val="22"/>
        </w:rPr>
        <w:t>• Section Dividers: brand-color blocks with bold labels; color chosen via contrast function vs. page background.</w:t>
      </w:r>
    </w:p>
    <w:p>
      <w:pPr>
        <w:spacing w:after="120"/>
      </w:pPr>
      <w:r>
        <w:rPr>
          <w:color w:val="EAEAEA"/>
          <w:sz w:val="22"/>
        </w:rPr>
        <w:t>• Palettes: derived from competitor analysis + audience cues; validated with contrast and color-blind simulations.</w:t>
      </w:r>
    </w:p>
    <w:p>
      <w:pPr>
        <w:spacing w:after="120"/>
      </w:pPr>
      <w:r>
        <w:rPr>
          <w:color w:val="EAEAEA"/>
          <w:sz w:val="22"/>
        </w:rPr>
        <w:t>• Typography: pairs inferred from web-mined CSS (popular pairings in the niche) + availability/licensing filters.</w:t>
      </w:r>
    </w:p>
    <w:p>
      <w:pPr>
        <w:spacing w:after="120"/>
      </w:pPr>
      <w:r>
        <w:rPr>
          <w:color w:val="EAEAEA"/>
          <w:sz w:val="22"/>
        </w:rPr>
        <w:t>• Shapes &amp; Grids: vectorized from logo—used for iconography, dividers, and data‑viz accents.</w:t>
      </w:r>
    </w:p>
    <w:p>
      <w:pPr>
        <w:spacing w:after="120"/>
      </w:pPr>
      <w:r>
        <w:rPr>
          <w:color w:val="EAEAEA"/>
          <w:sz w:val="22"/>
        </w:rPr>
        <w:t>• Mockups: parameterized templates (sizes, margins, image masks) filled with synthesized copy &amp; imagery rules.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DUCKDUCKGO RESEARCH LAYER </w:t>
      </w:r>
    </w:p>
    <w:p>
      <w:pPr>
        <w:spacing w:after="120"/>
      </w:pPr>
      <w:r>
        <w:rPr>
          <w:color w:val="EAEAEA"/>
          <w:sz w:val="22"/>
        </w:rPr>
        <w:t>• Provider: DuckDuckGo web search (via SERP API wrapper).</w:t>
      </w:r>
    </w:p>
    <w:p>
      <w:pPr>
        <w:spacing w:after="120"/>
      </w:pPr>
      <w:r>
        <w:rPr>
          <w:color w:val="EAEAEA"/>
          <w:sz w:val="22"/>
        </w:rPr>
        <w:t>• Query generation: prompt-chain creates diversified queries (brand + niche + ‘style’, ‘logo’, ‘UI kit’, ‘campaign’, ‘color’).</w:t>
      </w:r>
    </w:p>
    <w:p>
      <w:pPr>
        <w:spacing w:after="120"/>
      </w:pPr>
      <w:r>
        <w:rPr>
          <w:color w:val="EAEAEA"/>
          <w:sz w:val="22"/>
        </w:rPr>
        <w:t>• Extraction: HTML/CSS parsing → collect CSS variables, Google Fonts links, hero gradients, brand tokens.</w:t>
      </w:r>
    </w:p>
    <w:p>
      <w:pPr>
        <w:spacing w:after="120"/>
      </w:pPr>
      <w:r>
        <w:rPr>
          <w:color w:val="EAEAEA"/>
          <w:sz w:val="22"/>
        </w:rPr>
        <w:t>• Clustering: group sites by visual style; pick representatives per cluster to avoid trend overfit.</w:t>
      </w:r>
    </w:p>
    <w:p>
      <w:pPr>
        <w:spacing w:after="120"/>
      </w:pPr>
      <w:r>
        <w:rPr>
          <w:color w:val="EAEAEA"/>
          <w:sz w:val="22"/>
        </w:rPr>
        <w:t>• Caching: store SERP and extraction artifacts per project for reproducibility.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DATA &amp; GOVERNANCE </w:t>
      </w:r>
    </w:p>
    <w:p>
      <w:pPr>
        <w:spacing w:after="120"/>
      </w:pPr>
      <w:r>
        <w:rPr>
          <w:color w:val="EAEAEA"/>
          <w:sz w:val="22"/>
        </w:rPr>
        <w:t>• Project store: Brand Essence, tokens, decisions, and approvals with versioning.</w:t>
      </w:r>
    </w:p>
    <w:p>
      <w:pPr>
        <w:spacing w:after="120"/>
      </w:pPr>
      <w:r>
        <w:rPr>
          <w:color w:val="EAEAEA"/>
          <w:sz w:val="22"/>
        </w:rPr>
        <w:t>• Citations: keep source URLs + screenshot thumbnails in an appendix slide/page.</w:t>
      </w:r>
    </w:p>
    <w:p>
      <w:pPr>
        <w:spacing w:after="120"/>
      </w:pPr>
      <w:r>
        <w:rPr>
          <w:color w:val="EAEAEA"/>
          <w:sz w:val="22"/>
        </w:rPr>
        <w:t>• Safety: filter NSFW, extremist, and copyrighted materials; only permissive-licensed assets get used.</w:t>
      </w:r>
    </w:p>
    <w:p>
      <w:pPr>
        <w:spacing w:after="120"/>
      </w:pPr>
      <w:r>
        <w:rPr>
          <w:color w:val="EAEAEA"/>
          <w:sz w:val="22"/>
        </w:rPr>
        <w:t>• Localization: fallback fonts for non‑Latin scripts; RTL layout support; color-meaning notes per market.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EXPORT SPECS (PDF/PPTX/HTML) </w:t>
      </w:r>
    </w:p>
    <w:p>
      <w:pPr>
        <w:spacing w:after="120"/>
      </w:pPr>
      <w:r>
        <w:rPr>
          <w:color w:val="EAEAEA"/>
          <w:sz w:val="22"/>
        </w:rPr>
        <w:t>• PDF: vector graphics, embedded fonts, CMYK-ready profiles optional, dark pages with gradient backgrounds.</w:t>
      </w:r>
    </w:p>
    <w:p>
      <w:pPr>
        <w:spacing w:after="120"/>
      </w:pPr>
      <w:r>
        <w:rPr>
          <w:color w:val="EAEAEA"/>
          <w:sz w:val="22"/>
        </w:rPr>
        <w:t>• PPTX: slide masters for Hero, TOC, section dividers, logo system, colors, typography, iconography, visual language, mockups.</w:t>
      </w:r>
    </w:p>
    <w:p>
      <w:pPr>
        <w:spacing w:after="120"/>
      </w:pPr>
      <w:r>
        <w:rPr>
          <w:color w:val="EAEAEA"/>
          <w:sz w:val="22"/>
        </w:rPr>
        <w:t>• HTML: responsive, uses CSS variables generated from brand tokens.</w:t>
      </w:r>
    </w:p>
    <w:p>
      <w:pPr>
        <w:jc w:val="left"/>
      </w:pPr>
      <w:r>
        <w:rPr>
          <w:b/>
          <w:color w:val="0A0A0A"/>
          <w:sz w:val="24"/>
          <w:shd w:fill="00B894" w:val="clear"/>
        </w:rPr>
        <w:t xml:space="preserve"> ACCEPTANCE CRITERIA </w:t>
      </w:r>
    </w:p>
    <w:p>
      <w:pPr>
        <w:spacing w:after="120"/>
      </w:pPr>
      <w:r>
        <w:rPr>
          <w:color w:val="EAEAEA"/>
          <w:sz w:val="22"/>
        </w:rPr>
        <w:t>• No white default pages; every section uses dark or gradient backgrounds.</w:t>
      </w:r>
    </w:p>
    <w:p>
      <w:pPr>
        <w:spacing w:after="120"/>
      </w:pPr>
      <w:r>
        <w:rPr>
          <w:color w:val="EAEAEA"/>
          <w:sz w:val="22"/>
        </w:rPr>
        <w:t>• Clear section dividers with bold labels and sufficient contrast (AA).</w:t>
      </w:r>
    </w:p>
    <w:p>
      <w:pPr>
        <w:spacing w:after="120"/>
      </w:pPr>
      <w:r>
        <w:rPr>
          <w:color w:val="EAEAEA"/>
          <w:sz w:val="22"/>
        </w:rPr>
        <w:t>• Logo system pages include construction grids, min sizes, clear space, and don’ts.</w:t>
      </w:r>
    </w:p>
    <w:p>
      <w:pPr>
        <w:spacing w:after="120"/>
      </w:pPr>
      <w:r>
        <w:rPr>
          <w:color w:val="EAEAEA"/>
          <w:sz w:val="22"/>
        </w:rPr>
        <w:t>• Palettes provide HEX/RGB/CMYK/Pantone when possible, with usage ratios.</w:t>
      </w:r>
    </w:p>
    <w:p>
      <w:pPr>
        <w:spacing w:after="120"/>
      </w:pPr>
      <w:r>
        <w:rPr>
          <w:color w:val="EAEAEA"/>
          <w:sz w:val="22"/>
        </w:rPr>
        <w:t>• Typography pages show hierarchy and examples.</w:t>
      </w:r>
    </w:p>
    <w:p>
      <w:pPr>
        <w:spacing w:after="120"/>
      </w:pPr>
      <w:r>
        <w:rPr>
          <w:color w:val="EAEAEA"/>
          <w:sz w:val="22"/>
        </w:rPr>
        <w:t>• Iconography includes grid/padding diagrams; visual language includes derivation visuals.</w:t>
      </w:r>
    </w:p>
    <w:p>
      <w:pPr>
        <w:spacing w:after="120"/>
      </w:pPr>
      <w:r>
        <w:rPr>
          <w:color w:val="EAEAEA"/>
          <w:sz w:val="22"/>
        </w:rPr>
        <w:t>• At least 3 mockup categories auto-generated (social, banners, stationery).</w:t>
      </w:r>
    </w:p>
    <w:p>
      <w:pPr>
        <w:spacing w:after="120"/>
      </w:pPr>
      <w:r>
        <w:rPr>
          <w:color w:val="EAEAEA"/>
          <w:sz w:val="22"/>
        </w:rPr>
        <w:t>• Appendix includes research citations and moodboard thumbnails.</w:t>
      </w:r>
    </w:p>
    <w:sectPr w:rsidR="00FC693F" w:rsidRPr="0006063C" w:rsidSect="00034616">
      <w:background w:color="0D0F10"/>
      <w:pgSz w:w="15840" w:h="12240" w:orient="landscape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