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  <w:jc w:val="left"/>
      </w:pPr>
      <w:r>
        <w:rPr>
          <w:rFonts w:ascii="Calibri" w:hAnsi="Calibri"/>
          <w:b/>
          <w:i w:val="0"/>
          <w:color w:val="0F172A"/>
          <w:sz w:val="40"/>
        </w:rPr>
        <w:t>Quarterly Financial Analysis Report</w:t>
      </w:r>
    </w:p>
    <w:p>
      <w:pPr>
        <w:keepNext/>
        <w:spacing w:before="160" w:after="80"/>
        <w:jc w:val="left"/>
      </w:pPr>
      <w:r>
        <w:rPr>
          <w:rFonts w:ascii="Calibri" w:hAnsi="Calibri"/>
          <w:b/>
          <w:i w:val="0"/>
          <w:color w:val="0F172A"/>
          <w:sz w:val="30"/>
        </w:rPr>
        <w:t>Executive Summary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sz w:val="22"/>
        </w:rPr>
        <w:t>During the third quarter, corporate revenue increased by 24% year-over-year. Operational efficiency</w:t>
      </w:r>
      <w:r>
        <w:t xml:space="preserve"> </w:t>
      </w:r>
      <w:r>
        <w:rPr>
          <w:rFonts w:ascii="Calibri" w:hAnsi="Calibri"/>
          <w:b w:val="0"/>
          <w:i w:val="0"/>
          <w:sz w:val="22"/>
        </w:rPr>
        <w:t>gains were driven by automation and cloud workload consolidation across business units.</w:t>
      </w:r>
    </w:p>
    <w:p>
      <w:pPr>
        <w:keepNext/>
        <w:spacing w:before="160" w:after="80"/>
        <w:jc w:val="left"/>
      </w:pPr>
      <w:r>
        <w:rPr>
          <w:rFonts w:ascii="Calibri" w:hAnsi="Calibri"/>
          <w:b/>
          <w:i w:val="0"/>
          <w:color w:val="0F172A"/>
          <w:sz w:val="30"/>
        </w:rPr>
        <w:t>Key Accomplishments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sz w:val="22"/>
        </w:rPr>
        <w:t>· Expanded digital conversion infrastructure to 99.9% uptime SLA.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sz w:val="22"/>
        </w:rPr>
        <w:t>· Reduced document processing latency by 45% for high-volume jobs.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sz w:val="22"/>
        </w:rPr>
        <w:t>· Implemented enterprise-grade end-to-end encryption for all payloads.</w:t>
      </w:r>
    </w:p>
    <w:p>
      <w:pPr>
        <w:keepNext/>
        <w:spacing w:before="160" w:after="80"/>
        <w:jc w:val="left"/>
      </w:pPr>
      <w:r>
        <w:rPr>
          <w:rFonts w:ascii="Calibri" w:hAnsi="Calibri"/>
          <w:b/>
          <w:i w:val="0"/>
          <w:color w:val="0F172A"/>
          <w:sz w:val="30"/>
        </w:rPr>
        <w:t>Market Outlook and Guidance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sz w:val="22"/>
        </w:rPr>
        <w:t>We expect steady growth into the upcoming fiscal year. Customer adoption of automated file translation</w:t>
      </w:r>
      <w:r>
        <w:t xml:space="preserve"> </w:t>
      </w:r>
      <w:r>
        <w:rPr>
          <w:rFonts w:ascii="Calibri" w:hAnsi="Calibri"/>
          <w:b w:val="0"/>
          <w:i w:val="0"/>
          <w:sz w:val="22"/>
        </w:rPr>
        <w:t>and document workflow tools continues to accelerate across enterprise accounts.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