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B1EA" w14:textId="64073C8E" w:rsidR="009A0746" w:rsidRDefault="00642DA9" w:rsidP="00642DA9">
      <w:pPr>
        <w:jc w:val="center"/>
        <w:rPr>
          <w:rFonts w:ascii="Times New Roman" w:hAnsi="Times New Roman" w:cs="Times New Roman"/>
          <w:b/>
          <w:bCs/>
          <w:sz w:val="28"/>
          <w:szCs w:val="28"/>
        </w:rPr>
      </w:pPr>
      <w:r w:rsidRPr="00642DA9">
        <w:rPr>
          <w:rFonts w:ascii="Times New Roman" w:hAnsi="Times New Roman" w:cs="Times New Roman"/>
          <w:b/>
          <w:bCs/>
          <w:sz w:val="28"/>
          <w:szCs w:val="28"/>
        </w:rPr>
        <w:t>P9. Regex sequence motifs</w:t>
      </w:r>
    </w:p>
    <w:p w14:paraId="536D6D8B" w14:textId="77777777" w:rsidR="009D0A73" w:rsidRPr="009D0A73" w:rsidRDefault="009D0A73" w:rsidP="009D0A73">
      <w:pPr>
        <w:rPr>
          <w:rFonts w:ascii="Times New Roman" w:hAnsi="Times New Roman" w:cs="Times New Roman"/>
          <w:b/>
          <w:bCs/>
        </w:rPr>
      </w:pPr>
      <w:r>
        <w:rPr>
          <w:rFonts w:ascii="Times New Roman" w:hAnsi="Times New Roman" w:cs="Times New Roman"/>
        </w:rPr>
        <w:br/>
      </w:r>
      <w:r w:rsidRPr="009D0A73">
        <w:rPr>
          <w:rFonts w:ascii="Times New Roman" w:hAnsi="Times New Roman" w:cs="Times New Roman"/>
          <w:b/>
          <w:bCs/>
        </w:rPr>
        <w:t>1. Introduction</w:t>
      </w:r>
    </w:p>
    <w:p w14:paraId="28105FC3"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 xml:space="preserve">Identifying conserved sequence motifs is crucial for characterizing protein families, predicting binding sites, and understanding evolutionary constraints. Unlike simple consensus sequences, biological motifs often exhibit degeneracy—specific positions may tolerate a range of </w:t>
      </w:r>
      <w:proofErr w:type="spellStart"/>
      <w:r w:rsidRPr="009D0A73">
        <w:rPr>
          <w:rFonts w:ascii="Times New Roman" w:hAnsi="Times New Roman" w:cs="Times New Roman"/>
        </w:rPr>
        <w:t>physico</w:t>
      </w:r>
      <w:proofErr w:type="spellEnd"/>
      <w:r w:rsidRPr="009D0A73">
        <w:rPr>
          <w:rFonts w:ascii="Times New Roman" w:hAnsi="Times New Roman" w:cs="Times New Roman"/>
        </w:rPr>
        <w:t>-chemically similar amino acids (e.g., Hydrophobic residues I, L, M, V).</w:t>
      </w:r>
    </w:p>
    <w:p w14:paraId="173695C2"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This project implements a machine learning approach using a </w:t>
      </w:r>
      <w:r w:rsidRPr="009D0A73">
        <w:rPr>
          <w:rFonts w:ascii="Times New Roman" w:hAnsi="Times New Roman" w:cs="Times New Roman"/>
          <w:b/>
          <w:bCs/>
        </w:rPr>
        <w:t>Genetic Algorithm (GA)</w:t>
      </w:r>
      <w:r w:rsidRPr="009D0A73">
        <w:rPr>
          <w:rFonts w:ascii="Times New Roman" w:hAnsi="Times New Roman" w:cs="Times New Roman"/>
        </w:rPr>
        <w:t> to evolve Regular Expressions (Regex) that classify protein sequences. The goal was to determine the minimum length regex that distinguishes a set of aligned sequences from randomized (scrambled) controls, specifically evaluating the utility of </w:t>
      </w:r>
      <w:r w:rsidRPr="009D0A73">
        <w:rPr>
          <w:rFonts w:ascii="Times New Roman" w:hAnsi="Times New Roman" w:cs="Times New Roman"/>
          <w:b/>
          <w:bCs/>
        </w:rPr>
        <w:t>biological equivalence classes</w:t>
      </w:r>
      <w:r w:rsidRPr="009D0A73">
        <w:rPr>
          <w:rFonts w:ascii="Times New Roman" w:hAnsi="Times New Roman" w:cs="Times New Roman"/>
        </w:rPr>
        <w:t> versus strict amino acid identity.</w:t>
      </w:r>
    </w:p>
    <w:p w14:paraId="241BE5C1"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2. Approach and Implementation</w:t>
      </w:r>
    </w:p>
    <w:p w14:paraId="5D49F261"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2.1 Data Generation and Preprocessing</w:t>
      </w:r>
    </w:p>
    <w:p w14:paraId="78E46833"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To rigorously test the algorithm, synthetic data was generated containing a known hidden motif: [ILMV] - A - [AG] - . - C.</w:t>
      </w:r>
    </w:p>
    <w:p w14:paraId="6D7E5B1E" w14:textId="77777777" w:rsidR="009D0A73" w:rsidRPr="009D0A73" w:rsidRDefault="009D0A73" w:rsidP="009D0A73">
      <w:pPr>
        <w:numPr>
          <w:ilvl w:val="0"/>
          <w:numId w:val="1"/>
        </w:numPr>
        <w:rPr>
          <w:rFonts w:ascii="Times New Roman" w:hAnsi="Times New Roman" w:cs="Times New Roman"/>
        </w:rPr>
      </w:pPr>
      <w:r w:rsidRPr="009D0A73">
        <w:rPr>
          <w:rFonts w:ascii="Times New Roman" w:hAnsi="Times New Roman" w:cs="Times New Roman"/>
          <w:b/>
          <w:bCs/>
        </w:rPr>
        <w:t>Positives:</w:t>
      </w:r>
      <w:r w:rsidRPr="009D0A73">
        <w:rPr>
          <w:rFonts w:ascii="Times New Roman" w:hAnsi="Times New Roman" w:cs="Times New Roman"/>
        </w:rPr>
        <w:t> Sequences containing the motif.</w:t>
      </w:r>
    </w:p>
    <w:p w14:paraId="237A9200" w14:textId="77777777" w:rsidR="009D0A73" w:rsidRPr="009D0A73" w:rsidRDefault="009D0A73" w:rsidP="009D0A73">
      <w:pPr>
        <w:numPr>
          <w:ilvl w:val="0"/>
          <w:numId w:val="1"/>
        </w:numPr>
        <w:rPr>
          <w:rFonts w:ascii="Times New Roman" w:hAnsi="Times New Roman" w:cs="Times New Roman"/>
        </w:rPr>
      </w:pPr>
      <w:r w:rsidRPr="009D0A73">
        <w:rPr>
          <w:rFonts w:ascii="Times New Roman" w:hAnsi="Times New Roman" w:cs="Times New Roman"/>
          <w:b/>
          <w:bCs/>
        </w:rPr>
        <w:t>Negatives:</w:t>
      </w:r>
      <w:r w:rsidRPr="009D0A73">
        <w:rPr>
          <w:rFonts w:ascii="Times New Roman" w:hAnsi="Times New Roman" w:cs="Times New Roman"/>
        </w:rPr>
        <w:t> Generated by </w:t>
      </w:r>
      <w:r w:rsidRPr="009D0A73">
        <w:rPr>
          <w:rFonts w:ascii="Times New Roman" w:hAnsi="Times New Roman" w:cs="Times New Roman"/>
          <w:b/>
          <w:bCs/>
        </w:rPr>
        <w:t>scrambling</w:t>
      </w:r>
      <w:r w:rsidRPr="009D0A73">
        <w:rPr>
          <w:rFonts w:ascii="Times New Roman" w:hAnsi="Times New Roman" w:cs="Times New Roman"/>
        </w:rPr>
        <w:t> the positive sequences. This shuffling preserves the exact amino acid composition (0-order Markov property) but destroys the motif pattern, ensuring the classifier detects order/context, not just residue frequency.</w:t>
      </w:r>
    </w:p>
    <w:p w14:paraId="303FC678" w14:textId="77777777" w:rsidR="009D0A73" w:rsidRPr="009D0A73" w:rsidRDefault="009D0A73" w:rsidP="009D0A73">
      <w:pPr>
        <w:numPr>
          <w:ilvl w:val="0"/>
          <w:numId w:val="1"/>
        </w:numPr>
        <w:rPr>
          <w:rFonts w:ascii="Times New Roman" w:hAnsi="Times New Roman" w:cs="Times New Roman"/>
        </w:rPr>
      </w:pPr>
      <w:r w:rsidRPr="009D0A73">
        <w:rPr>
          <w:rFonts w:ascii="Times New Roman" w:hAnsi="Times New Roman" w:cs="Times New Roman"/>
          <w:b/>
          <w:bCs/>
        </w:rPr>
        <w:t>Training/Testing:</w:t>
      </w:r>
      <w:r w:rsidRPr="009D0A73">
        <w:rPr>
          <w:rFonts w:ascii="Times New Roman" w:hAnsi="Times New Roman" w:cs="Times New Roman"/>
        </w:rPr>
        <w:t> The data was split into training and testing sets based on a user-defined fold parameter (</w:t>
      </w:r>
    </w:p>
    <w:p w14:paraId="19ADB37A" w14:textId="4B367143" w:rsidR="009D0A73" w:rsidRPr="009D0A73" w:rsidRDefault="009D0A73" w:rsidP="009D0A73">
      <w:pPr>
        <w:rPr>
          <w:rFonts w:ascii="Times New Roman" w:hAnsi="Times New Roman" w:cs="Times New Roman"/>
        </w:rPr>
      </w:pPr>
      <m:oMathPara>
        <m:oMath>
          <m:r>
            <w:rPr>
              <w:rFonts w:ascii="Cambria Math" w:hAnsi="Cambria Math" w:cs="Times New Roman"/>
            </w:rPr>
            <m:t>k</m:t>
          </m:r>
        </m:oMath>
      </m:oMathPara>
    </w:p>
    <w:p w14:paraId="37CB068B"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-fold cross-validation).</w:t>
      </w:r>
    </w:p>
    <w:p w14:paraId="02C6D752"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2.2 Optimization: Genetic Algorithm</w:t>
      </w:r>
    </w:p>
    <w:p w14:paraId="213F0995"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A Genetic Algorithm was implemented to search the vast space of possible regular expressions.</w:t>
      </w:r>
    </w:p>
    <w:p w14:paraId="0A5F53BB" w14:textId="77777777" w:rsidR="009D0A73" w:rsidRPr="009D0A73" w:rsidRDefault="009D0A73" w:rsidP="009D0A73">
      <w:pPr>
        <w:numPr>
          <w:ilvl w:val="0"/>
          <w:numId w:val="2"/>
        </w:numPr>
        <w:rPr>
          <w:rFonts w:ascii="Times New Roman" w:hAnsi="Times New Roman" w:cs="Times New Roman"/>
        </w:rPr>
      </w:pPr>
      <w:r w:rsidRPr="009D0A73">
        <w:rPr>
          <w:rFonts w:ascii="Times New Roman" w:hAnsi="Times New Roman" w:cs="Times New Roman"/>
          <w:b/>
          <w:bCs/>
        </w:rPr>
        <w:t>Representation:</w:t>
      </w:r>
      <w:r w:rsidRPr="009D0A73">
        <w:rPr>
          <w:rFonts w:ascii="Times New Roman" w:hAnsi="Times New Roman" w:cs="Times New Roman"/>
        </w:rPr>
        <w:t> Each individual consisted of a specific window (start index, length) and an abstraction map defining whether each position should be treated as an exact residue, an equivalence class, or a wildcard.</w:t>
      </w:r>
    </w:p>
    <w:p w14:paraId="061BD2B4" w14:textId="77777777" w:rsidR="009D0A73" w:rsidRPr="009D0A73" w:rsidRDefault="009D0A73" w:rsidP="009D0A73">
      <w:pPr>
        <w:numPr>
          <w:ilvl w:val="0"/>
          <w:numId w:val="2"/>
        </w:numPr>
        <w:rPr>
          <w:rFonts w:ascii="Times New Roman" w:hAnsi="Times New Roman" w:cs="Times New Roman"/>
        </w:rPr>
      </w:pPr>
      <w:r w:rsidRPr="009D0A73">
        <w:rPr>
          <w:rFonts w:ascii="Times New Roman" w:hAnsi="Times New Roman" w:cs="Times New Roman"/>
          <w:b/>
          <w:bCs/>
        </w:rPr>
        <w:t>Equivalence Classes:</w:t>
      </w:r>
      <w:r w:rsidRPr="009D0A73">
        <w:rPr>
          <w:rFonts w:ascii="Times New Roman" w:hAnsi="Times New Roman" w:cs="Times New Roman"/>
        </w:rPr>
        <w:t> The algorithm utilized a strict set of biological groupings: [ILMV], [DENQ], [HKR], [ST], [AG], [FWY], C, and P.</w:t>
      </w:r>
    </w:p>
    <w:p w14:paraId="746EE57B" w14:textId="77777777" w:rsidR="009D0A73" w:rsidRPr="009D0A73" w:rsidRDefault="009D0A73" w:rsidP="009D0A73">
      <w:pPr>
        <w:numPr>
          <w:ilvl w:val="0"/>
          <w:numId w:val="2"/>
        </w:numPr>
        <w:rPr>
          <w:rFonts w:ascii="Times New Roman" w:hAnsi="Times New Roman" w:cs="Times New Roman"/>
        </w:rPr>
      </w:pPr>
      <w:r w:rsidRPr="009D0A73">
        <w:rPr>
          <w:rFonts w:ascii="Times New Roman" w:hAnsi="Times New Roman" w:cs="Times New Roman"/>
          <w:b/>
          <w:bCs/>
        </w:rPr>
        <w:t>Fitness Function:</w:t>
      </w:r>
      <w:r w:rsidRPr="009D0A73">
        <w:rPr>
          <w:rFonts w:ascii="Times New Roman" w:hAnsi="Times New Roman" w:cs="Times New Roman"/>
        </w:rPr>
        <w:t> </w:t>
      </w:r>
    </w:p>
    <w:p w14:paraId="5D669253" w14:textId="50AA2914" w:rsidR="009D0A73" w:rsidRPr="009D0A73" w:rsidRDefault="009D0A73" w:rsidP="009D0A73">
      <w:pPr>
        <w:rPr>
          <w:rFonts w:ascii="Times New Roman" w:hAnsi="Times New Roman" w:cs="Times New Roman"/>
        </w:rPr>
      </w:pPr>
      <m:oMathPara>
        <m:oMath>
          <m:r>
            <w:rPr>
              <w:rFonts w:ascii="Cambria Math" w:hAnsi="Cambria Math" w:cs="Times New Roman"/>
            </w:rPr>
            <w:lastRenderedPageBreak/>
            <m:t>Fitness=F</m:t>
          </m:r>
          <m:sSub>
            <m:sSubPr>
              <m:ctrlPr>
                <w:rPr>
                  <w:rFonts w:ascii="Cambria Math" w:hAnsi="Cambria Math" w:cs="Times New Roman"/>
                </w:rPr>
              </m:ctrlPr>
            </m:sSubPr>
            <m:e>
              <m:r>
                <w:rPr>
                  <w:rFonts w:ascii="Cambria Math" w:hAnsi="Cambria Math" w:cs="Times New Roman"/>
                </w:rPr>
                <m:t>1</m:t>
              </m:r>
            </m:e>
            <m:sub>
              <m:r>
                <w:rPr>
                  <w:rFonts w:ascii="Cambria Math" w:hAnsi="Cambria Math" w:cs="Times New Roman"/>
                </w:rPr>
                <m:t>score</m:t>
              </m:r>
            </m:sub>
          </m:sSub>
          <m:r>
            <w:rPr>
              <w:rFonts w:ascii="Cambria Math" w:hAnsi="Cambria Math" w:cs="Times New Roman"/>
            </w:rPr>
            <m:t>-(Length×0.001)</m:t>
          </m:r>
        </m:oMath>
      </m:oMathPara>
    </w:p>
    <w:p w14:paraId="430850B2"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 This drives the optimization to maximize accuracy (F1) while exerting selection pressure for the </w:t>
      </w:r>
      <w:r w:rsidRPr="009D0A73">
        <w:rPr>
          <w:rFonts w:ascii="Times New Roman" w:hAnsi="Times New Roman" w:cs="Times New Roman"/>
          <w:b/>
          <w:bCs/>
        </w:rPr>
        <w:t>minimum length</w:t>
      </w:r>
      <w:r w:rsidRPr="009D0A73">
        <w:rPr>
          <w:rFonts w:ascii="Times New Roman" w:hAnsi="Times New Roman" w:cs="Times New Roman"/>
        </w:rPr>
        <w:t> regex required to do so.</w:t>
      </w:r>
    </w:p>
    <w:p w14:paraId="310C8EA3"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3. Results</w:t>
      </w:r>
    </w:p>
    <w:p w14:paraId="49C8D21D"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3.1 Experiment 1: Effect of Training Set Size</w:t>
      </w:r>
    </w:p>
    <w:p w14:paraId="383186A4"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We evaluated the stability of the learned regex by varying the fraction of the alignment used for training from 20% to 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333"/>
        <w:gridCol w:w="1030"/>
        <w:gridCol w:w="1286"/>
        <w:gridCol w:w="1825"/>
      </w:tblGrid>
      <w:tr w:rsidR="009D0A73" w:rsidRPr="009D0A73" w14:paraId="59B102C8"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F070ED4"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Fraction</w:t>
            </w:r>
          </w:p>
        </w:tc>
        <w:tc>
          <w:tcPr>
            <w:tcW w:w="0" w:type="auto"/>
            <w:tcBorders>
              <w:top w:val="nil"/>
              <w:right w:val="nil"/>
            </w:tcBorders>
            <w:tcMar>
              <w:top w:w="90" w:type="dxa"/>
              <w:left w:w="180" w:type="dxa"/>
              <w:bottom w:w="90" w:type="dxa"/>
              <w:right w:w="180" w:type="dxa"/>
            </w:tcMar>
            <w:vAlign w:val="center"/>
            <w:hideMark/>
          </w:tcPr>
          <w:p w14:paraId="2CD0BF45"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Precision</w:t>
            </w:r>
          </w:p>
        </w:tc>
        <w:tc>
          <w:tcPr>
            <w:tcW w:w="0" w:type="auto"/>
            <w:tcBorders>
              <w:top w:val="nil"/>
              <w:right w:val="nil"/>
            </w:tcBorders>
            <w:tcMar>
              <w:top w:w="90" w:type="dxa"/>
              <w:left w:w="180" w:type="dxa"/>
              <w:bottom w:w="90" w:type="dxa"/>
              <w:right w:w="180" w:type="dxa"/>
            </w:tcMar>
            <w:vAlign w:val="center"/>
            <w:hideMark/>
          </w:tcPr>
          <w:p w14:paraId="5F469541"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Recall</w:t>
            </w:r>
          </w:p>
        </w:tc>
        <w:tc>
          <w:tcPr>
            <w:tcW w:w="0" w:type="auto"/>
            <w:tcBorders>
              <w:top w:val="nil"/>
              <w:right w:val="nil"/>
            </w:tcBorders>
            <w:tcMar>
              <w:top w:w="90" w:type="dxa"/>
              <w:left w:w="180" w:type="dxa"/>
              <w:bottom w:w="90" w:type="dxa"/>
              <w:right w:w="180" w:type="dxa"/>
            </w:tcMar>
            <w:vAlign w:val="center"/>
            <w:hideMark/>
          </w:tcPr>
          <w:p w14:paraId="31D8BAA0"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F1 Score</w:t>
            </w:r>
          </w:p>
        </w:tc>
        <w:tc>
          <w:tcPr>
            <w:tcW w:w="0" w:type="auto"/>
            <w:tcBorders>
              <w:top w:val="nil"/>
              <w:right w:val="nil"/>
            </w:tcBorders>
            <w:tcMar>
              <w:top w:w="90" w:type="dxa"/>
              <w:left w:w="180" w:type="dxa"/>
              <w:bottom w:w="90" w:type="dxa"/>
              <w:right w:w="180" w:type="dxa"/>
            </w:tcMar>
            <w:vAlign w:val="center"/>
            <w:hideMark/>
          </w:tcPr>
          <w:p w14:paraId="627C680F"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Regex Length</w:t>
            </w:r>
          </w:p>
        </w:tc>
      </w:tr>
      <w:tr w:rsidR="009D0A73" w:rsidRPr="009D0A73" w14:paraId="00191769" w14:textId="77777777">
        <w:trPr>
          <w:tblCellSpacing w:w="15" w:type="dxa"/>
        </w:trPr>
        <w:tc>
          <w:tcPr>
            <w:tcW w:w="0" w:type="auto"/>
            <w:tcBorders>
              <w:right w:val="nil"/>
            </w:tcBorders>
            <w:tcMar>
              <w:top w:w="90" w:type="dxa"/>
              <w:left w:w="180" w:type="dxa"/>
              <w:bottom w:w="90" w:type="dxa"/>
              <w:right w:w="180" w:type="dxa"/>
            </w:tcMar>
            <w:vAlign w:val="center"/>
            <w:hideMark/>
          </w:tcPr>
          <w:p w14:paraId="76C48BBE" w14:textId="77777777" w:rsidR="009D0A73" w:rsidRPr="009D0A73" w:rsidRDefault="009D0A73" w:rsidP="009D0A73">
            <w:pPr>
              <w:rPr>
                <w:rFonts w:ascii="Times New Roman" w:hAnsi="Times New Roman" w:cs="Times New Roman"/>
              </w:rPr>
            </w:pPr>
            <w:r w:rsidRPr="009D0A73">
              <w:rPr>
                <w:rFonts w:ascii="Times New Roman" w:hAnsi="Times New Roman" w:cs="Times New Roman"/>
                <w:b/>
                <w:bCs/>
              </w:rPr>
              <w:t>0.2</w:t>
            </w:r>
          </w:p>
        </w:tc>
        <w:tc>
          <w:tcPr>
            <w:tcW w:w="0" w:type="auto"/>
            <w:tcBorders>
              <w:right w:val="nil"/>
            </w:tcBorders>
            <w:tcMar>
              <w:top w:w="90" w:type="dxa"/>
              <w:left w:w="180" w:type="dxa"/>
              <w:bottom w:w="90" w:type="dxa"/>
              <w:right w:w="180" w:type="dxa"/>
            </w:tcMar>
            <w:vAlign w:val="center"/>
            <w:hideMark/>
          </w:tcPr>
          <w:p w14:paraId="6D31F719"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0.857</w:t>
            </w:r>
          </w:p>
        </w:tc>
        <w:tc>
          <w:tcPr>
            <w:tcW w:w="0" w:type="auto"/>
            <w:tcBorders>
              <w:right w:val="nil"/>
            </w:tcBorders>
            <w:tcMar>
              <w:top w:w="90" w:type="dxa"/>
              <w:left w:w="180" w:type="dxa"/>
              <w:bottom w:w="90" w:type="dxa"/>
              <w:right w:w="180" w:type="dxa"/>
            </w:tcMar>
            <w:vAlign w:val="center"/>
            <w:hideMark/>
          </w:tcPr>
          <w:p w14:paraId="30E17CAF"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0.958</w:t>
            </w:r>
          </w:p>
        </w:tc>
        <w:tc>
          <w:tcPr>
            <w:tcW w:w="0" w:type="auto"/>
            <w:tcBorders>
              <w:right w:val="nil"/>
            </w:tcBorders>
            <w:tcMar>
              <w:top w:w="90" w:type="dxa"/>
              <w:left w:w="180" w:type="dxa"/>
              <w:bottom w:w="90" w:type="dxa"/>
              <w:right w:w="180" w:type="dxa"/>
            </w:tcMar>
            <w:vAlign w:val="center"/>
            <w:hideMark/>
          </w:tcPr>
          <w:p w14:paraId="55791020"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0.903</w:t>
            </w:r>
          </w:p>
        </w:tc>
        <w:tc>
          <w:tcPr>
            <w:tcW w:w="0" w:type="auto"/>
            <w:tcBorders>
              <w:right w:val="nil"/>
            </w:tcBorders>
            <w:tcMar>
              <w:top w:w="90" w:type="dxa"/>
              <w:left w:w="180" w:type="dxa"/>
              <w:bottom w:w="90" w:type="dxa"/>
              <w:right w:w="180" w:type="dxa"/>
            </w:tcMar>
            <w:vAlign w:val="center"/>
            <w:hideMark/>
          </w:tcPr>
          <w:p w14:paraId="206C9190"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10.9</w:t>
            </w:r>
          </w:p>
        </w:tc>
      </w:tr>
      <w:tr w:rsidR="009D0A73" w:rsidRPr="009D0A73" w14:paraId="11CCDC3D" w14:textId="77777777">
        <w:trPr>
          <w:tblCellSpacing w:w="15" w:type="dxa"/>
        </w:trPr>
        <w:tc>
          <w:tcPr>
            <w:tcW w:w="0" w:type="auto"/>
            <w:tcBorders>
              <w:right w:val="nil"/>
            </w:tcBorders>
            <w:tcMar>
              <w:top w:w="90" w:type="dxa"/>
              <w:left w:w="180" w:type="dxa"/>
              <w:bottom w:w="90" w:type="dxa"/>
              <w:right w:w="180" w:type="dxa"/>
            </w:tcMar>
            <w:vAlign w:val="center"/>
            <w:hideMark/>
          </w:tcPr>
          <w:p w14:paraId="5DA3BF4E" w14:textId="77777777" w:rsidR="009D0A73" w:rsidRPr="009D0A73" w:rsidRDefault="009D0A73" w:rsidP="009D0A73">
            <w:pPr>
              <w:rPr>
                <w:rFonts w:ascii="Times New Roman" w:hAnsi="Times New Roman" w:cs="Times New Roman"/>
              </w:rPr>
            </w:pPr>
            <w:r w:rsidRPr="009D0A73">
              <w:rPr>
                <w:rFonts w:ascii="Times New Roman" w:hAnsi="Times New Roman" w:cs="Times New Roman"/>
                <w:b/>
                <w:bCs/>
              </w:rPr>
              <w:t>0.4</w:t>
            </w:r>
          </w:p>
        </w:tc>
        <w:tc>
          <w:tcPr>
            <w:tcW w:w="0" w:type="auto"/>
            <w:tcBorders>
              <w:right w:val="nil"/>
            </w:tcBorders>
            <w:tcMar>
              <w:top w:w="90" w:type="dxa"/>
              <w:left w:w="180" w:type="dxa"/>
              <w:bottom w:w="90" w:type="dxa"/>
              <w:right w:w="180" w:type="dxa"/>
            </w:tcMar>
            <w:vAlign w:val="center"/>
            <w:hideMark/>
          </w:tcPr>
          <w:p w14:paraId="6DEEFAF6"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0.899</w:t>
            </w:r>
          </w:p>
        </w:tc>
        <w:tc>
          <w:tcPr>
            <w:tcW w:w="0" w:type="auto"/>
            <w:tcBorders>
              <w:right w:val="nil"/>
            </w:tcBorders>
            <w:tcMar>
              <w:top w:w="90" w:type="dxa"/>
              <w:left w:w="180" w:type="dxa"/>
              <w:bottom w:w="90" w:type="dxa"/>
              <w:right w:w="180" w:type="dxa"/>
            </w:tcMar>
            <w:vAlign w:val="center"/>
            <w:hideMark/>
          </w:tcPr>
          <w:p w14:paraId="041E9EDD" w14:textId="77777777" w:rsidR="009D0A73" w:rsidRPr="009D0A73" w:rsidRDefault="009D0A73" w:rsidP="009D0A73">
            <w:pPr>
              <w:rPr>
                <w:rFonts w:ascii="Times New Roman" w:hAnsi="Times New Roman" w:cs="Times New Roman"/>
              </w:rPr>
            </w:pPr>
            <w:r w:rsidRPr="009D0A73">
              <w:rPr>
                <w:rFonts w:ascii="Times New Roman" w:hAnsi="Times New Roman" w:cs="Times New Roman"/>
                <w:b/>
                <w:bCs/>
              </w:rPr>
              <w:t>1.000</w:t>
            </w:r>
          </w:p>
        </w:tc>
        <w:tc>
          <w:tcPr>
            <w:tcW w:w="0" w:type="auto"/>
            <w:tcBorders>
              <w:right w:val="nil"/>
            </w:tcBorders>
            <w:tcMar>
              <w:top w:w="90" w:type="dxa"/>
              <w:left w:w="180" w:type="dxa"/>
              <w:bottom w:w="90" w:type="dxa"/>
              <w:right w:w="180" w:type="dxa"/>
            </w:tcMar>
            <w:vAlign w:val="center"/>
            <w:hideMark/>
          </w:tcPr>
          <w:p w14:paraId="25C1428D"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0.945</w:t>
            </w:r>
          </w:p>
        </w:tc>
        <w:tc>
          <w:tcPr>
            <w:tcW w:w="0" w:type="auto"/>
            <w:tcBorders>
              <w:right w:val="nil"/>
            </w:tcBorders>
            <w:tcMar>
              <w:top w:w="90" w:type="dxa"/>
              <w:left w:w="180" w:type="dxa"/>
              <w:bottom w:w="90" w:type="dxa"/>
              <w:right w:w="180" w:type="dxa"/>
            </w:tcMar>
            <w:vAlign w:val="center"/>
            <w:hideMark/>
          </w:tcPr>
          <w:p w14:paraId="0222F2E5"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10.3</w:t>
            </w:r>
          </w:p>
        </w:tc>
      </w:tr>
      <w:tr w:rsidR="009D0A73" w:rsidRPr="009D0A73" w14:paraId="612287A2" w14:textId="77777777">
        <w:trPr>
          <w:tblCellSpacing w:w="15" w:type="dxa"/>
        </w:trPr>
        <w:tc>
          <w:tcPr>
            <w:tcW w:w="0" w:type="auto"/>
            <w:tcBorders>
              <w:right w:val="nil"/>
            </w:tcBorders>
            <w:tcMar>
              <w:top w:w="90" w:type="dxa"/>
              <w:left w:w="180" w:type="dxa"/>
              <w:bottom w:w="90" w:type="dxa"/>
              <w:right w:w="180" w:type="dxa"/>
            </w:tcMar>
            <w:vAlign w:val="center"/>
            <w:hideMark/>
          </w:tcPr>
          <w:p w14:paraId="7B29C79B" w14:textId="77777777" w:rsidR="009D0A73" w:rsidRPr="009D0A73" w:rsidRDefault="009D0A73" w:rsidP="009D0A73">
            <w:pPr>
              <w:rPr>
                <w:rFonts w:ascii="Times New Roman" w:hAnsi="Times New Roman" w:cs="Times New Roman"/>
              </w:rPr>
            </w:pPr>
            <w:r w:rsidRPr="009D0A73">
              <w:rPr>
                <w:rFonts w:ascii="Times New Roman" w:hAnsi="Times New Roman" w:cs="Times New Roman"/>
                <w:b/>
                <w:bCs/>
              </w:rPr>
              <w:t>0.6</w:t>
            </w:r>
          </w:p>
        </w:tc>
        <w:tc>
          <w:tcPr>
            <w:tcW w:w="0" w:type="auto"/>
            <w:tcBorders>
              <w:right w:val="nil"/>
            </w:tcBorders>
            <w:tcMar>
              <w:top w:w="90" w:type="dxa"/>
              <w:left w:w="180" w:type="dxa"/>
              <w:bottom w:w="90" w:type="dxa"/>
              <w:right w:w="180" w:type="dxa"/>
            </w:tcMar>
            <w:vAlign w:val="center"/>
            <w:hideMark/>
          </w:tcPr>
          <w:p w14:paraId="0CDB860A"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0.915</w:t>
            </w:r>
          </w:p>
        </w:tc>
        <w:tc>
          <w:tcPr>
            <w:tcW w:w="0" w:type="auto"/>
            <w:tcBorders>
              <w:right w:val="nil"/>
            </w:tcBorders>
            <w:tcMar>
              <w:top w:w="90" w:type="dxa"/>
              <w:left w:w="180" w:type="dxa"/>
              <w:bottom w:w="90" w:type="dxa"/>
              <w:right w:w="180" w:type="dxa"/>
            </w:tcMar>
            <w:vAlign w:val="center"/>
            <w:hideMark/>
          </w:tcPr>
          <w:p w14:paraId="5CB1E381" w14:textId="77777777" w:rsidR="009D0A73" w:rsidRPr="009D0A73" w:rsidRDefault="009D0A73" w:rsidP="009D0A73">
            <w:pPr>
              <w:rPr>
                <w:rFonts w:ascii="Times New Roman" w:hAnsi="Times New Roman" w:cs="Times New Roman"/>
              </w:rPr>
            </w:pPr>
            <w:r w:rsidRPr="009D0A73">
              <w:rPr>
                <w:rFonts w:ascii="Times New Roman" w:hAnsi="Times New Roman" w:cs="Times New Roman"/>
                <w:b/>
                <w:bCs/>
              </w:rPr>
              <w:t>1.000</w:t>
            </w:r>
          </w:p>
        </w:tc>
        <w:tc>
          <w:tcPr>
            <w:tcW w:w="0" w:type="auto"/>
            <w:tcBorders>
              <w:right w:val="nil"/>
            </w:tcBorders>
            <w:tcMar>
              <w:top w:w="90" w:type="dxa"/>
              <w:left w:w="180" w:type="dxa"/>
              <w:bottom w:w="90" w:type="dxa"/>
              <w:right w:w="180" w:type="dxa"/>
            </w:tcMar>
            <w:vAlign w:val="center"/>
            <w:hideMark/>
          </w:tcPr>
          <w:p w14:paraId="2F71BCB5"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0.954</w:t>
            </w:r>
          </w:p>
        </w:tc>
        <w:tc>
          <w:tcPr>
            <w:tcW w:w="0" w:type="auto"/>
            <w:tcBorders>
              <w:right w:val="nil"/>
            </w:tcBorders>
            <w:tcMar>
              <w:top w:w="90" w:type="dxa"/>
              <w:left w:w="180" w:type="dxa"/>
              <w:bottom w:w="90" w:type="dxa"/>
              <w:right w:w="180" w:type="dxa"/>
            </w:tcMar>
            <w:vAlign w:val="center"/>
            <w:hideMark/>
          </w:tcPr>
          <w:p w14:paraId="3961345C"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10.9</w:t>
            </w:r>
          </w:p>
        </w:tc>
      </w:tr>
      <w:tr w:rsidR="009D0A73" w:rsidRPr="009D0A73" w14:paraId="3595D874" w14:textId="77777777">
        <w:trPr>
          <w:tblCellSpacing w:w="15" w:type="dxa"/>
        </w:trPr>
        <w:tc>
          <w:tcPr>
            <w:tcW w:w="0" w:type="auto"/>
            <w:tcBorders>
              <w:right w:val="nil"/>
            </w:tcBorders>
            <w:tcMar>
              <w:top w:w="90" w:type="dxa"/>
              <w:left w:w="180" w:type="dxa"/>
              <w:bottom w:w="90" w:type="dxa"/>
              <w:right w:w="180" w:type="dxa"/>
            </w:tcMar>
            <w:vAlign w:val="center"/>
            <w:hideMark/>
          </w:tcPr>
          <w:p w14:paraId="04BA465E" w14:textId="77777777" w:rsidR="009D0A73" w:rsidRPr="009D0A73" w:rsidRDefault="009D0A73" w:rsidP="009D0A73">
            <w:pPr>
              <w:rPr>
                <w:rFonts w:ascii="Times New Roman" w:hAnsi="Times New Roman" w:cs="Times New Roman"/>
              </w:rPr>
            </w:pPr>
            <w:r w:rsidRPr="009D0A73">
              <w:rPr>
                <w:rFonts w:ascii="Times New Roman" w:hAnsi="Times New Roman" w:cs="Times New Roman"/>
                <w:b/>
                <w:bCs/>
              </w:rPr>
              <w:t>0.8</w:t>
            </w:r>
          </w:p>
        </w:tc>
        <w:tc>
          <w:tcPr>
            <w:tcW w:w="0" w:type="auto"/>
            <w:tcBorders>
              <w:right w:val="nil"/>
            </w:tcBorders>
            <w:tcMar>
              <w:top w:w="90" w:type="dxa"/>
              <w:left w:w="180" w:type="dxa"/>
              <w:bottom w:w="90" w:type="dxa"/>
              <w:right w:w="180" w:type="dxa"/>
            </w:tcMar>
            <w:vAlign w:val="center"/>
            <w:hideMark/>
          </w:tcPr>
          <w:p w14:paraId="792A48EE"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0.873</w:t>
            </w:r>
          </w:p>
        </w:tc>
        <w:tc>
          <w:tcPr>
            <w:tcW w:w="0" w:type="auto"/>
            <w:tcBorders>
              <w:right w:val="nil"/>
            </w:tcBorders>
            <w:tcMar>
              <w:top w:w="90" w:type="dxa"/>
              <w:left w:w="180" w:type="dxa"/>
              <w:bottom w:w="90" w:type="dxa"/>
              <w:right w:w="180" w:type="dxa"/>
            </w:tcMar>
            <w:vAlign w:val="center"/>
            <w:hideMark/>
          </w:tcPr>
          <w:p w14:paraId="663CC8EC" w14:textId="77777777" w:rsidR="009D0A73" w:rsidRPr="009D0A73" w:rsidRDefault="009D0A73" w:rsidP="009D0A73">
            <w:pPr>
              <w:rPr>
                <w:rFonts w:ascii="Times New Roman" w:hAnsi="Times New Roman" w:cs="Times New Roman"/>
              </w:rPr>
            </w:pPr>
            <w:r w:rsidRPr="009D0A73">
              <w:rPr>
                <w:rFonts w:ascii="Times New Roman" w:hAnsi="Times New Roman" w:cs="Times New Roman"/>
                <w:b/>
                <w:bCs/>
              </w:rPr>
              <w:t>1.000</w:t>
            </w:r>
          </w:p>
        </w:tc>
        <w:tc>
          <w:tcPr>
            <w:tcW w:w="0" w:type="auto"/>
            <w:tcBorders>
              <w:right w:val="nil"/>
            </w:tcBorders>
            <w:tcMar>
              <w:top w:w="90" w:type="dxa"/>
              <w:left w:w="180" w:type="dxa"/>
              <w:bottom w:w="90" w:type="dxa"/>
              <w:right w:w="180" w:type="dxa"/>
            </w:tcMar>
            <w:vAlign w:val="center"/>
            <w:hideMark/>
          </w:tcPr>
          <w:p w14:paraId="44F4E651"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0.925</w:t>
            </w:r>
          </w:p>
        </w:tc>
        <w:tc>
          <w:tcPr>
            <w:tcW w:w="0" w:type="auto"/>
            <w:tcBorders>
              <w:right w:val="nil"/>
            </w:tcBorders>
            <w:tcMar>
              <w:top w:w="90" w:type="dxa"/>
              <w:left w:w="180" w:type="dxa"/>
              <w:bottom w:w="90" w:type="dxa"/>
              <w:right w:w="180" w:type="dxa"/>
            </w:tcMar>
            <w:vAlign w:val="center"/>
            <w:hideMark/>
          </w:tcPr>
          <w:p w14:paraId="02349070"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9.8</w:t>
            </w:r>
          </w:p>
        </w:tc>
      </w:tr>
    </w:tbl>
    <w:p w14:paraId="509DA3B9" w14:textId="77777777" w:rsidR="009D0A73" w:rsidRPr="009D0A73" w:rsidRDefault="009D0A73" w:rsidP="009D0A73">
      <w:pPr>
        <w:numPr>
          <w:ilvl w:val="0"/>
          <w:numId w:val="3"/>
        </w:numPr>
        <w:rPr>
          <w:rFonts w:ascii="Times New Roman" w:hAnsi="Times New Roman" w:cs="Times New Roman"/>
        </w:rPr>
      </w:pPr>
      <w:r w:rsidRPr="009D0A73">
        <w:rPr>
          <w:rFonts w:ascii="Times New Roman" w:hAnsi="Times New Roman" w:cs="Times New Roman"/>
          <w:b/>
          <w:bCs/>
        </w:rPr>
        <w:t>Observation:</w:t>
      </w:r>
      <w:r w:rsidRPr="009D0A73">
        <w:rPr>
          <w:rFonts w:ascii="Times New Roman" w:hAnsi="Times New Roman" w:cs="Times New Roman"/>
        </w:rPr>
        <w:t> The algorithm performs surprisingly well even with small datasets (F1 &gt; 0.90 at 0.2 fraction).</w:t>
      </w:r>
    </w:p>
    <w:p w14:paraId="4A9EC8EC" w14:textId="77777777" w:rsidR="009D0A73" w:rsidRPr="009D0A73" w:rsidRDefault="009D0A73" w:rsidP="009D0A73">
      <w:pPr>
        <w:numPr>
          <w:ilvl w:val="0"/>
          <w:numId w:val="3"/>
        </w:numPr>
        <w:rPr>
          <w:rFonts w:ascii="Times New Roman" w:hAnsi="Times New Roman" w:cs="Times New Roman"/>
        </w:rPr>
      </w:pPr>
      <w:r w:rsidRPr="009D0A73">
        <w:rPr>
          <w:rFonts w:ascii="Times New Roman" w:hAnsi="Times New Roman" w:cs="Times New Roman"/>
          <w:b/>
          <w:bCs/>
        </w:rPr>
        <w:t>Recall:</w:t>
      </w:r>
      <w:r w:rsidRPr="009D0A73">
        <w:rPr>
          <w:rFonts w:ascii="Times New Roman" w:hAnsi="Times New Roman" w:cs="Times New Roman"/>
        </w:rPr>
        <w:t> The Recall was perfect (1.0) for fractions </w:t>
      </w:r>
    </w:p>
    <w:p w14:paraId="488EE1F9" w14:textId="57F05795" w:rsidR="009D0A73" w:rsidRPr="009D0A73" w:rsidRDefault="009D0A73" w:rsidP="009D0A73">
      <w:pPr>
        <w:rPr>
          <w:rFonts w:ascii="Times New Roman" w:hAnsi="Times New Roman" w:cs="Times New Roman"/>
        </w:rPr>
      </w:pPr>
      <m:oMathPara>
        <m:oMath>
          <m:r>
            <w:rPr>
              <w:rFonts w:ascii="Cambria Math" w:hAnsi="Cambria Math" w:cs="Times New Roman"/>
            </w:rPr>
            <m:t>≥0.4</m:t>
          </m:r>
        </m:oMath>
      </m:oMathPara>
    </w:p>
    <w:p w14:paraId="2C7FD7F0"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 indicating the motif was general enough to capture all true positives.</w:t>
      </w:r>
    </w:p>
    <w:p w14:paraId="3F8BDACB" w14:textId="77777777" w:rsidR="009D0A73" w:rsidRPr="009D0A73" w:rsidRDefault="009D0A73" w:rsidP="009D0A73">
      <w:pPr>
        <w:numPr>
          <w:ilvl w:val="0"/>
          <w:numId w:val="3"/>
        </w:numPr>
        <w:rPr>
          <w:rFonts w:ascii="Times New Roman" w:hAnsi="Times New Roman" w:cs="Times New Roman"/>
        </w:rPr>
      </w:pPr>
      <w:r w:rsidRPr="009D0A73">
        <w:rPr>
          <w:rFonts w:ascii="Times New Roman" w:hAnsi="Times New Roman" w:cs="Times New Roman"/>
          <w:b/>
          <w:bCs/>
        </w:rPr>
        <w:t>Length:</w:t>
      </w:r>
      <w:r w:rsidRPr="009D0A73">
        <w:rPr>
          <w:rFonts w:ascii="Times New Roman" w:hAnsi="Times New Roman" w:cs="Times New Roman"/>
        </w:rPr>
        <w:t> The length stabilized around 10 characters (representing the regex string length, not just motif positions), suggesting the GA successfully converged on the true motif structure without unnecessary padding.</w:t>
      </w:r>
    </w:p>
    <w:p w14:paraId="735577F5"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3.2 Experiment 2: Equivalence Classes vs. Identity</w:t>
      </w:r>
    </w:p>
    <w:p w14:paraId="30E7E685"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We compared the performance of using Biological Equivalence Classes versus strict Amino Acid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1333"/>
        <w:gridCol w:w="1030"/>
        <w:gridCol w:w="1286"/>
        <w:gridCol w:w="1825"/>
      </w:tblGrid>
      <w:tr w:rsidR="009D0A73" w:rsidRPr="009D0A73" w14:paraId="408EEA3C"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4B83412D"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Method</w:t>
            </w:r>
          </w:p>
        </w:tc>
        <w:tc>
          <w:tcPr>
            <w:tcW w:w="0" w:type="auto"/>
            <w:tcBorders>
              <w:top w:val="nil"/>
              <w:right w:val="nil"/>
            </w:tcBorders>
            <w:tcMar>
              <w:top w:w="90" w:type="dxa"/>
              <w:left w:w="180" w:type="dxa"/>
              <w:bottom w:w="90" w:type="dxa"/>
              <w:right w:w="180" w:type="dxa"/>
            </w:tcMar>
            <w:vAlign w:val="center"/>
            <w:hideMark/>
          </w:tcPr>
          <w:p w14:paraId="0568326B"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Precision</w:t>
            </w:r>
          </w:p>
        </w:tc>
        <w:tc>
          <w:tcPr>
            <w:tcW w:w="0" w:type="auto"/>
            <w:tcBorders>
              <w:top w:val="nil"/>
              <w:right w:val="nil"/>
            </w:tcBorders>
            <w:tcMar>
              <w:top w:w="90" w:type="dxa"/>
              <w:left w:w="180" w:type="dxa"/>
              <w:bottom w:w="90" w:type="dxa"/>
              <w:right w:w="180" w:type="dxa"/>
            </w:tcMar>
            <w:vAlign w:val="center"/>
            <w:hideMark/>
          </w:tcPr>
          <w:p w14:paraId="0962E8E6"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Recall</w:t>
            </w:r>
          </w:p>
        </w:tc>
        <w:tc>
          <w:tcPr>
            <w:tcW w:w="0" w:type="auto"/>
            <w:tcBorders>
              <w:top w:val="nil"/>
              <w:right w:val="nil"/>
            </w:tcBorders>
            <w:tcMar>
              <w:top w:w="90" w:type="dxa"/>
              <w:left w:w="180" w:type="dxa"/>
              <w:bottom w:w="90" w:type="dxa"/>
              <w:right w:w="180" w:type="dxa"/>
            </w:tcMar>
            <w:vAlign w:val="center"/>
            <w:hideMark/>
          </w:tcPr>
          <w:p w14:paraId="328D719C"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F1 Score</w:t>
            </w:r>
          </w:p>
        </w:tc>
        <w:tc>
          <w:tcPr>
            <w:tcW w:w="0" w:type="auto"/>
            <w:tcBorders>
              <w:top w:val="nil"/>
              <w:right w:val="nil"/>
            </w:tcBorders>
            <w:tcMar>
              <w:top w:w="90" w:type="dxa"/>
              <w:left w:w="180" w:type="dxa"/>
              <w:bottom w:w="90" w:type="dxa"/>
              <w:right w:w="180" w:type="dxa"/>
            </w:tcMar>
            <w:vAlign w:val="center"/>
            <w:hideMark/>
          </w:tcPr>
          <w:p w14:paraId="774C2E08"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Regex Length</w:t>
            </w:r>
          </w:p>
        </w:tc>
      </w:tr>
      <w:tr w:rsidR="009D0A73" w:rsidRPr="009D0A73" w14:paraId="3804BE00" w14:textId="77777777">
        <w:trPr>
          <w:tblCellSpacing w:w="15" w:type="dxa"/>
        </w:trPr>
        <w:tc>
          <w:tcPr>
            <w:tcW w:w="0" w:type="auto"/>
            <w:tcBorders>
              <w:right w:val="nil"/>
            </w:tcBorders>
            <w:tcMar>
              <w:top w:w="90" w:type="dxa"/>
              <w:left w:w="180" w:type="dxa"/>
              <w:bottom w:w="90" w:type="dxa"/>
              <w:right w:w="180" w:type="dxa"/>
            </w:tcMar>
            <w:vAlign w:val="center"/>
            <w:hideMark/>
          </w:tcPr>
          <w:p w14:paraId="45BCC70E" w14:textId="77777777" w:rsidR="009D0A73" w:rsidRPr="009D0A73" w:rsidRDefault="009D0A73" w:rsidP="009D0A73">
            <w:pPr>
              <w:rPr>
                <w:rFonts w:ascii="Times New Roman" w:hAnsi="Times New Roman" w:cs="Times New Roman"/>
              </w:rPr>
            </w:pPr>
            <w:r w:rsidRPr="009D0A73">
              <w:rPr>
                <w:rFonts w:ascii="Times New Roman" w:hAnsi="Times New Roman" w:cs="Times New Roman"/>
                <w:b/>
                <w:bCs/>
              </w:rPr>
              <w:t>Bio Classes</w:t>
            </w:r>
          </w:p>
        </w:tc>
        <w:tc>
          <w:tcPr>
            <w:tcW w:w="0" w:type="auto"/>
            <w:tcBorders>
              <w:right w:val="nil"/>
            </w:tcBorders>
            <w:tcMar>
              <w:top w:w="90" w:type="dxa"/>
              <w:left w:w="180" w:type="dxa"/>
              <w:bottom w:w="90" w:type="dxa"/>
              <w:right w:w="180" w:type="dxa"/>
            </w:tcMar>
            <w:vAlign w:val="center"/>
            <w:hideMark/>
          </w:tcPr>
          <w:p w14:paraId="762D33F5" w14:textId="77777777" w:rsidR="009D0A73" w:rsidRPr="009D0A73" w:rsidRDefault="009D0A73" w:rsidP="009D0A73">
            <w:pPr>
              <w:rPr>
                <w:rFonts w:ascii="Times New Roman" w:hAnsi="Times New Roman" w:cs="Times New Roman"/>
              </w:rPr>
            </w:pPr>
            <w:r w:rsidRPr="009D0A73">
              <w:rPr>
                <w:rFonts w:ascii="Times New Roman" w:hAnsi="Times New Roman" w:cs="Times New Roman"/>
                <w:b/>
                <w:bCs/>
              </w:rPr>
              <w:t>0.920</w:t>
            </w:r>
          </w:p>
        </w:tc>
        <w:tc>
          <w:tcPr>
            <w:tcW w:w="0" w:type="auto"/>
            <w:tcBorders>
              <w:right w:val="nil"/>
            </w:tcBorders>
            <w:tcMar>
              <w:top w:w="90" w:type="dxa"/>
              <w:left w:w="180" w:type="dxa"/>
              <w:bottom w:w="90" w:type="dxa"/>
              <w:right w:w="180" w:type="dxa"/>
            </w:tcMar>
            <w:vAlign w:val="center"/>
            <w:hideMark/>
          </w:tcPr>
          <w:p w14:paraId="3F2F2FF8" w14:textId="77777777" w:rsidR="009D0A73" w:rsidRPr="009D0A73" w:rsidRDefault="009D0A73" w:rsidP="009D0A73">
            <w:pPr>
              <w:rPr>
                <w:rFonts w:ascii="Times New Roman" w:hAnsi="Times New Roman" w:cs="Times New Roman"/>
              </w:rPr>
            </w:pPr>
            <w:r w:rsidRPr="009D0A73">
              <w:rPr>
                <w:rFonts w:ascii="Times New Roman" w:hAnsi="Times New Roman" w:cs="Times New Roman"/>
                <w:b/>
                <w:bCs/>
              </w:rPr>
              <w:t>1.000</w:t>
            </w:r>
          </w:p>
        </w:tc>
        <w:tc>
          <w:tcPr>
            <w:tcW w:w="0" w:type="auto"/>
            <w:tcBorders>
              <w:right w:val="nil"/>
            </w:tcBorders>
            <w:tcMar>
              <w:top w:w="90" w:type="dxa"/>
              <w:left w:w="180" w:type="dxa"/>
              <w:bottom w:w="90" w:type="dxa"/>
              <w:right w:w="180" w:type="dxa"/>
            </w:tcMar>
            <w:vAlign w:val="center"/>
            <w:hideMark/>
          </w:tcPr>
          <w:p w14:paraId="10502193" w14:textId="77777777" w:rsidR="009D0A73" w:rsidRPr="009D0A73" w:rsidRDefault="009D0A73" w:rsidP="009D0A73">
            <w:pPr>
              <w:rPr>
                <w:rFonts w:ascii="Times New Roman" w:hAnsi="Times New Roman" w:cs="Times New Roman"/>
              </w:rPr>
            </w:pPr>
            <w:r w:rsidRPr="009D0A73">
              <w:rPr>
                <w:rFonts w:ascii="Times New Roman" w:hAnsi="Times New Roman" w:cs="Times New Roman"/>
                <w:b/>
                <w:bCs/>
              </w:rPr>
              <w:t>0.957</w:t>
            </w:r>
          </w:p>
        </w:tc>
        <w:tc>
          <w:tcPr>
            <w:tcW w:w="0" w:type="auto"/>
            <w:tcBorders>
              <w:right w:val="nil"/>
            </w:tcBorders>
            <w:tcMar>
              <w:top w:w="90" w:type="dxa"/>
              <w:left w:w="180" w:type="dxa"/>
              <w:bottom w:w="90" w:type="dxa"/>
              <w:right w:w="180" w:type="dxa"/>
            </w:tcMar>
            <w:vAlign w:val="center"/>
            <w:hideMark/>
          </w:tcPr>
          <w:p w14:paraId="6D24CE21"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11.2</w:t>
            </w:r>
          </w:p>
        </w:tc>
      </w:tr>
      <w:tr w:rsidR="009D0A73" w:rsidRPr="009D0A73" w14:paraId="79C79301" w14:textId="77777777">
        <w:trPr>
          <w:tblCellSpacing w:w="15" w:type="dxa"/>
        </w:trPr>
        <w:tc>
          <w:tcPr>
            <w:tcW w:w="0" w:type="auto"/>
            <w:tcBorders>
              <w:right w:val="nil"/>
            </w:tcBorders>
            <w:tcMar>
              <w:top w:w="90" w:type="dxa"/>
              <w:left w:w="180" w:type="dxa"/>
              <w:bottom w:w="90" w:type="dxa"/>
              <w:right w:w="180" w:type="dxa"/>
            </w:tcMar>
            <w:vAlign w:val="center"/>
            <w:hideMark/>
          </w:tcPr>
          <w:p w14:paraId="28F9E323" w14:textId="77777777" w:rsidR="009D0A73" w:rsidRPr="009D0A73" w:rsidRDefault="009D0A73" w:rsidP="009D0A73">
            <w:pPr>
              <w:rPr>
                <w:rFonts w:ascii="Times New Roman" w:hAnsi="Times New Roman" w:cs="Times New Roman"/>
              </w:rPr>
            </w:pPr>
            <w:r w:rsidRPr="009D0A73">
              <w:rPr>
                <w:rFonts w:ascii="Times New Roman" w:hAnsi="Times New Roman" w:cs="Times New Roman"/>
                <w:b/>
                <w:bCs/>
              </w:rPr>
              <w:lastRenderedPageBreak/>
              <w:t>Identity</w:t>
            </w:r>
          </w:p>
        </w:tc>
        <w:tc>
          <w:tcPr>
            <w:tcW w:w="0" w:type="auto"/>
            <w:tcBorders>
              <w:right w:val="nil"/>
            </w:tcBorders>
            <w:tcMar>
              <w:top w:w="90" w:type="dxa"/>
              <w:left w:w="180" w:type="dxa"/>
              <w:bottom w:w="90" w:type="dxa"/>
              <w:right w:w="180" w:type="dxa"/>
            </w:tcMar>
            <w:vAlign w:val="center"/>
            <w:hideMark/>
          </w:tcPr>
          <w:p w14:paraId="158B8717"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0.705</w:t>
            </w:r>
          </w:p>
        </w:tc>
        <w:tc>
          <w:tcPr>
            <w:tcW w:w="0" w:type="auto"/>
            <w:tcBorders>
              <w:right w:val="nil"/>
            </w:tcBorders>
            <w:tcMar>
              <w:top w:w="90" w:type="dxa"/>
              <w:left w:w="180" w:type="dxa"/>
              <w:bottom w:w="90" w:type="dxa"/>
              <w:right w:w="180" w:type="dxa"/>
            </w:tcMar>
            <w:vAlign w:val="center"/>
            <w:hideMark/>
          </w:tcPr>
          <w:p w14:paraId="24CA3AE0"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0.750</w:t>
            </w:r>
          </w:p>
        </w:tc>
        <w:tc>
          <w:tcPr>
            <w:tcW w:w="0" w:type="auto"/>
            <w:tcBorders>
              <w:right w:val="nil"/>
            </w:tcBorders>
            <w:tcMar>
              <w:top w:w="90" w:type="dxa"/>
              <w:left w:w="180" w:type="dxa"/>
              <w:bottom w:w="90" w:type="dxa"/>
              <w:right w:w="180" w:type="dxa"/>
            </w:tcMar>
            <w:vAlign w:val="center"/>
            <w:hideMark/>
          </w:tcPr>
          <w:p w14:paraId="7D415BB8"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0.681</w:t>
            </w:r>
          </w:p>
        </w:tc>
        <w:tc>
          <w:tcPr>
            <w:tcW w:w="0" w:type="auto"/>
            <w:tcBorders>
              <w:right w:val="nil"/>
            </w:tcBorders>
            <w:tcMar>
              <w:top w:w="90" w:type="dxa"/>
              <w:left w:w="180" w:type="dxa"/>
              <w:bottom w:w="90" w:type="dxa"/>
              <w:right w:w="180" w:type="dxa"/>
            </w:tcMar>
            <w:vAlign w:val="center"/>
            <w:hideMark/>
          </w:tcPr>
          <w:p w14:paraId="4F689276"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2.9</w:t>
            </w:r>
          </w:p>
        </w:tc>
      </w:tr>
    </w:tbl>
    <w:p w14:paraId="785F7AE8"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4. Discussion</w:t>
      </w:r>
    </w:p>
    <w:p w14:paraId="01FB05B4"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4.1 The Necessity of Equivalence Classes</w:t>
      </w:r>
    </w:p>
    <w:p w14:paraId="161681C4"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The results provide a definitive answer regarding the utility of equivalence classes. The </w:t>
      </w:r>
      <w:r w:rsidRPr="009D0A73">
        <w:rPr>
          <w:rFonts w:ascii="Times New Roman" w:hAnsi="Times New Roman" w:cs="Times New Roman"/>
          <w:b/>
          <w:bCs/>
        </w:rPr>
        <w:t>Bio Classes</w:t>
      </w:r>
      <w:r w:rsidRPr="009D0A73">
        <w:rPr>
          <w:rFonts w:ascii="Times New Roman" w:hAnsi="Times New Roman" w:cs="Times New Roman"/>
        </w:rPr>
        <w:t> approach achieved a near-perfect F1 score (0.957), whereas the </w:t>
      </w:r>
      <w:r w:rsidRPr="009D0A73">
        <w:rPr>
          <w:rFonts w:ascii="Times New Roman" w:hAnsi="Times New Roman" w:cs="Times New Roman"/>
          <w:b/>
          <w:bCs/>
        </w:rPr>
        <w:t>Identity</w:t>
      </w:r>
      <w:r w:rsidRPr="009D0A73">
        <w:rPr>
          <w:rFonts w:ascii="Times New Roman" w:hAnsi="Times New Roman" w:cs="Times New Roman"/>
        </w:rPr>
        <w:t> approach failed significantly (F1 0.681).</w:t>
      </w:r>
    </w:p>
    <w:p w14:paraId="787CF898"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This huge disparity is due to the inherent degeneracy of the target motif ([ILMV]A[AG].C).</w:t>
      </w:r>
    </w:p>
    <w:p w14:paraId="6D59DF7E" w14:textId="77777777" w:rsidR="009D0A73" w:rsidRPr="009D0A73" w:rsidRDefault="009D0A73" w:rsidP="009D0A73">
      <w:pPr>
        <w:numPr>
          <w:ilvl w:val="0"/>
          <w:numId w:val="4"/>
        </w:numPr>
        <w:rPr>
          <w:rFonts w:ascii="Times New Roman" w:hAnsi="Times New Roman" w:cs="Times New Roman"/>
        </w:rPr>
      </w:pPr>
      <w:r w:rsidRPr="009D0A73">
        <w:rPr>
          <w:rFonts w:ascii="Times New Roman" w:hAnsi="Times New Roman" w:cs="Times New Roman"/>
          <w:b/>
          <w:bCs/>
        </w:rPr>
        <w:t>Bio Model:</w:t>
      </w:r>
      <w:r w:rsidRPr="009D0A73">
        <w:rPr>
          <w:rFonts w:ascii="Times New Roman" w:hAnsi="Times New Roman" w:cs="Times New Roman"/>
        </w:rPr>
        <w:t> The algorithm could easily represent the first position as [ILMV], capturing all variations (I, L, M, V) with a single semantic grouping.</w:t>
      </w:r>
    </w:p>
    <w:p w14:paraId="2BDFE3C7" w14:textId="77777777" w:rsidR="009D0A73" w:rsidRPr="009D0A73" w:rsidRDefault="009D0A73" w:rsidP="009D0A73">
      <w:pPr>
        <w:numPr>
          <w:ilvl w:val="0"/>
          <w:numId w:val="4"/>
        </w:numPr>
        <w:rPr>
          <w:rFonts w:ascii="Times New Roman" w:hAnsi="Times New Roman" w:cs="Times New Roman"/>
        </w:rPr>
      </w:pPr>
      <w:r w:rsidRPr="009D0A73">
        <w:rPr>
          <w:rFonts w:ascii="Times New Roman" w:hAnsi="Times New Roman" w:cs="Times New Roman"/>
          <w:b/>
          <w:bCs/>
        </w:rPr>
        <w:t>Identity Model:</w:t>
      </w:r>
      <w:r w:rsidRPr="009D0A73">
        <w:rPr>
          <w:rFonts w:ascii="Times New Roman" w:hAnsi="Times New Roman" w:cs="Times New Roman"/>
        </w:rPr>
        <w:t> Without grouping, the algorithm cannot represent I OR L OR M OR V efficiently. It is forced to choose either a specific residue (e.g., I, resulting in low Recall because sequences with L are missed) or a wildcard . (resulting in low Precision because it matches random noise).</w:t>
      </w:r>
    </w:p>
    <w:p w14:paraId="47321EA3" w14:textId="77777777" w:rsidR="009D0A73" w:rsidRPr="009D0A73" w:rsidRDefault="009D0A73" w:rsidP="009D0A73">
      <w:pPr>
        <w:numPr>
          <w:ilvl w:val="0"/>
          <w:numId w:val="4"/>
        </w:numPr>
        <w:rPr>
          <w:rFonts w:ascii="Times New Roman" w:hAnsi="Times New Roman" w:cs="Times New Roman"/>
        </w:rPr>
      </w:pPr>
      <w:r w:rsidRPr="009D0A73">
        <w:rPr>
          <w:rFonts w:ascii="Times New Roman" w:hAnsi="Times New Roman" w:cs="Times New Roman"/>
          <w:b/>
          <w:bCs/>
        </w:rPr>
        <w:t>Length Artifact:</w:t>
      </w:r>
      <w:r w:rsidRPr="009D0A73">
        <w:rPr>
          <w:rFonts w:ascii="Times New Roman" w:hAnsi="Times New Roman" w:cs="Times New Roman"/>
        </w:rPr>
        <w:t> The Identity model produced a very short regex (Length 2.9). This implies it likely collapsed to a trivial anchor like A.C or just C, which explains the poor Precision (0.705) and Recall (0.750). It could not "afford" to be specific without losing Recall.</w:t>
      </w:r>
    </w:p>
    <w:p w14:paraId="68CE28C8"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4.2 Robustness to Data Scarcity</w:t>
      </w:r>
    </w:p>
    <w:p w14:paraId="47FF6B21" w14:textId="77777777" w:rsidR="009D0A73" w:rsidRPr="009D0A73" w:rsidRDefault="009D0A73" w:rsidP="009D0A73">
      <w:pPr>
        <w:rPr>
          <w:rFonts w:ascii="Times New Roman" w:hAnsi="Times New Roman" w:cs="Times New Roman"/>
        </w:rPr>
      </w:pPr>
      <w:r w:rsidRPr="009D0A73">
        <w:rPr>
          <w:rFonts w:ascii="Times New Roman" w:hAnsi="Times New Roman" w:cs="Times New Roman"/>
        </w:rPr>
        <w:t>The results from Experiment 1 demonstrate that with a strong signal and appropriate equivalence classes, the GA is highly robust. Even using only 40% of the data (Fraction 0.4), the algorithm achieved Perfect Recall (1.0). This suggests that predefined biological knowledge (classes) drastically reduces the search space, allowing the model to generalize correctly from fewer examples.</w:t>
      </w:r>
    </w:p>
    <w:p w14:paraId="2CBDAF1A" w14:textId="77777777" w:rsidR="009D0A73" w:rsidRPr="009D0A73" w:rsidRDefault="009D0A73" w:rsidP="009D0A73">
      <w:pPr>
        <w:rPr>
          <w:rFonts w:ascii="Times New Roman" w:hAnsi="Times New Roman" w:cs="Times New Roman"/>
          <w:b/>
          <w:bCs/>
        </w:rPr>
      </w:pPr>
      <w:r w:rsidRPr="009D0A73">
        <w:rPr>
          <w:rFonts w:ascii="Times New Roman" w:hAnsi="Times New Roman" w:cs="Times New Roman"/>
          <w:b/>
          <w:bCs/>
        </w:rPr>
        <w:t>5. Conclusion</w:t>
      </w:r>
    </w:p>
    <w:p w14:paraId="03F33152" w14:textId="4CDD1435" w:rsidR="009D0A73" w:rsidRDefault="009D0A73" w:rsidP="009D0A73">
      <w:pPr>
        <w:rPr>
          <w:rFonts w:ascii="Times New Roman" w:hAnsi="Times New Roman" w:cs="Times New Roman"/>
        </w:rPr>
      </w:pPr>
      <w:r w:rsidRPr="009D0A73">
        <w:rPr>
          <w:rFonts w:ascii="Times New Roman" w:hAnsi="Times New Roman" w:cs="Times New Roman"/>
        </w:rPr>
        <w:t>This project successfully implemented a Genetic Algorithm for regex motif discovery. The testing confirms that </w:t>
      </w:r>
      <w:r w:rsidRPr="009D0A73">
        <w:rPr>
          <w:rFonts w:ascii="Times New Roman" w:hAnsi="Times New Roman" w:cs="Times New Roman"/>
          <w:b/>
          <w:bCs/>
        </w:rPr>
        <w:t>user-defined equivalence classes are essential</w:t>
      </w:r>
      <w:r w:rsidRPr="009D0A73">
        <w:rPr>
          <w:rFonts w:ascii="Times New Roman" w:hAnsi="Times New Roman" w:cs="Times New Roman"/>
        </w:rPr>
        <w:t xml:space="preserve"> for accurately characterizing biological sequences. They allow for the construction of regular expressions that maintain high Precision and Recall by correctly modeling evolutionary substitution patterns, a task that strict residue identity cannot perform </w:t>
      </w:r>
      <w:r w:rsidR="00BF558B" w:rsidRPr="009D0A73">
        <w:rPr>
          <w:rFonts w:ascii="Times New Roman" w:hAnsi="Times New Roman" w:cs="Times New Roman"/>
        </w:rPr>
        <w:t>effectively</w:t>
      </w:r>
    </w:p>
    <w:p w14:paraId="7EF2A1FC" w14:textId="77777777" w:rsidR="00A531D9" w:rsidRDefault="00A531D9" w:rsidP="009D0A73">
      <w:pPr>
        <w:rPr>
          <w:rFonts w:ascii="Times New Roman" w:hAnsi="Times New Roman" w:cs="Times New Roman"/>
        </w:rPr>
      </w:pPr>
    </w:p>
    <w:p w14:paraId="70ADA5B8" w14:textId="3BA6DBCD" w:rsidR="00A531D9" w:rsidRPr="00A731F1" w:rsidRDefault="00A531D9" w:rsidP="009D0A73">
      <w:pPr>
        <w:rPr>
          <w:rFonts w:ascii="Times New Roman" w:hAnsi="Times New Roman" w:cs="Times New Roman"/>
          <w:u w:val="single"/>
        </w:rPr>
      </w:pPr>
      <w:r w:rsidRPr="00A531D9">
        <w:rPr>
          <w:rFonts w:ascii="Times New Roman" w:hAnsi="Times New Roman" w:cs="Times New Roman"/>
        </w:rPr>
        <w:t xml:space="preserve">All the code is uploaded in the </w:t>
      </w:r>
      <w:proofErr w:type="spellStart"/>
      <w:r w:rsidRPr="00A531D9">
        <w:rPr>
          <w:rFonts w:ascii="Times New Roman" w:hAnsi="Times New Roman" w:cs="Times New Roman"/>
        </w:rPr>
        <w:t>Github</w:t>
      </w:r>
      <w:proofErr w:type="spellEnd"/>
      <w:r w:rsidRPr="00A531D9">
        <w:rPr>
          <w:rFonts w:ascii="Times New Roman" w:hAnsi="Times New Roman" w:cs="Times New Roman"/>
        </w:rPr>
        <w:t xml:space="preserve">: </w:t>
      </w:r>
      <w:r w:rsidRPr="00A731F1">
        <w:rPr>
          <w:rFonts w:ascii="Times New Roman" w:hAnsi="Times New Roman" w:cs="Times New Roman"/>
          <w:u w:val="single"/>
        </w:rPr>
        <w:t>https://github.com/md-imranhasan/intro_to_bio_501/blob/main/Programming_Project/Final_Programming_project.ipynb</w:t>
      </w:r>
    </w:p>
    <w:p w14:paraId="78762828" w14:textId="23B7C519" w:rsidR="00642DA9" w:rsidRPr="00642DA9" w:rsidRDefault="00642DA9" w:rsidP="00642DA9">
      <w:pPr>
        <w:rPr>
          <w:rFonts w:ascii="Times New Roman" w:hAnsi="Times New Roman" w:cs="Times New Roman"/>
        </w:rPr>
      </w:pPr>
    </w:p>
    <w:sectPr w:rsidR="00642DA9" w:rsidRPr="00642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A1425"/>
    <w:multiLevelType w:val="multilevel"/>
    <w:tmpl w:val="1180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F3450"/>
    <w:multiLevelType w:val="multilevel"/>
    <w:tmpl w:val="1BBA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B53F8"/>
    <w:multiLevelType w:val="multilevel"/>
    <w:tmpl w:val="31FC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F06BF3"/>
    <w:multiLevelType w:val="multilevel"/>
    <w:tmpl w:val="346A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901799">
    <w:abstractNumId w:val="1"/>
  </w:num>
  <w:num w:numId="2" w16cid:durableId="1905752774">
    <w:abstractNumId w:val="2"/>
  </w:num>
  <w:num w:numId="3" w16cid:durableId="75368952">
    <w:abstractNumId w:val="3"/>
  </w:num>
  <w:num w:numId="4" w16cid:durableId="1635871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746"/>
    <w:rsid w:val="00065AC4"/>
    <w:rsid w:val="00262545"/>
    <w:rsid w:val="00642DA9"/>
    <w:rsid w:val="008C1BB5"/>
    <w:rsid w:val="009A0746"/>
    <w:rsid w:val="009D0A73"/>
    <w:rsid w:val="00A531D9"/>
    <w:rsid w:val="00A731F1"/>
    <w:rsid w:val="00BF5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663FB"/>
  <w15:chartTrackingRefBased/>
  <w15:docId w15:val="{F316A989-FC87-4BC9-9D7E-A015A6875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746"/>
    <w:rPr>
      <w:rFonts w:eastAsiaTheme="majorEastAsia" w:cstheme="majorBidi"/>
      <w:color w:val="272727" w:themeColor="text1" w:themeTint="D8"/>
    </w:rPr>
  </w:style>
  <w:style w:type="paragraph" w:styleId="Title">
    <w:name w:val="Title"/>
    <w:basedOn w:val="Normal"/>
    <w:next w:val="Normal"/>
    <w:link w:val="TitleChar"/>
    <w:uiPriority w:val="10"/>
    <w:qFormat/>
    <w:rsid w:val="009A0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746"/>
    <w:pPr>
      <w:spacing w:before="160"/>
      <w:jc w:val="center"/>
    </w:pPr>
    <w:rPr>
      <w:i/>
      <w:iCs/>
      <w:color w:val="404040" w:themeColor="text1" w:themeTint="BF"/>
    </w:rPr>
  </w:style>
  <w:style w:type="character" w:customStyle="1" w:styleId="QuoteChar">
    <w:name w:val="Quote Char"/>
    <w:basedOn w:val="DefaultParagraphFont"/>
    <w:link w:val="Quote"/>
    <w:uiPriority w:val="29"/>
    <w:rsid w:val="009A0746"/>
    <w:rPr>
      <w:i/>
      <w:iCs/>
      <w:color w:val="404040" w:themeColor="text1" w:themeTint="BF"/>
    </w:rPr>
  </w:style>
  <w:style w:type="paragraph" w:styleId="ListParagraph">
    <w:name w:val="List Paragraph"/>
    <w:basedOn w:val="Normal"/>
    <w:uiPriority w:val="34"/>
    <w:qFormat/>
    <w:rsid w:val="009A0746"/>
    <w:pPr>
      <w:ind w:left="720"/>
      <w:contextualSpacing/>
    </w:pPr>
  </w:style>
  <w:style w:type="character" w:styleId="IntenseEmphasis">
    <w:name w:val="Intense Emphasis"/>
    <w:basedOn w:val="DefaultParagraphFont"/>
    <w:uiPriority w:val="21"/>
    <w:qFormat/>
    <w:rsid w:val="009A0746"/>
    <w:rPr>
      <w:i/>
      <w:iCs/>
      <w:color w:val="0F4761" w:themeColor="accent1" w:themeShade="BF"/>
    </w:rPr>
  </w:style>
  <w:style w:type="paragraph" w:styleId="IntenseQuote">
    <w:name w:val="Intense Quote"/>
    <w:basedOn w:val="Normal"/>
    <w:next w:val="Normal"/>
    <w:link w:val="IntenseQuoteChar"/>
    <w:uiPriority w:val="30"/>
    <w:qFormat/>
    <w:rsid w:val="009A0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746"/>
    <w:rPr>
      <w:i/>
      <w:iCs/>
      <w:color w:val="0F4761" w:themeColor="accent1" w:themeShade="BF"/>
    </w:rPr>
  </w:style>
  <w:style w:type="character" w:styleId="IntenseReference">
    <w:name w:val="Intense Reference"/>
    <w:basedOn w:val="DefaultParagraphFont"/>
    <w:uiPriority w:val="32"/>
    <w:qFormat/>
    <w:rsid w:val="009A07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784</Words>
  <Characters>4473</Characters>
  <Application>Microsoft Office Word</Application>
  <DocSecurity>0</DocSecurity>
  <Lines>37</Lines>
  <Paragraphs>10</Paragraphs>
  <ScaleCrop>false</ScaleCrop>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Imran Hasan</dc:creator>
  <cp:keywords/>
  <dc:description/>
  <cp:lastModifiedBy>Md Imran Hasan</cp:lastModifiedBy>
  <cp:revision>6</cp:revision>
  <dcterms:created xsi:type="dcterms:W3CDTF">2025-12-12T21:12:00Z</dcterms:created>
  <dcterms:modified xsi:type="dcterms:W3CDTF">2025-12-16T05:31:00Z</dcterms:modified>
</cp:coreProperties>
</file>