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F7F5431" w14:textId="77777777" w:rsidR="000F7A1A" w:rsidRPr="000F7A1A" w:rsidRDefault="000F7A1A" w:rsidP="009176C2">
      <w:pPr>
        <w:jc w:val="center"/>
        <w:rPr>
          <w:rFonts w:ascii="Times New Roman" w:hAnsi="Times New Roman" w:cs="Times New Roman"/>
          <w:b/>
          <w:bCs/>
        </w:rPr>
      </w:pPr>
      <w:r w:rsidRPr="000F7A1A">
        <w:rPr>
          <w:rFonts w:ascii="Times New Roman" w:hAnsi="Times New Roman" w:cs="Times New Roman"/>
          <w:b/>
          <w:bCs/>
        </w:rPr>
        <w:t>Transcriptomic Reprogramming and Regulatory Architecture of the Systemic Immune Response in COVID-19</w:t>
      </w:r>
    </w:p>
    <w:p w14:paraId="6645C2B3" w14:textId="40CCD84D" w:rsidR="000F7A1A" w:rsidRPr="000F7A1A" w:rsidRDefault="000F7A1A" w:rsidP="000F7A1A">
      <w:pPr>
        <w:rPr>
          <w:rFonts w:ascii="Times New Roman" w:hAnsi="Times New Roman" w:cs="Times New Roman"/>
        </w:rPr>
      </w:pPr>
    </w:p>
    <w:p w14:paraId="1D4B3EB2" w14:textId="77777777" w:rsidR="000F7A1A" w:rsidRPr="000F7A1A" w:rsidRDefault="000F7A1A" w:rsidP="000F7A1A">
      <w:pPr>
        <w:rPr>
          <w:rFonts w:ascii="Times New Roman" w:hAnsi="Times New Roman" w:cs="Times New Roman"/>
          <w:b/>
          <w:bCs/>
        </w:rPr>
      </w:pPr>
      <w:r w:rsidRPr="000F7A1A">
        <w:rPr>
          <w:rFonts w:ascii="Times New Roman" w:hAnsi="Times New Roman" w:cs="Times New Roman"/>
          <w:b/>
          <w:bCs/>
        </w:rPr>
        <w:t>Abstract</w:t>
      </w:r>
    </w:p>
    <w:p w14:paraId="6AB0FB31" w14:textId="31BEDD06" w:rsidR="000F7A1A" w:rsidRPr="000F7A1A" w:rsidRDefault="000F7A1A" w:rsidP="009B28CC">
      <w:pPr>
        <w:spacing w:line="360" w:lineRule="auto"/>
        <w:rPr>
          <w:rFonts w:ascii="Times New Roman" w:hAnsi="Times New Roman" w:cs="Times New Roman"/>
        </w:rPr>
      </w:pPr>
      <w:r w:rsidRPr="000F7A1A">
        <w:rPr>
          <w:rFonts w:ascii="Times New Roman" w:hAnsi="Times New Roman" w:cs="Times New Roman"/>
          <w:b/>
          <w:bCs/>
        </w:rPr>
        <w:t>Background</w:t>
      </w:r>
      <w:r w:rsidRPr="000F7A1A">
        <w:rPr>
          <w:rFonts w:ascii="Times New Roman" w:hAnsi="Times New Roman" w:cs="Times New Roman"/>
        </w:rPr>
        <w:t>: The clinical trajectory of COVID-19 is dictated by the complex interplay between viral replication and the host immune response. Peripheral Blood Mononuclear Cells (PBMCs) serve as a critical window into systemic immunity, yet the precise transcriptional alterations and upstream regulatory mechanisms driving the adaptive response remain an area of intense investigation.</w:t>
      </w:r>
      <w:r w:rsidRPr="000F7A1A">
        <w:rPr>
          <w:rFonts w:ascii="Times New Roman" w:hAnsi="Times New Roman" w:cs="Times New Roman"/>
        </w:rPr>
        <w:br/>
      </w:r>
      <w:r w:rsidRPr="000F7A1A">
        <w:rPr>
          <w:rFonts w:ascii="Times New Roman" w:hAnsi="Times New Roman" w:cs="Times New Roman"/>
          <w:b/>
          <w:bCs/>
        </w:rPr>
        <w:t>Methods</w:t>
      </w:r>
      <w:r w:rsidRPr="000F7A1A">
        <w:rPr>
          <w:rFonts w:ascii="Times New Roman" w:hAnsi="Times New Roman" w:cs="Times New Roman"/>
        </w:rPr>
        <w:t xml:space="preserve">: We performed a comprehensive RNA-sequencing analysis of 20 PBMC samples (10 COVID-19 patients vs. 10 healthy controls) from dataset GSE152418. The raw sequencing data were processed using a reproducible systems biology pipeline comprising adapter trimming, splice-aware alignment (HISAT2), and gene quantification. Differential </w:t>
      </w:r>
      <w:r w:rsidR="0043262A" w:rsidRPr="000F7A1A">
        <w:rPr>
          <w:rFonts w:ascii="Times New Roman" w:hAnsi="Times New Roman" w:cs="Times New Roman"/>
        </w:rPr>
        <w:t>expressions were</w:t>
      </w:r>
      <w:r w:rsidRPr="000F7A1A">
        <w:rPr>
          <w:rFonts w:ascii="Times New Roman" w:hAnsi="Times New Roman" w:cs="Times New Roman"/>
        </w:rPr>
        <w:t xml:space="preserve"> assessed using DESeq2. Functional interpretation included pathway enrichment (KEGG/GO) and the construction of a Gene-miRNA regulatory network using experimentally validated interactions from </w:t>
      </w:r>
      <w:proofErr w:type="spellStart"/>
      <w:r w:rsidRPr="000F7A1A">
        <w:rPr>
          <w:rFonts w:ascii="Times New Roman" w:hAnsi="Times New Roman" w:cs="Times New Roman"/>
        </w:rPr>
        <w:t>miRTarBase</w:t>
      </w:r>
      <w:proofErr w:type="spellEnd"/>
      <w:r w:rsidRPr="000F7A1A">
        <w:rPr>
          <w:rFonts w:ascii="Times New Roman" w:hAnsi="Times New Roman" w:cs="Times New Roman"/>
        </w:rPr>
        <w:t xml:space="preserve"> v9.0.</w:t>
      </w:r>
      <w:r w:rsidRPr="000F7A1A">
        <w:rPr>
          <w:rFonts w:ascii="Times New Roman" w:hAnsi="Times New Roman" w:cs="Times New Roman"/>
        </w:rPr>
        <w:br/>
      </w:r>
      <w:r w:rsidRPr="000F7A1A">
        <w:rPr>
          <w:rFonts w:ascii="Times New Roman" w:hAnsi="Times New Roman" w:cs="Times New Roman"/>
          <w:b/>
          <w:bCs/>
        </w:rPr>
        <w:t>Results</w:t>
      </w:r>
      <w:r w:rsidRPr="000F7A1A">
        <w:rPr>
          <w:rFonts w:ascii="Times New Roman" w:hAnsi="Times New Roman" w:cs="Times New Roman"/>
        </w:rPr>
        <w:t>: We identified a profound transcriptional divergence characterized by the massive upregulation of cell-cycle progression genes (</w:t>
      </w:r>
      <w:r w:rsidRPr="000F7A1A">
        <w:rPr>
          <w:rFonts w:ascii="Times New Roman" w:hAnsi="Times New Roman" w:cs="Times New Roman"/>
          <w:i/>
          <w:iCs/>
        </w:rPr>
        <w:t>MKI67</w:t>
      </w:r>
      <w:r w:rsidRPr="000F7A1A">
        <w:rPr>
          <w:rFonts w:ascii="Times New Roman" w:hAnsi="Times New Roman" w:cs="Times New Roman"/>
        </w:rPr>
        <w:t xml:space="preserve">, </w:t>
      </w:r>
      <w:r w:rsidRPr="000F7A1A">
        <w:rPr>
          <w:rFonts w:ascii="Times New Roman" w:hAnsi="Times New Roman" w:cs="Times New Roman"/>
          <w:i/>
          <w:iCs/>
        </w:rPr>
        <w:t>TOP2A</w:t>
      </w:r>
      <w:r w:rsidRPr="000F7A1A">
        <w:rPr>
          <w:rFonts w:ascii="Times New Roman" w:hAnsi="Times New Roman" w:cs="Times New Roman"/>
        </w:rPr>
        <w:t xml:space="preserve">, </w:t>
      </w:r>
      <w:r w:rsidRPr="000F7A1A">
        <w:rPr>
          <w:rFonts w:ascii="Times New Roman" w:hAnsi="Times New Roman" w:cs="Times New Roman"/>
          <w:i/>
          <w:iCs/>
        </w:rPr>
        <w:t>CCNA2</w:t>
      </w:r>
      <w:r w:rsidRPr="000F7A1A">
        <w:rPr>
          <w:rFonts w:ascii="Times New Roman" w:hAnsi="Times New Roman" w:cs="Times New Roman"/>
        </w:rPr>
        <w:t>) and immunoglobulin variable regions (</w:t>
      </w:r>
      <w:r w:rsidRPr="000F7A1A">
        <w:rPr>
          <w:rFonts w:ascii="Times New Roman" w:hAnsi="Times New Roman" w:cs="Times New Roman"/>
          <w:i/>
          <w:iCs/>
        </w:rPr>
        <w:t>IGHV</w:t>
      </w:r>
      <w:r w:rsidRPr="000F7A1A">
        <w:rPr>
          <w:rFonts w:ascii="Times New Roman" w:hAnsi="Times New Roman" w:cs="Times New Roman"/>
        </w:rPr>
        <w:t xml:space="preserve">), indicative of </w:t>
      </w:r>
      <w:proofErr w:type="spellStart"/>
      <w:r w:rsidRPr="000F7A1A">
        <w:rPr>
          <w:rFonts w:ascii="Times New Roman" w:hAnsi="Times New Roman" w:cs="Times New Roman"/>
        </w:rPr>
        <w:t>plasmablast</w:t>
      </w:r>
      <w:proofErr w:type="spellEnd"/>
      <w:r w:rsidRPr="000F7A1A">
        <w:rPr>
          <w:rFonts w:ascii="Times New Roman" w:hAnsi="Times New Roman" w:cs="Times New Roman"/>
        </w:rPr>
        <w:t xml:space="preserve"> expansion. Functional enrichment highlighted the remodeling of Extracellular Matrix (ECM) interactions and "synaptic-like" immune signaling. Furthermore, network analysis revealed a dense post-transcriptional regulatory landscape where hub genes (</w:t>
      </w:r>
      <w:r w:rsidRPr="000F7A1A">
        <w:rPr>
          <w:rFonts w:ascii="Times New Roman" w:hAnsi="Times New Roman" w:cs="Times New Roman"/>
          <w:i/>
          <w:iCs/>
        </w:rPr>
        <w:t>TWIST1</w:t>
      </w:r>
      <w:r w:rsidRPr="000F7A1A">
        <w:rPr>
          <w:rFonts w:ascii="Times New Roman" w:hAnsi="Times New Roman" w:cs="Times New Roman"/>
        </w:rPr>
        <w:t xml:space="preserve">, </w:t>
      </w:r>
      <w:r w:rsidRPr="000F7A1A">
        <w:rPr>
          <w:rFonts w:ascii="Times New Roman" w:hAnsi="Times New Roman" w:cs="Times New Roman"/>
          <w:i/>
          <w:iCs/>
        </w:rPr>
        <w:t>TERT</w:t>
      </w:r>
      <w:r w:rsidRPr="000F7A1A">
        <w:rPr>
          <w:rFonts w:ascii="Times New Roman" w:hAnsi="Times New Roman" w:cs="Times New Roman"/>
        </w:rPr>
        <w:t xml:space="preserve">, </w:t>
      </w:r>
      <w:r w:rsidRPr="000F7A1A">
        <w:rPr>
          <w:rFonts w:ascii="Times New Roman" w:hAnsi="Times New Roman" w:cs="Times New Roman"/>
          <w:i/>
          <w:iCs/>
        </w:rPr>
        <w:t>SPC25</w:t>
      </w:r>
      <w:r w:rsidRPr="000F7A1A">
        <w:rPr>
          <w:rFonts w:ascii="Times New Roman" w:hAnsi="Times New Roman" w:cs="Times New Roman"/>
        </w:rPr>
        <w:t>) are modulated by key miRNAs.</w:t>
      </w:r>
      <w:r w:rsidRPr="000F7A1A">
        <w:rPr>
          <w:rFonts w:ascii="Times New Roman" w:hAnsi="Times New Roman" w:cs="Times New Roman"/>
        </w:rPr>
        <w:br/>
      </w:r>
      <w:r w:rsidRPr="000F7A1A">
        <w:rPr>
          <w:rFonts w:ascii="Times New Roman" w:hAnsi="Times New Roman" w:cs="Times New Roman"/>
          <w:b/>
          <w:bCs/>
        </w:rPr>
        <w:t>Conclusion</w:t>
      </w:r>
      <w:r w:rsidRPr="000F7A1A">
        <w:rPr>
          <w:rFonts w:ascii="Times New Roman" w:hAnsi="Times New Roman" w:cs="Times New Roman"/>
        </w:rPr>
        <w:t xml:space="preserve">: The COVID-19 systemic immune response is defined by a "proliferative burst" and structural remodeling, heavily fine-tuned by a complex miRNA-gene regulatory network. These findings suggest that </w:t>
      </w:r>
      <w:r w:rsidR="009B28CC" w:rsidRPr="000F7A1A">
        <w:rPr>
          <w:rFonts w:ascii="Times New Roman" w:hAnsi="Times New Roman" w:cs="Times New Roman"/>
        </w:rPr>
        <w:t>circulating immune compartments</w:t>
      </w:r>
      <w:r w:rsidRPr="000F7A1A">
        <w:rPr>
          <w:rFonts w:ascii="Times New Roman" w:hAnsi="Times New Roman" w:cs="Times New Roman"/>
        </w:rPr>
        <w:t xml:space="preserve"> undergoes rapid clonal expansion subject to tight post-transcriptional control.</w:t>
      </w:r>
    </w:p>
    <w:p w14:paraId="22A18069" w14:textId="67C5F52A" w:rsidR="000F7A1A" w:rsidRPr="000F7A1A" w:rsidRDefault="000F7A1A" w:rsidP="000F7A1A">
      <w:pPr>
        <w:rPr>
          <w:rFonts w:ascii="Times New Roman" w:hAnsi="Times New Roman" w:cs="Times New Roman"/>
        </w:rPr>
      </w:pPr>
    </w:p>
    <w:p w14:paraId="28C80E6B" w14:textId="77777777" w:rsidR="000F7A1A" w:rsidRPr="000F7A1A" w:rsidRDefault="000F7A1A" w:rsidP="000F7A1A">
      <w:pPr>
        <w:rPr>
          <w:rFonts w:ascii="Times New Roman" w:hAnsi="Times New Roman" w:cs="Times New Roman"/>
        </w:rPr>
      </w:pPr>
      <w:r w:rsidRPr="000F7A1A">
        <w:rPr>
          <w:rFonts w:ascii="Times New Roman" w:hAnsi="Times New Roman" w:cs="Times New Roman"/>
        </w:rPr>
        <w:t>1</w:t>
      </w:r>
      <w:r w:rsidRPr="000F7A1A">
        <w:rPr>
          <w:rFonts w:ascii="Times New Roman" w:hAnsi="Times New Roman" w:cs="Times New Roman"/>
          <w:b/>
          <w:bCs/>
        </w:rPr>
        <w:t>. Introduction</w:t>
      </w:r>
    </w:p>
    <w:p w14:paraId="1DDDE348" w14:textId="1678B5F3" w:rsidR="000F7A1A" w:rsidRPr="000F7A1A" w:rsidRDefault="000F7A1A" w:rsidP="000F7A1A">
      <w:pPr>
        <w:rPr>
          <w:rFonts w:ascii="Times New Roman" w:hAnsi="Times New Roman" w:cs="Times New Roman"/>
        </w:rPr>
      </w:pPr>
      <w:r w:rsidRPr="000F7A1A">
        <w:rPr>
          <w:rFonts w:ascii="Times New Roman" w:hAnsi="Times New Roman" w:cs="Times New Roman"/>
        </w:rPr>
        <w:t xml:space="preserve">Severe Acute Respiratory Syndrome Coronavirus 2 (SARS-CoV-2) precipitates a spectrum of clinical phenotypes, ranging from asymptomatic carriage to fatal respiratory distress. While the alveolar epithelium is the primary site of infection, the outcome is largely determined by the </w:t>
      </w:r>
      <w:r w:rsidRPr="000F7A1A">
        <w:rPr>
          <w:rFonts w:ascii="Times New Roman" w:hAnsi="Times New Roman" w:cs="Times New Roman"/>
        </w:rPr>
        <w:lastRenderedPageBreak/>
        <w:t>systemic immune response. PBMCs</w:t>
      </w:r>
      <w:r w:rsidR="009B28CC">
        <w:rPr>
          <w:rFonts w:ascii="Times New Roman" w:hAnsi="Times New Roman" w:cs="Times New Roman"/>
        </w:rPr>
        <w:t xml:space="preserve"> </w:t>
      </w:r>
      <w:r w:rsidRPr="000F7A1A">
        <w:rPr>
          <w:rFonts w:ascii="Times New Roman" w:hAnsi="Times New Roman" w:cs="Times New Roman"/>
        </w:rPr>
        <w:t>comprising T cells, B cells, Natural Killer (NK) cells, and monocytes</w:t>
      </w:r>
      <w:r w:rsidR="009B28CC">
        <w:rPr>
          <w:rFonts w:ascii="Times New Roman" w:hAnsi="Times New Roman" w:cs="Times New Roman"/>
        </w:rPr>
        <w:t xml:space="preserve"> </w:t>
      </w:r>
      <w:r w:rsidRPr="000F7A1A">
        <w:rPr>
          <w:rFonts w:ascii="Times New Roman" w:hAnsi="Times New Roman" w:cs="Times New Roman"/>
        </w:rPr>
        <w:t>orchestrate this defense.</w:t>
      </w:r>
    </w:p>
    <w:p w14:paraId="646514C6" w14:textId="1365E769" w:rsidR="000F7A1A" w:rsidRPr="000F7A1A" w:rsidRDefault="000F7A1A" w:rsidP="000F7A1A">
      <w:pPr>
        <w:rPr>
          <w:rFonts w:ascii="Times New Roman" w:hAnsi="Times New Roman" w:cs="Times New Roman"/>
        </w:rPr>
      </w:pPr>
      <w:r w:rsidRPr="000F7A1A">
        <w:rPr>
          <w:rFonts w:ascii="Times New Roman" w:hAnsi="Times New Roman" w:cs="Times New Roman"/>
        </w:rPr>
        <w:t>Transcriptomic profiling via RNA-sequencing (RNA-seq) allows for the unbiased quantification of gene expression changes. However, gene expression is not a linear process; it is heavily influenced by post-transcriptional regulation, particularly by microRNAs (miRNAs)</w:t>
      </w:r>
      <w:r w:rsidR="009B28CC">
        <w:rPr>
          <w:rFonts w:ascii="Times New Roman" w:hAnsi="Times New Roman" w:cs="Times New Roman"/>
        </w:rPr>
        <w:t xml:space="preserve"> </w:t>
      </w:r>
      <w:r w:rsidRPr="000F7A1A">
        <w:rPr>
          <w:rFonts w:ascii="Times New Roman" w:hAnsi="Times New Roman" w:cs="Times New Roman"/>
        </w:rPr>
        <w:t xml:space="preserve">small non-coding RNAs that silence mRNA targets. Understanding not just </w:t>
      </w:r>
      <w:r w:rsidRPr="000F7A1A">
        <w:rPr>
          <w:rFonts w:ascii="Times New Roman" w:hAnsi="Times New Roman" w:cs="Times New Roman"/>
          <w:i/>
          <w:iCs/>
        </w:rPr>
        <w:t>which</w:t>
      </w:r>
      <w:r w:rsidRPr="000F7A1A">
        <w:rPr>
          <w:rFonts w:ascii="Times New Roman" w:hAnsi="Times New Roman" w:cs="Times New Roman"/>
        </w:rPr>
        <w:t xml:space="preserve"> genes are expressed, but how they are regulated, is crucial for unraveling the stability and drivers of the immune phenotype.</w:t>
      </w:r>
    </w:p>
    <w:p w14:paraId="14DAE50C" w14:textId="77777777" w:rsidR="000F7A1A" w:rsidRPr="000F7A1A" w:rsidRDefault="000F7A1A" w:rsidP="000F7A1A">
      <w:pPr>
        <w:rPr>
          <w:rFonts w:ascii="Times New Roman" w:hAnsi="Times New Roman" w:cs="Times New Roman"/>
        </w:rPr>
      </w:pPr>
      <w:r w:rsidRPr="000F7A1A">
        <w:rPr>
          <w:rFonts w:ascii="Times New Roman" w:hAnsi="Times New Roman" w:cs="Times New Roman"/>
        </w:rPr>
        <w:t>In this study, we applied a standardized systems biology pipeline to dataset GSE152418. Our objective was to characterize the differential gene expression landscape between COVID-19 patients and healthy controls and to map these changes to upstream miRNA regulatory networks, distinguishing the molecular features of the active antiviral response.</w:t>
      </w:r>
    </w:p>
    <w:p w14:paraId="2C91AD2A" w14:textId="476B5A78" w:rsidR="000F7A1A" w:rsidRPr="000F7A1A" w:rsidRDefault="000F7A1A" w:rsidP="000F7A1A">
      <w:pPr>
        <w:rPr>
          <w:rFonts w:ascii="Times New Roman" w:hAnsi="Times New Roman" w:cs="Times New Roman"/>
        </w:rPr>
      </w:pPr>
    </w:p>
    <w:p w14:paraId="6BACF9C0" w14:textId="77777777" w:rsidR="000F7A1A" w:rsidRPr="000F7A1A" w:rsidRDefault="000F7A1A" w:rsidP="000F7A1A">
      <w:pPr>
        <w:rPr>
          <w:rFonts w:ascii="Times New Roman" w:hAnsi="Times New Roman" w:cs="Times New Roman"/>
          <w:b/>
          <w:bCs/>
        </w:rPr>
      </w:pPr>
      <w:r w:rsidRPr="000F7A1A">
        <w:rPr>
          <w:rFonts w:ascii="Times New Roman" w:hAnsi="Times New Roman" w:cs="Times New Roman"/>
        </w:rPr>
        <w:t xml:space="preserve">2. </w:t>
      </w:r>
      <w:r w:rsidRPr="000F7A1A">
        <w:rPr>
          <w:rFonts w:ascii="Times New Roman" w:hAnsi="Times New Roman" w:cs="Times New Roman"/>
          <w:b/>
          <w:bCs/>
        </w:rPr>
        <w:t>Materials and Methods</w:t>
      </w:r>
    </w:p>
    <w:p w14:paraId="65F61E41" w14:textId="77777777" w:rsidR="000F7A1A" w:rsidRPr="000F7A1A" w:rsidRDefault="000F7A1A" w:rsidP="000F7A1A">
      <w:pPr>
        <w:rPr>
          <w:rFonts w:ascii="Times New Roman" w:hAnsi="Times New Roman" w:cs="Times New Roman"/>
        </w:rPr>
      </w:pPr>
      <w:r w:rsidRPr="000F7A1A">
        <w:rPr>
          <w:rFonts w:ascii="Times New Roman" w:hAnsi="Times New Roman" w:cs="Times New Roman"/>
        </w:rPr>
        <w:t xml:space="preserve">2.1 </w:t>
      </w:r>
      <w:r w:rsidRPr="000F7A1A">
        <w:rPr>
          <w:rFonts w:ascii="Times New Roman" w:hAnsi="Times New Roman" w:cs="Times New Roman"/>
          <w:b/>
          <w:bCs/>
        </w:rPr>
        <w:t>Data Acquisition and Quality Control</w:t>
      </w:r>
    </w:p>
    <w:p w14:paraId="2DF385D8" w14:textId="77777777" w:rsidR="000F7A1A" w:rsidRPr="000F7A1A" w:rsidRDefault="000F7A1A" w:rsidP="000F7A1A">
      <w:pPr>
        <w:rPr>
          <w:rFonts w:ascii="Times New Roman" w:hAnsi="Times New Roman" w:cs="Times New Roman"/>
        </w:rPr>
      </w:pPr>
      <w:r w:rsidRPr="000F7A1A">
        <w:rPr>
          <w:rFonts w:ascii="Times New Roman" w:hAnsi="Times New Roman" w:cs="Times New Roman"/>
        </w:rPr>
        <w:t xml:space="preserve">Raw sequencing data were obtained from the Gene Expression Omnibus (GEO) under accession GSE152418 (N=20; 10 COVID-19, 10 Healthy). Raw FASTQ files were processed using </w:t>
      </w:r>
      <w:proofErr w:type="spellStart"/>
      <w:r w:rsidRPr="000F7A1A">
        <w:rPr>
          <w:rFonts w:ascii="Times New Roman" w:hAnsi="Times New Roman" w:cs="Times New Roman"/>
        </w:rPr>
        <w:t>fastp</w:t>
      </w:r>
      <w:proofErr w:type="spellEnd"/>
      <w:r w:rsidRPr="000F7A1A">
        <w:rPr>
          <w:rFonts w:ascii="Times New Roman" w:hAnsi="Times New Roman" w:cs="Times New Roman"/>
        </w:rPr>
        <w:t xml:space="preserve"> to trim adapter sequences and filter low-quality reads (Phred score &lt; Q20).</w:t>
      </w:r>
    </w:p>
    <w:p w14:paraId="72628E53" w14:textId="77777777" w:rsidR="000F7A1A" w:rsidRPr="000F7A1A" w:rsidRDefault="000F7A1A" w:rsidP="000F7A1A">
      <w:pPr>
        <w:rPr>
          <w:rFonts w:ascii="Times New Roman" w:hAnsi="Times New Roman" w:cs="Times New Roman"/>
        </w:rPr>
      </w:pPr>
      <w:r w:rsidRPr="000F7A1A">
        <w:rPr>
          <w:rFonts w:ascii="Times New Roman" w:hAnsi="Times New Roman" w:cs="Times New Roman"/>
        </w:rPr>
        <w:t xml:space="preserve">2.2 </w:t>
      </w:r>
      <w:r w:rsidRPr="000F7A1A">
        <w:rPr>
          <w:rFonts w:ascii="Times New Roman" w:hAnsi="Times New Roman" w:cs="Times New Roman"/>
          <w:b/>
          <w:bCs/>
        </w:rPr>
        <w:t>Alignment and Filtering</w:t>
      </w:r>
    </w:p>
    <w:p w14:paraId="49FB04B5" w14:textId="77777777" w:rsidR="000F7A1A" w:rsidRPr="000F7A1A" w:rsidRDefault="000F7A1A" w:rsidP="000F7A1A">
      <w:pPr>
        <w:rPr>
          <w:rFonts w:ascii="Times New Roman" w:hAnsi="Times New Roman" w:cs="Times New Roman"/>
        </w:rPr>
      </w:pPr>
      <w:r w:rsidRPr="000F7A1A">
        <w:rPr>
          <w:rFonts w:ascii="Times New Roman" w:hAnsi="Times New Roman" w:cs="Times New Roman"/>
        </w:rPr>
        <w:t xml:space="preserve">Cleaned reads were aligned to the human reference genome (GRCh38) using HISAT2 (v2.2.1). Post-alignment processing was conducted using </w:t>
      </w:r>
      <w:proofErr w:type="spellStart"/>
      <w:r w:rsidRPr="000F7A1A">
        <w:rPr>
          <w:rFonts w:ascii="Times New Roman" w:hAnsi="Times New Roman" w:cs="Times New Roman"/>
        </w:rPr>
        <w:t>SAMtools</w:t>
      </w:r>
      <w:proofErr w:type="spellEnd"/>
      <w:r w:rsidRPr="000F7A1A">
        <w:rPr>
          <w:rFonts w:ascii="Times New Roman" w:hAnsi="Times New Roman" w:cs="Times New Roman"/>
        </w:rPr>
        <w:t xml:space="preserve"> and Picard Tools.</w:t>
      </w:r>
    </w:p>
    <w:p w14:paraId="3DF065A7" w14:textId="77777777" w:rsidR="000F7A1A" w:rsidRPr="000F7A1A" w:rsidRDefault="000F7A1A" w:rsidP="000F7A1A">
      <w:pPr>
        <w:numPr>
          <w:ilvl w:val="0"/>
          <w:numId w:val="8"/>
        </w:numPr>
        <w:rPr>
          <w:rFonts w:ascii="Times New Roman" w:hAnsi="Times New Roman" w:cs="Times New Roman"/>
        </w:rPr>
      </w:pPr>
      <w:r w:rsidRPr="000F7A1A">
        <w:rPr>
          <w:rFonts w:ascii="Times New Roman" w:hAnsi="Times New Roman" w:cs="Times New Roman"/>
        </w:rPr>
        <w:t xml:space="preserve">Deduplication: Picard </w:t>
      </w:r>
      <w:proofErr w:type="spellStart"/>
      <w:r w:rsidRPr="000F7A1A">
        <w:rPr>
          <w:rFonts w:ascii="Times New Roman" w:hAnsi="Times New Roman" w:cs="Times New Roman"/>
        </w:rPr>
        <w:t>MarkDuplicates</w:t>
      </w:r>
      <w:proofErr w:type="spellEnd"/>
      <w:r w:rsidRPr="000F7A1A">
        <w:rPr>
          <w:rFonts w:ascii="Times New Roman" w:hAnsi="Times New Roman" w:cs="Times New Roman"/>
        </w:rPr>
        <w:t xml:space="preserve"> was employed to identify and flag PCR duplicates.</w:t>
      </w:r>
    </w:p>
    <w:p w14:paraId="4A787F99" w14:textId="77777777" w:rsidR="000F7A1A" w:rsidRPr="000F7A1A" w:rsidRDefault="000F7A1A" w:rsidP="000F7A1A">
      <w:pPr>
        <w:numPr>
          <w:ilvl w:val="0"/>
          <w:numId w:val="8"/>
        </w:numPr>
        <w:rPr>
          <w:rFonts w:ascii="Times New Roman" w:hAnsi="Times New Roman" w:cs="Times New Roman"/>
        </w:rPr>
      </w:pPr>
      <w:r w:rsidRPr="000F7A1A">
        <w:rPr>
          <w:rFonts w:ascii="Times New Roman" w:hAnsi="Times New Roman" w:cs="Times New Roman"/>
        </w:rPr>
        <w:t>Filtering: Reads mapping to the mitochondrial genome (MT) and ribosomal RNA (rRNA) intervals were computationally removed to ensure accurate quantification of the nuclear transcriptome.</w:t>
      </w:r>
    </w:p>
    <w:p w14:paraId="0BC3F8D0" w14:textId="77777777" w:rsidR="000F7A1A" w:rsidRPr="000F7A1A" w:rsidRDefault="000F7A1A" w:rsidP="000F7A1A">
      <w:pPr>
        <w:rPr>
          <w:rFonts w:ascii="Times New Roman" w:hAnsi="Times New Roman" w:cs="Times New Roman"/>
          <w:b/>
          <w:bCs/>
        </w:rPr>
      </w:pPr>
      <w:r w:rsidRPr="000F7A1A">
        <w:rPr>
          <w:rFonts w:ascii="Times New Roman" w:hAnsi="Times New Roman" w:cs="Times New Roman"/>
        </w:rPr>
        <w:t xml:space="preserve">2.3 </w:t>
      </w:r>
      <w:r w:rsidRPr="000F7A1A">
        <w:rPr>
          <w:rFonts w:ascii="Times New Roman" w:hAnsi="Times New Roman" w:cs="Times New Roman"/>
          <w:b/>
          <w:bCs/>
        </w:rPr>
        <w:t>Quantification and Differential Expression</w:t>
      </w:r>
    </w:p>
    <w:p w14:paraId="1E46C2CA" w14:textId="5AECBFE1" w:rsidR="000F7A1A" w:rsidRPr="000F7A1A" w:rsidRDefault="000F7A1A" w:rsidP="009B28CC">
      <w:pPr>
        <w:spacing w:line="360" w:lineRule="auto"/>
        <w:rPr>
          <w:rFonts w:ascii="Times New Roman" w:hAnsi="Times New Roman" w:cs="Times New Roman"/>
        </w:rPr>
      </w:pPr>
      <w:r w:rsidRPr="000F7A1A">
        <w:rPr>
          <w:rFonts w:ascii="Times New Roman" w:hAnsi="Times New Roman" w:cs="Times New Roman"/>
        </w:rPr>
        <w:t xml:space="preserve">Gene-level counts were generated using </w:t>
      </w:r>
      <w:proofErr w:type="spellStart"/>
      <w:r w:rsidRPr="000F7A1A">
        <w:rPr>
          <w:rFonts w:ascii="Times New Roman" w:hAnsi="Times New Roman" w:cs="Times New Roman"/>
        </w:rPr>
        <w:t>featureCounts</w:t>
      </w:r>
      <w:proofErr w:type="spellEnd"/>
      <w:r w:rsidRPr="000F7A1A">
        <w:rPr>
          <w:rFonts w:ascii="Times New Roman" w:hAnsi="Times New Roman" w:cs="Times New Roman"/>
        </w:rPr>
        <w:t xml:space="preserve">, targeting the </w:t>
      </w:r>
      <w:r w:rsidRPr="000F7A1A">
        <w:rPr>
          <w:rFonts w:ascii="Times New Roman" w:hAnsi="Times New Roman" w:cs="Times New Roman"/>
          <w:i/>
          <w:iCs/>
        </w:rPr>
        <w:t>Homo_sapiens.GRCh38.110.gtf</w:t>
      </w:r>
      <w:r w:rsidRPr="000F7A1A">
        <w:rPr>
          <w:rFonts w:ascii="Times New Roman" w:hAnsi="Times New Roman" w:cs="Times New Roman"/>
        </w:rPr>
        <w:t xml:space="preserve"> annotation. Statistical analysis was performed in R using DESeq2. Significance was defined as </w:t>
      </w:r>
      <m:oMath>
        <m:sSub>
          <m:sSubPr>
            <m:ctrlPr>
              <w:rPr>
                <w:rFonts w:ascii="Cambria Math" w:hAnsi="Cambria Math" w:cs="Times New Roman"/>
              </w:rPr>
            </m:ctrlPr>
          </m:sSubPr>
          <m:e>
            <m:r>
              <w:rPr>
                <w:rFonts w:ascii="Cambria Math" w:hAnsi="Cambria Math" w:cs="Times New Roman"/>
              </w:rPr>
              <m:t>P</m:t>
            </m:r>
          </m:e>
          <m:sub>
            <m:r>
              <w:rPr>
                <w:rFonts w:ascii="Cambria Math" w:hAnsi="Cambria Math" w:cs="Times New Roman"/>
              </w:rPr>
              <m:t>adj</m:t>
            </m:r>
          </m:sub>
        </m:sSub>
        <m:r>
          <w:rPr>
            <w:rFonts w:ascii="Cambria Math" w:hAnsi="Cambria Math" w:cs="Times New Roman"/>
          </w:rPr>
          <m:t>&lt;0.05</m:t>
        </m:r>
      </m:oMath>
      <w:r w:rsidR="009B28CC">
        <w:rPr>
          <w:rFonts w:ascii="Times New Roman" w:hAnsi="Times New Roman" w:cs="Times New Roman"/>
        </w:rPr>
        <w:t xml:space="preserve"> </w:t>
      </w:r>
      <w:r w:rsidRPr="000F7A1A">
        <w:rPr>
          <w:rFonts w:ascii="Times New Roman" w:hAnsi="Times New Roman" w:cs="Times New Roman"/>
        </w:rPr>
        <w:t xml:space="preserve">and  </w:t>
      </w:r>
      <m:oMath>
        <m:r>
          <m:rPr>
            <m:sty m:val="p"/>
          </m:rPr>
          <w:rPr>
            <w:rFonts w:ascii="Cambria Math" w:hAnsi="Cambria Math" w:cs="Times New Roman"/>
          </w:rPr>
          <m:t>∣</m:t>
        </m:r>
        <m:sSub>
          <m:sSubPr>
            <m:ctrlPr>
              <w:rPr>
                <w:rFonts w:ascii="Cambria Math" w:hAnsi="Cambria Math" w:cs="Times New Roman"/>
              </w:rPr>
            </m:ctrlPr>
          </m:sSubPr>
          <m:e>
            <m:r>
              <m:rPr>
                <m:sty m:val="p"/>
              </m:rPr>
              <w:rPr>
                <w:rFonts w:ascii="Cambria Math" w:hAnsi="Cambria Math" w:cs="Times New Roman"/>
              </w:rPr>
              <m:t>log</m:t>
            </m:r>
            <m:r>
              <w:rPr>
                <w:rFonts w:ascii="Cambria Math" w:hAnsi="Cambria Math" w:cs="Times New Roman"/>
              </w:rPr>
              <m:t>⁡</m:t>
            </m:r>
          </m:e>
          <m:sub>
            <m:r>
              <w:rPr>
                <w:rFonts w:ascii="Cambria Math" w:hAnsi="Cambria Math" w:cs="Times New Roman"/>
              </w:rPr>
              <m:t>2</m:t>
            </m:r>
          </m:sub>
        </m:sSub>
        <m:r>
          <w:rPr>
            <w:rFonts w:ascii="Cambria Math" w:hAnsi="Cambria Math" w:cs="Times New Roman"/>
          </w:rPr>
          <m:t>(FoldChange)</m:t>
        </m:r>
        <m:r>
          <m:rPr>
            <m:sty m:val="p"/>
          </m:rPr>
          <w:rPr>
            <w:rFonts w:ascii="Cambria Math" w:hAnsi="Cambria Math" w:cs="Times New Roman"/>
          </w:rPr>
          <m:t>∣</m:t>
        </m:r>
        <m:r>
          <w:rPr>
            <w:rFonts w:ascii="Cambria Math" w:hAnsi="Cambria Math" w:cs="Times New Roman"/>
          </w:rPr>
          <m:t>&gt;1</m:t>
        </m:r>
      </m:oMath>
    </w:p>
    <w:p w14:paraId="1E089513" w14:textId="0DB72AFA" w:rsidR="000F7A1A" w:rsidRPr="000F7A1A" w:rsidRDefault="000F7A1A" w:rsidP="000F7A1A">
      <w:pPr>
        <w:rPr>
          <w:rFonts w:ascii="Times New Roman" w:hAnsi="Times New Roman" w:cs="Times New Roman"/>
        </w:rPr>
      </w:pPr>
      <w:r w:rsidRPr="000F7A1A">
        <w:rPr>
          <w:rFonts w:ascii="Times New Roman" w:hAnsi="Times New Roman" w:cs="Times New Roman"/>
        </w:rPr>
        <w:t xml:space="preserve">   </w:t>
      </w:r>
    </w:p>
    <w:p w14:paraId="150805F4" w14:textId="77777777" w:rsidR="009B28CC" w:rsidRDefault="009B28CC" w:rsidP="000F7A1A">
      <w:pPr>
        <w:rPr>
          <w:rFonts w:ascii="Times New Roman" w:hAnsi="Times New Roman" w:cs="Times New Roman"/>
        </w:rPr>
      </w:pPr>
    </w:p>
    <w:p w14:paraId="78E610B8" w14:textId="77777777" w:rsidR="009B28CC" w:rsidRDefault="009B28CC" w:rsidP="000F7A1A">
      <w:pPr>
        <w:rPr>
          <w:rFonts w:ascii="Times New Roman" w:hAnsi="Times New Roman" w:cs="Times New Roman"/>
        </w:rPr>
      </w:pPr>
    </w:p>
    <w:p w14:paraId="4A4BC5CE" w14:textId="6FD92825" w:rsidR="000F7A1A" w:rsidRPr="000F7A1A" w:rsidRDefault="000F7A1A" w:rsidP="000F7A1A">
      <w:pPr>
        <w:rPr>
          <w:rFonts w:ascii="Times New Roman" w:hAnsi="Times New Roman" w:cs="Times New Roman"/>
          <w:b/>
          <w:bCs/>
        </w:rPr>
      </w:pPr>
      <w:r w:rsidRPr="000F7A1A">
        <w:rPr>
          <w:rFonts w:ascii="Times New Roman" w:hAnsi="Times New Roman" w:cs="Times New Roman"/>
        </w:rPr>
        <w:t xml:space="preserve">2.4 </w:t>
      </w:r>
      <w:r w:rsidRPr="000F7A1A">
        <w:rPr>
          <w:rFonts w:ascii="Times New Roman" w:hAnsi="Times New Roman" w:cs="Times New Roman"/>
          <w:b/>
          <w:bCs/>
        </w:rPr>
        <w:t>Functional Enrichment and Network Analysis</w:t>
      </w:r>
    </w:p>
    <w:p w14:paraId="57F049C0" w14:textId="77777777" w:rsidR="000F7A1A" w:rsidRPr="000F7A1A" w:rsidRDefault="000F7A1A" w:rsidP="000F7A1A">
      <w:pPr>
        <w:numPr>
          <w:ilvl w:val="0"/>
          <w:numId w:val="9"/>
        </w:numPr>
        <w:rPr>
          <w:rFonts w:ascii="Times New Roman" w:hAnsi="Times New Roman" w:cs="Times New Roman"/>
        </w:rPr>
      </w:pPr>
      <w:r w:rsidRPr="000F7A1A">
        <w:rPr>
          <w:rFonts w:ascii="Times New Roman" w:hAnsi="Times New Roman" w:cs="Times New Roman"/>
        </w:rPr>
        <w:t>PPI Networks: Protein-Protein Interaction networks were constructed using the STRING database.</w:t>
      </w:r>
    </w:p>
    <w:p w14:paraId="384A2364" w14:textId="77777777" w:rsidR="000F7A1A" w:rsidRPr="000F7A1A" w:rsidRDefault="000F7A1A" w:rsidP="000F7A1A">
      <w:pPr>
        <w:numPr>
          <w:ilvl w:val="0"/>
          <w:numId w:val="9"/>
        </w:numPr>
        <w:rPr>
          <w:rFonts w:ascii="Times New Roman" w:hAnsi="Times New Roman" w:cs="Times New Roman"/>
        </w:rPr>
      </w:pPr>
      <w:r w:rsidRPr="000F7A1A">
        <w:rPr>
          <w:rFonts w:ascii="Times New Roman" w:hAnsi="Times New Roman" w:cs="Times New Roman"/>
        </w:rPr>
        <w:t>Pathway Enrichment: Gene Ontology (GO) Biological Process and KEGG pathway enrichment analyses were performed on significant Differentially Expressed Genes (DEGs).</w:t>
      </w:r>
    </w:p>
    <w:p w14:paraId="0F3C889A" w14:textId="77777777" w:rsidR="000F7A1A" w:rsidRPr="000F7A1A" w:rsidRDefault="000F7A1A" w:rsidP="000F7A1A">
      <w:pPr>
        <w:rPr>
          <w:rFonts w:ascii="Times New Roman" w:hAnsi="Times New Roman" w:cs="Times New Roman"/>
        </w:rPr>
      </w:pPr>
      <w:r w:rsidRPr="000F7A1A">
        <w:rPr>
          <w:rFonts w:ascii="Times New Roman" w:hAnsi="Times New Roman" w:cs="Times New Roman"/>
        </w:rPr>
        <w:t xml:space="preserve">2.5 </w:t>
      </w:r>
      <w:r w:rsidRPr="000F7A1A">
        <w:rPr>
          <w:rFonts w:ascii="Times New Roman" w:hAnsi="Times New Roman" w:cs="Times New Roman"/>
          <w:b/>
          <w:bCs/>
        </w:rPr>
        <w:t>Gene-miRNA Regulatory Network Construction</w:t>
      </w:r>
    </w:p>
    <w:p w14:paraId="63E5E74E" w14:textId="0FA451E1" w:rsidR="000F7A1A" w:rsidRPr="000F7A1A" w:rsidRDefault="000F7A1A" w:rsidP="000F7A1A">
      <w:pPr>
        <w:rPr>
          <w:rFonts w:ascii="Times New Roman" w:hAnsi="Times New Roman" w:cs="Times New Roman"/>
        </w:rPr>
      </w:pPr>
      <w:r w:rsidRPr="000F7A1A">
        <w:rPr>
          <w:rFonts w:ascii="Times New Roman" w:hAnsi="Times New Roman" w:cs="Times New Roman"/>
        </w:rPr>
        <w:t xml:space="preserve">To investigate upstream regulatory mechanisms, we constructed a Gene-miRNA interaction network. Significant DEGs were mapped to experimentally validated miRNA targets using </w:t>
      </w:r>
      <w:proofErr w:type="spellStart"/>
      <w:r w:rsidRPr="000F7A1A">
        <w:rPr>
          <w:rFonts w:ascii="Times New Roman" w:hAnsi="Times New Roman" w:cs="Times New Roman"/>
        </w:rPr>
        <w:t>miRTarBase</w:t>
      </w:r>
      <w:proofErr w:type="spellEnd"/>
      <w:r w:rsidRPr="000F7A1A">
        <w:rPr>
          <w:rFonts w:ascii="Times New Roman" w:hAnsi="Times New Roman" w:cs="Times New Roman"/>
        </w:rPr>
        <w:t xml:space="preserve"> v9.0, a comprehensive database of experimentally verified miRNA-target interactions (MTIs). Network topology was analyzed to identify "hub" genes (targets regulated by multiple miRNAs) and key regulatory miRNAs.</w:t>
      </w:r>
    </w:p>
    <w:p w14:paraId="05E77913" w14:textId="77777777" w:rsidR="000F7A1A" w:rsidRPr="000F7A1A" w:rsidRDefault="000F7A1A" w:rsidP="000F7A1A">
      <w:pPr>
        <w:rPr>
          <w:rFonts w:ascii="Times New Roman" w:hAnsi="Times New Roman" w:cs="Times New Roman"/>
        </w:rPr>
      </w:pPr>
      <w:r w:rsidRPr="000F7A1A">
        <w:rPr>
          <w:rFonts w:ascii="Times New Roman" w:hAnsi="Times New Roman" w:cs="Times New Roman"/>
        </w:rPr>
        <w:t xml:space="preserve">3. </w:t>
      </w:r>
      <w:r w:rsidRPr="000F7A1A">
        <w:rPr>
          <w:rFonts w:ascii="Times New Roman" w:hAnsi="Times New Roman" w:cs="Times New Roman"/>
          <w:b/>
          <w:bCs/>
        </w:rPr>
        <w:t>Results</w:t>
      </w:r>
    </w:p>
    <w:p w14:paraId="1C1C8A4C" w14:textId="77777777" w:rsidR="000F7A1A" w:rsidRPr="000F7A1A" w:rsidRDefault="000F7A1A" w:rsidP="000F7A1A">
      <w:pPr>
        <w:rPr>
          <w:rFonts w:ascii="Times New Roman" w:hAnsi="Times New Roman" w:cs="Times New Roman"/>
          <w:b/>
          <w:bCs/>
        </w:rPr>
      </w:pPr>
      <w:r w:rsidRPr="000F7A1A">
        <w:rPr>
          <w:rFonts w:ascii="Times New Roman" w:hAnsi="Times New Roman" w:cs="Times New Roman"/>
        </w:rPr>
        <w:t xml:space="preserve">3.1 </w:t>
      </w:r>
      <w:r w:rsidRPr="000F7A1A">
        <w:rPr>
          <w:rFonts w:ascii="Times New Roman" w:hAnsi="Times New Roman" w:cs="Times New Roman"/>
          <w:b/>
          <w:bCs/>
        </w:rPr>
        <w:t>Sequencing Metrics and Data Integrity</w:t>
      </w:r>
    </w:p>
    <w:p w14:paraId="0DF24886" w14:textId="77777777" w:rsidR="000F7A1A" w:rsidRDefault="000F7A1A" w:rsidP="000F7A1A">
      <w:pPr>
        <w:rPr>
          <w:rFonts w:ascii="Times New Roman" w:hAnsi="Times New Roman" w:cs="Times New Roman"/>
        </w:rPr>
      </w:pPr>
      <w:r w:rsidRPr="000F7A1A">
        <w:rPr>
          <w:rFonts w:ascii="Times New Roman" w:hAnsi="Times New Roman" w:cs="Times New Roman"/>
        </w:rPr>
        <w:t>The bioinformatics pipeline yielded robust data quality. Following the removal of PCR duplicates (mean duplication rate ~38%) and contaminants, we retained an average of 8.03 million clean, unique nuclear reads per sample. Principal Component Analysis (PCA) confirmed that biological variance exceeded technical noise.</w:t>
      </w:r>
    </w:p>
    <w:p w14:paraId="51B99735" w14:textId="5D740850" w:rsidR="0043262A" w:rsidRDefault="0043262A" w:rsidP="000F7A1A">
      <w:pPr>
        <w:rPr>
          <w:rFonts w:ascii="Times New Roman" w:hAnsi="Times New Roman" w:cs="Times New Roman"/>
        </w:rPr>
      </w:pPr>
      <w:r>
        <w:rPr>
          <w:rFonts w:ascii="Times New Roman" w:hAnsi="Times New Roman" w:cs="Times New Roman"/>
          <w:noProof/>
        </w:rPr>
        <w:lastRenderedPageBreak/>
        <w:drawing>
          <wp:inline distT="0" distB="0" distL="0" distR="0" wp14:anchorId="63880F41" wp14:editId="53151138">
            <wp:extent cx="5939155" cy="4241165"/>
            <wp:effectExtent l="0" t="0" r="4445" b="6985"/>
            <wp:docPr id="47753262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1"/>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5939155" cy="4241165"/>
                    </a:xfrm>
                    <a:prstGeom prst="rect">
                      <a:avLst/>
                    </a:prstGeom>
                    <a:noFill/>
                    <a:ln>
                      <a:noFill/>
                    </a:ln>
                  </pic:spPr>
                </pic:pic>
              </a:graphicData>
            </a:graphic>
          </wp:inline>
        </w:drawing>
      </w:r>
    </w:p>
    <w:p w14:paraId="293A04B5" w14:textId="1A6CF877" w:rsidR="0043262A" w:rsidRPr="000F7A1A" w:rsidRDefault="0043262A" w:rsidP="005842FA">
      <w:pPr>
        <w:rPr>
          <w:rFonts w:ascii="Times New Roman" w:hAnsi="Times New Roman" w:cs="Times New Roman"/>
        </w:rPr>
      </w:pPr>
      <w:r>
        <w:rPr>
          <w:rFonts w:ascii="Times New Roman" w:hAnsi="Times New Roman" w:cs="Times New Roman"/>
        </w:rPr>
        <w:t xml:space="preserve">Figure 1: </w:t>
      </w:r>
      <w:r w:rsidR="005842FA" w:rsidRPr="005842FA">
        <w:rPr>
          <w:rFonts w:ascii="Times New Roman" w:hAnsi="Times New Roman" w:cs="Times New Roman"/>
          <w:b/>
          <w:bCs/>
        </w:rPr>
        <w:t>Volcano plot</w:t>
      </w:r>
      <w:r w:rsidR="005842FA" w:rsidRPr="005842FA">
        <w:rPr>
          <w:rFonts w:ascii="Times New Roman" w:hAnsi="Times New Roman" w:cs="Times New Roman"/>
        </w:rPr>
        <w:t> displaying the distribution of differentially expressed genes (DEGs) between COVID-19 patients and healthy controls. The x-axis represents the</w:t>
      </w:r>
      <w:r w:rsidR="005842FA">
        <w:rPr>
          <w:rFonts w:ascii="Times New Roman" w:hAnsi="Times New Roman" w:cs="Times New Roman"/>
        </w:rPr>
        <w:t xml:space="preserve"> </w:t>
      </w:r>
      <m:oMath>
        <m:sSub>
          <m:sSubPr>
            <m:ctrlPr>
              <w:rPr>
                <w:rFonts w:ascii="Cambria Math" w:hAnsi="Cambria Math" w:cs="Times New Roman"/>
              </w:rPr>
            </m:ctrlPr>
          </m:sSubPr>
          <m:e>
            <m:r>
              <m:rPr>
                <m:sty m:val="p"/>
              </m:rPr>
              <w:rPr>
                <w:rFonts w:ascii="Cambria Math" w:hAnsi="Cambria Math" w:cs="Times New Roman"/>
              </w:rPr>
              <m:t>log</m:t>
            </m:r>
            <m:r>
              <w:rPr>
                <w:rFonts w:ascii="Cambria Math" w:hAnsi="Cambria Math" w:cs="Times New Roman"/>
              </w:rPr>
              <m:t>⁡</m:t>
            </m:r>
          </m:e>
          <m:sub>
            <m:r>
              <w:rPr>
                <w:rFonts w:ascii="Cambria Math" w:hAnsi="Cambria Math" w:cs="Times New Roman"/>
              </w:rPr>
              <m:t>2</m:t>
            </m:r>
          </m:sub>
        </m:sSub>
      </m:oMath>
      <w:r w:rsidR="005842FA">
        <w:rPr>
          <w:rFonts w:ascii="Times New Roman" w:hAnsi="Times New Roman" w:cs="Times New Roman"/>
        </w:rPr>
        <w:t xml:space="preserve"> </w:t>
      </w:r>
      <w:r w:rsidR="005842FA" w:rsidRPr="005842FA">
        <w:rPr>
          <w:rFonts w:ascii="Times New Roman" w:hAnsi="Times New Roman" w:cs="Times New Roman"/>
        </w:rPr>
        <w:t>Fold Change, and the y-axis represents statistical significance (</w:t>
      </w:r>
      <m:oMath>
        <m:r>
          <w:rPr>
            <w:rFonts w:ascii="Cambria Math" w:hAnsi="Cambria Math" w:cs="Times New Roman"/>
          </w:rPr>
          <m:t>-</m:t>
        </m:r>
        <m:sSub>
          <m:sSubPr>
            <m:ctrlPr>
              <w:rPr>
                <w:rFonts w:ascii="Cambria Math" w:hAnsi="Cambria Math" w:cs="Times New Roman"/>
              </w:rPr>
            </m:ctrlPr>
          </m:sSubPr>
          <m:e>
            <m:r>
              <m:rPr>
                <m:sty m:val="p"/>
              </m:rPr>
              <w:rPr>
                <w:rFonts w:ascii="Cambria Math" w:hAnsi="Cambria Math" w:cs="Times New Roman"/>
              </w:rPr>
              <m:t>log</m:t>
            </m:r>
            <m:r>
              <w:rPr>
                <w:rFonts w:ascii="Cambria Math" w:hAnsi="Cambria Math" w:cs="Times New Roman"/>
              </w:rPr>
              <m:t>⁡</m:t>
            </m:r>
          </m:e>
          <m:sub>
            <m:r>
              <w:rPr>
                <w:rFonts w:ascii="Cambria Math" w:hAnsi="Cambria Math" w:cs="Times New Roman"/>
              </w:rPr>
              <m:t>10</m:t>
            </m:r>
          </m:sub>
        </m:sSub>
      </m:oMath>
      <w:r w:rsidR="005842FA">
        <w:rPr>
          <w:rFonts w:ascii="Times New Roman" w:hAnsi="Times New Roman" w:cs="Times New Roman"/>
        </w:rPr>
        <w:t xml:space="preserve"> </w:t>
      </w:r>
      <w:r w:rsidR="005842FA" w:rsidRPr="005842FA">
        <w:rPr>
          <w:rFonts w:ascii="Times New Roman" w:hAnsi="Times New Roman" w:cs="Times New Roman"/>
        </w:rPr>
        <w:t>adjusted p-value). Red points indicate significantly upregulated genes (</w:t>
      </w:r>
      <w:r w:rsidR="005842FA">
        <w:rPr>
          <w:rFonts w:ascii="Times New Roman" w:hAnsi="Times New Roman" w:cs="Times New Roman"/>
        </w:rPr>
        <w:t xml:space="preserve"> </w:t>
      </w:r>
      <m:oMath>
        <m:sSub>
          <m:sSubPr>
            <m:ctrlPr>
              <w:rPr>
                <w:rFonts w:ascii="Cambria Math" w:hAnsi="Cambria Math" w:cs="Times New Roman"/>
              </w:rPr>
            </m:ctrlPr>
          </m:sSubPr>
          <m:e>
            <m:r>
              <w:rPr>
                <w:rFonts w:ascii="Cambria Math" w:hAnsi="Cambria Math" w:cs="Times New Roman"/>
              </w:rPr>
              <m:t>P</m:t>
            </m:r>
          </m:e>
          <m:sub>
            <m:r>
              <w:rPr>
                <w:rFonts w:ascii="Cambria Math" w:hAnsi="Cambria Math" w:cs="Times New Roman"/>
              </w:rPr>
              <m:t>adj</m:t>
            </m:r>
          </m:sub>
        </m:sSub>
        <m:r>
          <w:rPr>
            <w:rFonts w:ascii="Cambria Math" w:hAnsi="Cambria Math" w:cs="Times New Roman"/>
          </w:rPr>
          <m:t>&lt;0.05,</m:t>
        </m:r>
        <m:sSub>
          <m:sSubPr>
            <m:ctrlPr>
              <w:rPr>
                <w:rFonts w:ascii="Cambria Math" w:hAnsi="Cambria Math" w:cs="Times New Roman"/>
              </w:rPr>
            </m:ctrlPr>
          </m:sSubPr>
          <m:e>
            <m:r>
              <m:rPr>
                <m:sty m:val="p"/>
              </m:rPr>
              <w:rPr>
                <w:rFonts w:ascii="Cambria Math" w:hAnsi="Cambria Math" w:cs="Times New Roman"/>
              </w:rPr>
              <m:t>log</m:t>
            </m:r>
            <m:r>
              <w:rPr>
                <w:rFonts w:ascii="Cambria Math" w:hAnsi="Cambria Math" w:cs="Times New Roman"/>
              </w:rPr>
              <m:t>⁡</m:t>
            </m:r>
          </m:e>
          <m:sub>
            <m:r>
              <w:rPr>
                <w:rFonts w:ascii="Cambria Math" w:hAnsi="Cambria Math" w:cs="Times New Roman"/>
              </w:rPr>
              <m:t>2</m:t>
            </m:r>
          </m:sub>
        </m:sSub>
        <m:r>
          <w:rPr>
            <w:rFonts w:ascii="Cambria Math" w:hAnsi="Cambria Math" w:cs="Times New Roman"/>
          </w:rPr>
          <m:t>FC&gt;1</m:t>
        </m:r>
      </m:oMath>
      <w:r w:rsidR="005842FA" w:rsidRPr="005842FA">
        <w:rPr>
          <w:rFonts w:ascii="Times New Roman" w:hAnsi="Times New Roman" w:cs="Times New Roman"/>
        </w:rPr>
        <w:t>), while </w:t>
      </w:r>
      <w:r w:rsidR="005842FA" w:rsidRPr="005842FA">
        <w:rPr>
          <w:rFonts w:ascii="Times New Roman" w:hAnsi="Times New Roman" w:cs="Times New Roman"/>
          <w:b/>
          <w:bCs/>
        </w:rPr>
        <w:t>blue points</w:t>
      </w:r>
      <w:r w:rsidR="005842FA" w:rsidRPr="005842FA">
        <w:rPr>
          <w:rFonts w:ascii="Times New Roman" w:hAnsi="Times New Roman" w:cs="Times New Roman"/>
        </w:rPr>
        <w:t xml:space="preserve"> indicate downregulated genes. Grey points represent non-significant genes. </w:t>
      </w:r>
    </w:p>
    <w:p w14:paraId="22D4F806" w14:textId="77777777" w:rsidR="000F7A1A" w:rsidRPr="000F7A1A" w:rsidRDefault="000F7A1A" w:rsidP="000F7A1A">
      <w:pPr>
        <w:rPr>
          <w:rFonts w:ascii="Times New Roman" w:hAnsi="Times New Roman" w:cs="Times New Roman"/>
          <w:b/>
          <w:bCs/>
        </w:rPr>
      </w:pPr>
      <w:r w:rsidRPr="000F7A1A">
        <w:rPr>
          <w:rFonts w:ascii="Times New Roman" w:hAnsi="Times New Roman" w:cs="Times New Roman"/>
        </w:rPr>
        <w:t xml:space="preserve">3.2 </w:t>
      </w:r>
      <w:r w:rsidRPr="000F7A1A">
        <w:rPr>
          <w:rFonts w:ascii="Times New Roman" w:hAnsi="Times New Roman" w:cs="Times New Roman"/>
          <w:b/>
          <w:bCs/>
        </w:rPr>
        <w:t>The Transcriptional Landscape of Infection</w:t>
      </w:r>
    </w:p>
    <w:p w14:paraId="5F3BD29F" w14:textId="77777777" w:rsidR="000F7A1A" w:rsidRPr="000F7A1A" w:rsidRDefault="000F7A1A" w:rsidP="000F7A1A">
      <w:pPr>
        <w:rPr>
          <w:rFonts w:ascii="Times New Roman" w:hAnsi="Times New Roman" w:cs="Times New Roman"/>
        </w:rPr>
      </w:pPr>
      <w:r w:rsidRPr="000F7A1A">
        <w:rPr>
          <w:rFonts w:ascii="Times New Roman" w:hAnsi="Times New Roman" w:cs="Times New Roman"/>
        </w:rPr>
        <w:t>Differential Expression (Volcano Plot): Analysis identified a dramatic skew toward upregulation in COVID-19 samples (Figure 1).</w:t>
      </w:r>
    </w:p>
    <w:p w14:paraId="11FD1B37" w14:textId="3E8CE3D9" w:rsidR="000F7A1A" w:rsidRPr="000F7A1A" w:rsidRDefault="000F7A1A" w:rsidP="000F7A1A">
      <w:pPr>
        <w:numPr>
          <w:ilvl w:val="0"/>
          <w:numId w:val="10"/>
        </w:numPr>
        <w:rPr>
          <w:rFonts w:ascii="Times New Roman" w:hAnsi="Times New Roman" w:cs="Times New Roman"/>
        </w:rPr>
      </w:pPr>
      <w:r w:rsidRPr="000F7A1A">
        <w:rPr>
          <w:rFonts w:ascii="Times New Roman" w:hAnsi="Times New Roman" w:cs="Times New Roman"/>
        </w:rPr>
        <w:t xml:space="preserve">Cell Cycle Markers: The most significantly upregulated genes were canonical markers of mitosis, including </w:t>
      </w:r>
      <w:r w:rsidRPr="000F7A1A">
        <w:rPr>
          <w:rFonts w:ascii="Times New Roman" w:hAnsi="Times New Roman" w:cs="Times New Roman"/>
          <w:i/>
          <w:iCs/>
        </w:rPr>
        <w:t>MKI67</w:t>
      </w:r>
      <w:r w:rsidRPr="000F7A1A">
        <w:rPr>
          <w:rFonts w:ascii="Times New Roman" w:hAnsi="Times New Roman" w:cs="Times New Roman"/>
        </w:rPr>
        <w:t xml:space="preserve"> (Ki-67), </w:t>
      </w:r>
      <w:r w:rsidRPr="000F7A1A">
        <w:rPr>
          <w:rFonts w:ascii="Times New Roman" w:hAnsi="Times New Roman" w:cs="Times New Roman"/>
          <w:i/>
          <w:iCs/>
        </w:rPr>
        <w:t>TOP2A</w:t>
      </w:r>
      <w:r w:rsidRPr="000F7A1A">
        <w:rPr>
          <w:rFonts w:ascii="Times New Roman" w:hAnsi="Times New Roman" w:cs="Times New Roman"/>
        </w:rPr>
        <w:t xml:space="preserve"> (Topoisomerase II </w:t>
      </w:r>
      <m:oMath>
        <m:r>
          <w:rPr>
            <w:rFonts w:ascii="Cambria Math" w:hAnsi="Cambria Math" w:cs="Times New Roman"/>
          </w:rPr>
          <m:t>α</m:t>
        </m:r>
      </m:oMath>
      <w:r w:rsidRPr="000F7A1A">
        <w:rPr>
          <w:rFonts w:ascii="Times New Roman" w:hAnsi="Times New Roman" w:cs="Times New Roman"/>
        </w:rPr>
        <w:t xml:space="preserve">), and </w:t>
      </w:r>
      <w:r w:rsidRPr="000F7A1A">
        <w:rPr>
          <w:rFonts w:ascii="Times New Roman" w:hAnsi="Times New Roman" w:cs="Times New Roman"/>
          <w:i/>
          <w:iCs/>
        </w:rPr>
        <w:t>CCNA2</w:t>
      </w:r>
      <w:r w:rsidRPr="000F7A1A">
        <w:rPr>
          <w:rFonts w:ascii="Times New Roman" w:hAnsi="Times New Roman" w:cs="Times New Roman"/>
        </w:rPr>
        <w:t>.</w:t>
      </w:r>
    </w:p>
    <w:p w14:paraId="3609CC5F" w14:textId="77777777" w:rsidR="000F7A1A" w:rsidRPr="000F7A1A" w:rsidRDefault="000F7A1A" w:rsidP="000F7A1A">
      <w:pPr>
        <w:numPr>
          <w:ilvl w:val="0"/>
          <w:numId w:val="10"/>
        </w:numPr>
        <w:rPr>
          <w:rFonts w:ascii="Times New Roman" w:hAnsi="Times New Roman" w:cs="Times New Roman"/>
        </w:rPr>
      </w:pPr>
      <w:r w:rsidRPr="000F7A1A">
        <w:rPr>
          <w:rFonts w:ascii="Times New Roman" w:hAnsi="Times New Roman" w:cs="Times New Roman"/>
        </w:rPr>
        <w:t>Immunoglobulins: A distinct cluster of immunoglobulin genes (</w:t>
      </w:r>
      <w:r w:rsidRPr="000F7A1A">
        <w:rPr>
          <w:rFonts w:ascii="Times New Roman" w:hAnsi="Times New Roman" w:cs="Times New Roman"/>
          <w:i/>
          <w:iCs/>
        </w:rPr>
        <w:t>IGHV1-24, IGLV9-49</w:t>
      </w:r>
      <w:r w:rsidRPr="000F7A1A">
        <w:rPr>
          <w:rFonts w:ascii="Times New Roman" w:hAnsi="Times New Roman" w:cs="Times New Roman"/>
        </w:rPr>
        <w:t>) was highly upregulated, providing transcriptomic evidence of B-cell activation.</w:t>
      </w:r>
    </w:p>
    <w:p w14:paraId="30F2259D" w14:textId="77777777" w:rsidR="000F7A1A" w:rsidRDefault="000F7A1A" w:rsidP="000F7A1A">
      <w:pPr>
        <w:rPr>
          <w:rFonts w:ascii="Times New Roman" w:hAnsi="Times New Roman" w:cs="Times New Roman"/>
        </w:rPr>
      </w:pPr>
      <w:r w:rsidRPr="000F7A1A">
        <w:rPr>
          <w:rFonts w:ascii="Times New Roman" w:hAnsi="Times New Roman" w:cs="Times New Roman"/>
        </w:rPr>
        <w:t>Hierarchical Clustering: Unsupervised clustering (Figure 2) revealed a cohesive "proliferative block" (</w:t>
      </w:r>
      <w:r w:rsidRPr="000F7A1A">
        <w:rPr>
          <w:rFonts w:ascii="Times New Roman" w:hAnsi="Times New Roman" w:cs="Times New Roman"/>
          <w:i/>
          <w:iCs/>
        </w:rPr>
        <w:t>MELK, CDK1, RRM2</w:t>
      </w:r>
      <w:r w:rsidRPr="000F7A1A">
        <w:rPr>
          <w:rFonts w:ascii="Times New Roman" w:hAnsi="Times New Roman" w:cs="Times New Roman"/>
        </w:rPr>
        <w:t>) universally upregulated in COVID-19 samples.</w:t>
      </w:r>
    </w:p>
    <w:p w14:paraId="6F6C3599" w14:textId="77777777" w:rsidR="00C0439E" w:rsidRDefault="00C0439E" w:rsidP="000F7A1A">
      <w:pPr>
        <w:rPr>
          <w:rFonts w:ascii="Times New Roman" w:hAnsi="Times New Roman" w:cs="Times New Roman"/>
        </w:rPr>
      </w:pPr>
    </w:p>
    <w:p w14:paraId="31D0DC91" w14:textId="481D24D9" w:rsidR="00C0439E" w:rsidRDefault="00C0439E" w:rsidP="000F7A1A">
      <w:pPr>
        <w:rPr>
          <w:rFonts w:ascii="Times New Roman" w:hAnsi="Times New Roman" w:cs="Times New Roman"/>
        </w:rPr>
      </w:pPr>
      <w:r w:rsidRPr="00C0439E">
        <w:rPr>
          <w:rFonts w:ascii="Times New Roman" w:hAnsi="Times New Roman" w:cs="Times New Roman"/>
        </w:rPr>
        <w:lastRenderedPageBreak/>
        <w:drawing>
          <wp:inline distT="0" distB="0" distL="0" distR="0" wp14:anchorId="211B7033" wp14:editId="7A5C35F1">
            <wp:extent cx="5943600" cy="3943350"/>
            <wp:effectExtent l="0" t="0" r="0" b="0"/>
            <wp:docPr id="1080531596" name="Picture 1" descr="A chart with different colored squar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0531596" name="Picture 1" descr="A chart with different colored squares&#10;&#10;AI-generated content may be incorrect."/>
                    <pic:cNvPicPr/>
                  </pic:nvPicPr>
                  <pic:blipFill>
                    <a:blip r:embed="rId6"/>
                    <a:stretch>
                      <a:fillRect/>
                    </a:stretch>
                  </pic:blipFill>
                  <pic:spPr>
                    <a:xfrm>
                      <a:off x="0" y="0"/>
                      <a:ext cx="5943600" cy="3943350"/>
                    </a:xfrm>
                    <a:prstGeom prst="rect">
                      <a:avLst/>
                    </a:prstGeom>
                  </pic:spPr>
                </pic:pic>
              </a:graphicData>
            </a:graphic>
          </wp:inline>
        </w:drawing>
      </w:r>
    </w:p>
    <w:p w14:paraId="76E16357" w14:textId="485D9400" w:rsidR="00C0439E" w:rsidRPr="000F7A1A" w:rsidRDefault="00F22943" w:rsidP="0039783F">
      <w:pPr>
        <w:jc w:val="both"/>
        <w:rPr>
          <w:rFonts w:ascii="Times New Roman" w:hAnsi="Times New Roman" w:cs="Times New Roman"/>
          <w:b/>
          <w:bCs/>
        </w:rPr>
      </w:pPr>
      <w:r w:rsidRPr="00F22943">
        <w:rPr>
          <w:rFonts w:ascii="Times New Roman" w:hAnsi="Times New Roman" w:cs="Times New Roman"/>
          <w:b/>
          <w:bCs/>
        </w:rPr>
        <w:t xml:space="preserve">Figure 2. </w:t>
      </w:r>
      <w:r w:rsidRPr="00F22943">
        <w:rPr>
          <w:rFonts w:ascii="Times New Roman" w:hAnsi="Times New Roman" w:cs="Times New Roman"/>
        </w:rPr>
        <w:t>Hierarchical clustering of the top 50 differentially expressed genes.</w:t>
      </w:r>
      <w:r>
        <w:rPr>
          <w:rFonts w:ascii="Times New Roman" w:hAnsi="Times New Roman" w:cs="Times New Roman"/>
          <w:b/>
          <w:bCs/>
        </w:rPr>
        <w:t xml:space="preserve"> </w:t>
      </w:r>
      <w:r w:rsidRPr="00F22943">
        <w:rPr>
          <w:rFonts w:ascii="Times New Roman" w:hAnsi="Times New Roman" w:cs="Times New Roman"/>
        </w:rPr>
        <w:t>Heatmap </w:t>
      </w:r>
      <w:r w:rsidRPr="00F22943">
        <w:rPr>
          <w:rFonts w:ascii="Times New Roman" w:hAnsi="Times New Roman" w:cs="Times New Roman"/>
        </w:rPr>
        <w:t>illustrates</w:t>
      </w:r>
      <w:r w:rsidRPr="00F22943">
        <w:rPr>
          <w:rFonts w:ascii="Times New Roman" w:hAnsi="Times New Roman" w:cs="Times New Roman"/>
        </w:rPr>
        <w:t xml:space="preserve"> the expression profiles of the top 50 DEGs (ranked by adjusted p-value) across all 20 samples. Gene expression values are Variance Stabilizing Transformed (VST) and scaled by row (z-score); red indicates high relative expression, and blue indicates low relative expression. Columns are annotated by clinical condition (Pink: COVID-19, Cyan: Control). The dendrogram at the top confirms perfect unsupervised segregation of the two cohorts, while the row dendrogram reveals a cohesive block of upregulated proliferative genes in the COVID-19 group.</w:t>
      </w:r>
    </w:p>
    <w:p w14:paraId="5499CE5A" w14:textId="77777777" w:rsidR="000F7A1A" w:rsidRPr="000F7A1A" w:rsidRDefault="000F7A1A" w:rsidP="000F7A1A">
      <w:pPr>
        <w:rPr>
          <w:rFonts w:ascii="Times New Roman" w:hAnsi="Times New Roman" w:cs="Times New Roman"/>
        </w:rPr>
      </w:pPr>
      <w:r w:rsidRPr="000F7A1A">
        <w:rPr>
          <w:rFonts w:ascii="Times New Roman" w:hAnsi="Times New Roman" w:cs="Times New Roman"/>
        </w:rPr>
        <w:t xml:space="preserve">3.3 </w:t>
      </w:r>
      <w:r w:rsidRPr="000F7A1A">
        <w:rPr>
          <w:rFonts w:ascii="Times New Roman" w:hAnsi="Times New Roman" w:cs="Times New Roman"/>
          <w:b/>
          <w:bCs/>
        </w:rPr>
        <w:t>Functional Pathway Enrichment (KEGG &amp; GO)</w:t>
      </w:r>
    </w:p>
    <w:p w14:paraId="09D23C3C" w14:textId="7A0A01F7" w:rsidR="000F7A1A" w:rsidRPr="000F7A1A" w:rsidRDefault="000F7A1A" w:rsidP="000F7A1A">
      <w:pPr>
        <w:numPr>
          <w:ilvl w:val="0"/>
          <w:numId w:val="11"/>
        </w:numPr>
        <w:rPr>
          <w:rFonts w:ascii="Times New Roman" w:hAnsi="Times New Roman" w:cs="Times New Roman"/>
        </w:rPr>
      </w:pPr>
      <w:r w:rsidRPr="000F7A1A">
        <w:rPr>
          <w:rFonts w:ascii="Times New Roman" w:hAnsi="Times New Roman" w:cs="Times New Roman"/>
        </w:rPr>
        <w:t xml:space="preserve">Synaptic Signaling (GO): Unexpectedly, the top enriched terms were related to "Synaptic signaling" (FDR </w:t>
      </w:r>
      <m:oMath>
        <m:r>
          <w:rPr>
            <w:rFonts w:ascii="Cambria Math" w:hAnsi="Cambria Math" w:cs="Times New Roman"/>
          </w:rPr>
          <m:t>1.0</m:t>
        </m:r>
        <m:sSup>
          <m:sSupPr>
            <m:ctrlPr>
              <w:rPr>
                <w:rFonts w:ascii="Cambria Math" w:hAnsi="Cambria Math" w:cs="Times New Roman"/>
              </w:rPr>
            </m:ctrlPr>
          </m:sSupPr>
          <m:e>
            <m:r>
              <w:rPr>
                <w:rFonts w:ascii="Cambria Math" w:hAnsi="Cambria Math" w:cs="Times New Roman"/>
              </w:rPr>
              <m:t>e</m:t>
            </m:r>
          </m:e>
          <m:sup>
            <m:r>
              <w:rPr>
                <w:rFonts w:ascii="Cambria Math" w:hAnsi="Cambria Math" w:cs="Times New Roman"/>
              </w:rPr>
              <m:t>-17</m:t>
            </m:r>
          </m:sup>
        </m:sSup>
      </m:oMath>
      <w:r w:rsidRPr="000F7A1A">
        <w:rPr>
          <w:rFonts w:ascii="Times New Roman" w:hAnsi="Times New Roman" w:cs="Times New Roman"/>
        </w:rPr>
        <w:t>) and "Neuroactive ligand-receptor interaction." In PBMCs, this reflects the molecular machinery of the Immunological Synapse (e.g., adhesion molecules, ion channels).</w:t>
      </w:r>
    </w:p>
    <w:p w14:paraId="09AE91CE" w14:textId="52800A1C" w:rsidR="000F7A1A" w:rsidRDefault="000F7A1A" w:rsidP="000F7A1A">
      <w:pPr>
        <w:numPr>
          <w:ilvl w:val="0"/>
          <w:numId w:val="11"/>
        </w:numPr>
        <w:rPr>
          <w:rFonts w:ascii="Times New Roman" w:hAnsi="Times New Roman" w:cs="Times New Roman"/>
        </w:rPr>
      </w:pPr>
      <w:r w:rsidRPr="000F7A1A">
        <w:rPr>
          <w:rFonts w:ascii="Times New Roman" w:hAnsi="Times New Roman" w:cs="Times New Roman"/>
        </w:rPr>
        <w:t>ECM-Receptor Interaction (KEGG): This was the most significant KEGG pathway (FDR</w:t>
      </w:r>
      <w:r w:rsidR="009B28CC">
        <w:rPr>
          <w:rFonts w:ascii="Times New Roman" w:hAnsi="Times New Roman" w:cs="Times New Roman"/>
        </w:rPr>
        <w:t xml:space="preserve"> </w:t>
      </w:r>
      <m:oMath>
        <m:r>
          <w:rPr>
            <w:rFonts w:ascii="Cambria Math" w:hAnsi="Cambria Math" w:cs="Times New Roman"/>
          </w:rPr>
          <m:t>1.8</m:t>
        </m:r>
        <m:sSup>
          <m:sSupPr>
            <m:ctrlPr>
              <w:rPr>
                <w:rFonts w:ascii="Cambria Math" w:hAnsi="Cambria Math" w:cs="Times New Roman"/>
              </w:rPr>
            </m:ctrlPr>
          </m:sSupPr>
          <m:e>
            <m:r>
              <w:rPr>
                <w:rFonts w:ascii="Cambria Math" w:hAnsi="Cambria Math" w:cs="Times New Roman"/>
              </w:rPr>
              <m:t>e</m:t>
            </m:r>
          </m:e>
          <m:sup>
            <m:r>
              <w:rPr>
                <w:rFonts w:ascii="Cambria Math" w:hAnsi="Cambria Math" w:cs="Times New Roman"/>
              </w:rPr>
              <m:t>-08</m:t>
            </m:r>
          </m:sup>
        </m:sSup>
      </m:oMath>
      <w:r w:rsidRPr="000F7A1A">
        <w:rPr>
          <w:rFonts w:ascii="Times New Roman" w:hAnsi="Times New Roman" w:cs="Times New Roman"/>
        </w:rPr>
        <w:t>), indicating modulation of the interface between immune cells and the extracellular matrix, a prerequisite for extravasation.</w:t>
      </w:r>
    </w:p>
    <w:p w14:paraId="29FEFBF6" w14:textId="77777777" w:rsidR="0039783F" w:rsidRDefault="0039783F" w:rsidP="0039783F">
      <w:pPr>
        <w:rPr>
          <w:rFonts w:ascii="Times New Roman" w:hAnsi="Times New Roman" w:cs="Times New Roman"/>
        </w:rPr>
      </w:pPr>
    </w:p>
    <w:p w14:paraId="589A0A67" w14:textId="77777777" w:rsidR="0039783F" w:rsidRPr="000F7A1A" w:rsidRDefault="0039783F" w:rsidP="0039783F">
      <w:pPr>
        <w:rPr>
          <w:rFonts w:ascii="Times New Roman" w:hAnsi="Times New Roman" w:cs="Times New Roman"/>
        </w:rPr>
      </w:pPr>
    </w:p>
    <w:p w14:paraId="68646AB0" w14:textId="74EE9C70" w:rsidR="0039783F" w:rsidRDefault="0039783F" w:rsidP="000F7A1A">
      <w:pPr>
        <w:rPr>
          <w:rFonts w:ascii="Times New Roman" w:hAnsi="Times New Roman" w:cs="Times New Roman"/>
        </w:rPr>
      </w:pPr>
      <w:r>
        <w:rPr>
          <w:rFonts w:ascii="Times New Roman" w:hAnsi="Times New Roman" w:cs="Times New Roman"/>
          <w:noProof/>
        </w:rPr>
        <w:lastRenderedPageBreak/>
        <w:drawing>
          <wp:inline distT="0" distB="0" distL="0" distR="0" wp14:anchorId="1692FECA" wp14:editId="03B772E8">
            <wp:extent cx="5922010" cy="3187065"/>
            <wp:effectExtent l="0" t="0" r="2540" b="0"/>
            <wp:docPr id="604810707"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2"/>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5922010" cy="3187065"/>
                    </a:xfrm>
                    <a:prstGeom prst="rect">
                      <a:avLst/>
                    </a:prstGeom>
                    <a:noFill/>
                    <a:ln>
                      <a:noFill/>
                    </a:ln>
                  </pic:spPr>
                </pic:pic>
              </a:graphicData>
            </a:graphic>
          </wp:inline>
        </w:drawing>
      </w:r>
    </w:p>
    <w:p w14:paraId="48EB1982" w14:textId="09B31E3E" w:rsidR="00F724D9" w:rsidRDefault="00F724D9" w:rsidP="00F724D9">
      <w:pPr>
        <w:rPr>
          <w:rFonts w:ascii="Times New Roman" w:hAnsi="Times New Roman" w:cs="Times New Roman"/>
        </w:rPr>
      </w:pPr>
      <w:r w:rsidRPr="00F724D9">
        <w:rPr>
          <w:rFonts w:ascii="Times New Roman" w:hAnsi="Times New Roman" w:cs="Times New Roman"/>
          <w:b/>
          <w:bCs/>
        </w:rPr>
        <w:t xml:space="preserve">Figure 3. </w:t>
      </w:r>
      <w:r w:rsidRPr="00F724D9">
        <w:rPr>
          <w:rFonts w:ascii="Times New Roman" w:hAnsi="Times New Roman" w:cs="Times New Roman"/>
        </w:rPr>
        <w:t>Protein-Protein Interaction (PPI) network of upregulated DEGs.</w:t>
      </w:r>
      <w:r w:rsidR="00A70343">
        <w:rPr>
          <w:rFonts w:ascii="Times New Roman" w:hAnsi="Times New Roman" w:cs="Times New Roman"/>
        </w:rPr>
        <w:t xml:space="preserve"> </w:t>
      </w:r>
      <w:r w:rsidRPr="00F724D9">
        <w:rPr>
          <w:rFonts w:ascii="Times New Roman" w:hAnsi="Times New Roman" w:cs="Times New Roman"/>
        </w:rPr>
        <w:t xml:space="preserve">Network analysis </w:t>
      </w:r>
      <w:r w:rsidRPr="00F724D9">
        <w:rPr>
          <w:rFonts w:ascii="Times New Roman" w:hAnsi="Times New Roman" w:cs="Times New Roman"/>
        </w:rPr>
        <w:t>was constructed</w:t>
      </w:r>
      <w:r w:rsidRPr="00F724D9">
        <w:rPr>
          <w:rFonts w:ascii="Times New Roman" w:hAnsi="Times New Roman" w:cs="Times New Roman"/>
        </w:rPr>
        <w:t xml:space="preserve"> using the </w:t>
      </w:r>
      <w:r w:rsidRPr="00F724D9">
        <w:rPr>
          <w:rFonts w:ascii="Times New Roman" w:hAnsi="Times New Roman" w:cs="Times New Roman"/>
          <w:b/>
          <w:bCs/>
        </w:rPr>
        <w:t>STRING</w:t>
      </w:r>
      <w:r w:rsidRPr="00F724D9">
        <w:rPr>
          <w:rFonts w:ascii="Times New Roman" w:hAnsi="Times New Roman" w:cs="Times New Roman"/>
        </w:rPr>
        <w:t> database based on significantly upregulated genes in COVID-19 PBMCs. Nodes represent proteins, and edges represent known physical or functional interactions with a high confidence score (</w:t>
      </w:r>
      <m:oMath>
        <m:r>
          <w:rPr>
            <w:rFonts w:ascii="Cambria Math" w:hAnsi="Cambria Math" w:cs="Times New Roman"/>
          </w:rPr>
          <m:t>&gt;0.7</m:t>
        </m:r>
      </m:oMath>
      <w:r w:rsidRPr="00F724D9">
        <w:rPr>
          <w:rFonts w:ascii="Times New Roman" w:hAnsi="Times New Roman" w:cs="Times New Roman"/>
        </w:rPr>
        <w:t>). The network topology reveals a dense, highly interconnected "hairball" structure, indicating a coordinated functional module driven by central hubs associated with cell cycle regulation (</w:t>
      </w:r>
      <w:r w:rsidRPr="00F724D9">
        <w:rPr>
          <w:rFonts w:ascii="Times New Roman" w:hAnsi="Times New Roman" w:cs="Times New Roman"/>
          <w:i/>
          <w:iCs/>
        </w:rPr>
        <w:t>CDK1</w:t>
      </w:r>
      <w:r w:rsidRPr="00F724D9">
        <w:rPr>
          <w:rFonts w:ascii="Times New Roman" w:hAnsi="Times New Roman" w:cs="Times New Roman"/>
        </w:rPr>
        <w:t>, </w:t>
      </w:r>
      <w:r w:rsidRPr="00F724D9">
        <w:rPr>
          <w:rFonts w:ascii="Times New Roman" w:hAnsi="Times New Roman" w:cs="Times New Roman"/>
          <w:i/>
          <w:iCs/>
        </w:rPr>
        <w:t>CCNB1</w:t>
      </w:r>
      <w:r w:rsidRPr="00F724D9">
        <w:rPr>
          <w:rFonts w:ascii="Times New Roman" w:hAnsi="Times New Roman" w:cs="Times New Roman"/>
        </w:rPr>
        <w:t>) and cell division (</w:t>
      </w:r>
      <w:r w:rsidRPr="00F724D9">
        <w:rPr>
          <w:rFonts w:ascii="Times New Roman" w:hAnsi="Times New Roman" w:cs="Times New Roman"/>
          <w:i/>
          <w:iCs/>
        </w:rPr>
        <w:t>AURKB</w:t>
      </w:r>
      <w:r w:rsidRPr="00F724D9">
        <w:rPr>
          <w:rFonts w:ascii="Times New Roman" w:hAnsi="Times New Roman" w:cs="Times New Roman"/>
        </w:rPr>
        <w:t>).</w:t>
      </w:r>
    </w:p>
    <w:p w14:paraId="739D7920" w14:textId="77777777" w:rsidR="00A70343" w:rsidRDefault="00A70343" w:rsidP="00F724D9">
      <w:pPr>
        <w:rPr>
          <w:rFonts w:ascii="Times New Roman" w:hAnsi="Times New Roman" w:cs="Times New Roman"/>
        </w:rPr>
      </w:pPr>
    </w:p>
    <w:p w14:paraId="551049AB" w14:textId="77777777" w:rsidR="00A70343" w:rsidRPr="00A70343" w:rsidRDefault="00A70343" w:rsidP="00A70343">
      <w:pPr>
        <w:rPr>
          <w:rFonts w:ascii="Times New Roman" w:hAnsi="Times New Roman" w:cs="Times New Roman"/>
          <w:b/>
          <w:bCs/>
        </w:rPr>
      </w:pPr>
      <w:r w:rsidRPr="00A70343">
        <w:rPr>
          <w:rFonts w:ascii="Times New Roman" w:hAnsi="Times New Roman" w:cs="Times New Roman"/>
          <w:b/>
          <w:bCs/>
        </w:rPr>
        <w:t>Figure 4. KEGG pathway enrichment analysis.</w:t>
      </w:r>
    </w:p>
    <w:p w14:paraId="6CE70A92" w14:textId="77777777" w:rsidR="00A70343" w:rsidRPr="00A70343" w:rsidRDefault="00A70343" w:rsidP="00A70343">
      <w:pPr>
        <w:rPr>
          <w:rFonts w:ascii="Times New Roman" w:hAnsi="Times New Roman" w:cs="Times New Roman"/>
        </w:rPr>
      </w:pPr>
      <w:r w:rsidRPr="00A70343">
        <w:rPr>
          <w:rFonts w:ascii="Times New Roman" w:hAnsi="Times New Roman" w:cs="Times New Roman"/>
        </w:rPr>
        <w:t>Dot plot summarizing the top enriched </w:t>
      </w:r>
      <w:r w:rsidRPr="00A70343">
        <w:rPr>
          <w:rFonts w:ascii="Times New Roman" w:hAnsi="Times New Roman" w:cs="Times New Roman"/>
          <w:b/>
          <w:bCs/>
        </w:rPr>
        <w:t>Kyoto Encyclopedia of Genes and Genomes (KEGG)</w:t>
      </w:r>
      <w:r w:rsidRPr="00A70343">
        <w:rPr>
          <w:rFonts w:ascii="Times New Roman" w:hAnsi="Times New Roman" w:cs="Times New Roman"/>
        </w:rPr>
        <w:t> pathways for the significant DEGs. The x-axis represents the enrichment signal strength. Dot size correlates with the number of DEGs mapped to the pathway ("Gene count"), and color intensity represents the False Discovery Rate (</w:t>
      </w:r>
      <w:r w:rsidRPr="00A70343">
        <w:rPr>
          <w:rFonts w:ascii="Times New Roman" w:hAnsi="Times New Roman" w:cs="Times New Roman"/>
          <w:b/>
          <w:bCs/>
        </w:rPr>
        <w:t>FDR</w:t>
      </w:r>
      <w:r w:rsidRPr="00A70343">
        <w:rPr>
          <w:rFonts w:ascii="Times New Roman" w:hAnsi="Times New Roman" w:cs="Times New Roman"/>
        </w:rPr>
        <w:t>). The analysis highlights "ECM-receptor interaction" and "Calcium signaling pathway" as the most significantly enriched biological programs.</w:t>
      </w:r>
    </w:p>
    <w:p w14:paraId="1E7B7A59" w14:textId="77777777" w:rsidR="00A70343" w:rsidRPr="00A70343" w:rsidRDefault="00A70343" w:rsidP="00A70343">
      <w:pPr>
        <w:rPr>
          <w:rFonts w:ascii="Times New Roman" w:hAnsi="Times New Roman" w:cs="Times New Roman"/>
          <w:b/>
          <w:bCs/>
        </w:rPr>
      </w:pPr>
      <w:r w:rsidRPr="00A70343">
        <w:rPr>
          <w:rFonts w:ascii="Times New Roman" w:hAnsi="Times New Roman" w:cs="Times New Roman"/>
          <w:b/>
          <w:bCs/>
        </w:rPr>
        <w:t>Figure 4. KEGG pathway enrichment analysis.</w:t>
      </w:r>
    </w:p>
    <w:p w14:paraId="02117D9B" w14:textId="77777777" w:rsidR="00A70343" w:rsidRPr="00A70343" w:rsidRDefault="00A70343" w:rsidP="00A70343">
      <w:pPr>
        <w:rPr>
          <w:rFonts w:ascii="Times New Roman" w:hAnsi="Times New Roman" w:cs="Times New Roman"/>
        </w:rPr>
      </w:pPr>
      <w:r w:rsidRPr="00A70343">
        <w:rPr>
          <w:rFonts w:ascii="Times New Roman" w:hAnsi="Times New Roman" w:cs="Times New Roman"/>
        </w:rPr>
        <w:t>Dot plot summarizing the top enriched </w:t>
      </w:r>
      <w:r w:rsidRPr="00A70343">
        <w:rPr>
          <w:rFonts w:ascii="Times New Roman" w:hAnsi="Times New Roman" w:cs="Times New Roman"/>
          <w:b/>
          <w:bCs/>
        </w:rPr>
        <w:t>Kyoto Encyclopedia of Genes and Genomes (KEGG)</w:t>
      </w:r>
      <w:r w:rsidRPr="00A70343">
        <w:rPr>
          <w:rFonts w:ascii="Times New Roman" w:hAnsi="Times New Roman" w:cs="Times New Roman"/>
        </w:rPr>
        <w:t> pathways for the significant DEGs. The x-axis represents the enrichment signal strength. Dot size correlates with the number of DEGs mapped to the pathway ("Gene count"), and color intensity represents the False Discovery Rate (</w:t>
      </w:r>
      <w:r w:rsidRPr="00A70343">
        <w:rPr>
          <w:rFonts w:ascii="Times New Roman" w:hAnsi="Times New Roman" w:cs="Times New Roman"/>
          <w:b/>
          <w:bCs/>
        </w:rPr>
        <w:t>FDR</w:t>
      </w:r>
      <w:r w:rsidRPr="00A70343">
        <w:rPr>
          <w:rFonts w:ascii="Times New Roman" w:hAnsi="Times New Roman" w:cs="Times New Roman"/>
        </w:rPr>
        <w:t>). The analysis highlights "ECM-receptor interaction" and "Calcium signaling pathway" as the most significantly enriched biological programs.</w:t>
      </w:r>
    </w:p>
    <w:p w14:paraId="6243136B" w14:textId="6E16708A" w:rsidR="00A70343" w:rsidRDefault="00A70343" w:rsidP="00F724D9">
      <w:pPr>
        <w:rPr>
          <w:rFonts w:ascii="Times New Roman" w:hAnsi="Times New Roman" w:cs="Times New Roman"/>
        </w:rPr>
      </w:pPr>
      <w:r>
        <w:rPr>
          <w:rFonts w:ascii="Times New Roman" w:hAnsi="Times New Roman" w:cs="Times New Roman"/>
          <w:noProof/>
        </w:rPr>
        <w:lastRenderedPageBreak/>
        <w:drawing>
          <wp:inline distT="0" distB="0" distL="0" distR="0" wp14:anchorId="106C4FA6" wp14:editId="24FBE158">
            <wp:extent cx="5939155" cy="3317875"/>
            <wp:effectExtent l="0" t="0" r="4445" b="0"/>
            <wp:docPr id="682699628"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3"/>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5939155" cy="3317875"/>
                    </a:xfrm>
                    <a:prstGeom prst="rect">
                      <a:avLst/>
                    </a:prstGeom>
                    <a:noFill/>
                    <a:ln>
                      <a:noFill/>
                    </a:ln>
                  </pic:spPr>
                </pic:pic>
              </a:graphicData>
            </a:graphic>
          </wp:inline>
        </w:drawing>
      </w:r>
    </w:p>
    <w:p w14:paraId="7C03152B" w14:textId="4FC0077E" w:rsidR="00A70343" w:rsidRPr="00A70343" w:rsidRDefault="00A70343" w:rsidP="00A70343">
      <w:pPr>
        <w:rPr>
          <w:rFonts w:ascii="Times New Roman" w:hAnsi="Times New Roman" w:cs="Times New Roman"/>
        </w:rPr>
      </w:pPr>
      <w:r w:rsidRPr="00A70343">
        <w:rPr>
          <w:rFonts w:ascii="Times New Roman" w:hAnsi="Times New Roman" w:cs="Times New Roman"/>
          <w:b/>
          <w:bCs/>
        </w:rPr>
        <w:t>Figure</w:t>
      </w:r>
      <w:r w:rsidRPr="00A70343">
        <w:rPr>
          <w:rFonts w:ascii="Times New Roman" w:hAnsi="Times New Roman" w:cs="Times New Roman"/>
        </w:rPr>
        <w:t xml:space="preserve"> 4. KEGG pathway enrichment analysis.</w:t>
      </w:r>
      <w:r>
        <w:rPr>
          <w:rFonts w:ascii="Times New Roman" w:hAnsi="Times New Roman" w:cs="Times New Roman"/>
        </w:rPr>
        <w:t xml:space="preserve"> </w:t>
      </w:r>
      <w:r w:rsidRPr="00A70343">
        <w:rPr>
          <w:rFonts w:ascii="Times New Roman" w:hAnsi="Times New Roman" w:cs="Times New Roman"/>
        </w:rPr>
        <w:t xml:space="preserve">Dot plot summarizing the top enriched Kyoto Encyclopedia of Genes and Genomes (KEGG) pathways for </w:t>
      </w:r>
      <w:r w:rsidRPr="00A70343">
        <w:rPr>
          <w:rFonts w:ascii="Times New Roman" w:hAnsi="Times New Roman" w:cs="Times New Roman"/>
        </w:rPr>
        <w:t>significant</w:t>
      </w:r>
      <w:r w:rsidRPr="00A70343">
        <w:rPr>
          <w:rFonts w:ascii="Times New Roman" w:hAnsi="Times New Roman" w:cs="Times New Roman"/>
        </w:rPr>
        <w:t xml:space="preserve"> DEGs. The x-axis represents the </w:t>
      </w:r>
      <w:r w:rsidRPr="00A70343">
        <w:rPr>
          <w:rFonts w:ascii="Times New Roman" w:hAnsi="Times New Roman" w:cs="Times New Roman"/>
        </w:rPr>
        <w:t>enrichment of</w:t>
      </w:r>
      <w:r w:rsidRPr="00A70343">
        <w:rPr>
          <w:rFonts w:ascii="Times New Roman" w:hAnsi="Times New Roman" w:cs="Times New Roman"/>
        </w:rPr>
        <w:t xml:space="preserve"> signal strength. Dot size correlates with the number of DEGs mapped to the pathway ("Gene count"), and color intensity represents the False Discovery Rate (FDR). The analysis highlights "ECM-receptor interaction" and "Calcium signaling pathway" as the most significantly enriched biological programs.</w:t>
      </w:r>
    </w:p>
    <w:p w14:paraId="2977E03F" w14:textId="77777777" w:rsidR="00A70343" w:rsidRPr="00F724D9" w:rsidRDefault="00A70343" w:rsidP="00F724D9">
      <w:pPr>
        <w:rPr>
          <w:rFonts w:ascii="Times New Roman" w:hAnsi="Times New Roman" w:cs="Times New Roman"/>
        </w:rPr>
      </w:pPr>
    </w:p>
    <w:p w14:paraId="39300EE0" w14:textId="77777777" w:rsidR="0039783F" w:rsidRDefault="0039783F" w:rsidP="000F7A1A">
      <w:pPr>
        <w:rPr>
          <w:rFonts w:ascii="Times New Roman" w:hAnsi="Times New Roman" w:cs="Times New Roman"/>
        </w:rPr>
      </w:pPr>
    </w:p>
    <w:p w14:paraId="091C44B6" w14:textId="288DF107" w:rsidR="000F7A1A" w:rsidRPr="000F7A1A" w:rsidRDefault="000F7A1A" w:rsidP="000F7A1A">
      <w:pPr>
        <w:rPr>
          <w:rFonts w:ascii="Times New Roman" w:hAnsi="Times New Roman" w:cs="Times New Roman"/>
          <w:b/>
          <w:bCs/>
        </w:rPr>
      </w:pPr>
      <w:r w:rsidRPr="000F7A1A">
        <w:rPr>
          <w:rFonts w:ascii="Times New Roman" w:hAnsi="Times New Roman" w:cs="Times New Roman"/>
        </w:rPr>
        <w:t xml:space="preserve">3.4 </w:t>
      </w:r>
      <w:r w:rsidRPr="000F7A1A">
        <w:rPr>
          <w:rFonts w:ascii="Times New Roman" w:hAnsi="Times New Roman" w:cs="Times New Roman"/>
          <w:b/>
          <w:bCs/>
        </w:rPr>
        <w:t>Gene-miRNA Regulatory Network</w:t>
      </w:r>
    </w:p>
    <w:p w14:paraId="1C84A86D" w14:textId="77777777" w:rsidR="000F7A1A" w:rsidRPr="000F7A1A" w:rsidRDefault="000F7A1A" w:rsidP="000F7A1A">
      <w:pPr>
        <w:rPr>
          <w:rFonts w:ascii="Times New Roman" w:hAnsi="Times New Roman" w:cs="Times New Roman"/>
        </w:rPr>
      </w:pPr>
      <w:r w:rsidRPr="000F7A1A">
        <w:rPr>
          <w:rFonts w:ascii="Times New Roman" w:hAnsi="Times New Roman" w:cs="Times New Roman"/>
        </w:rPr>
        <w:t xml:space="preserve">Using </w:t>
      </w:r>
      <w:proofErr w:type="spellStart"/>
      <w:r w:rsidRPr="000F7A1A">
        <w:rPr>
          <w:rFonts w:ascii="Times New Roman" w:hAnsi="Times New Roman" w:cs="Times New Roman"/>
        </w:rPr>
        <w:t>miRTarBase</w:t>
      </w:r>
      <w:proofErr w:type="spellEnd"/>
      <w:r w:rsidRPr="000F7A1A">
        <w:rPr>
          <w:rFonts w:ascii="Times New Roman" w:hAnsi="Times New Roman" w:cs="Times New Roman"/>
        </w:rPr>
        <w:t xml:space="preserve"> v9.0, we mapped the significant DEGs to their regulating miRNAs (Figure 6). The resulting network reveals a complex, multi-layered regulatory architecture:</w:t>
      </w:r>
    </w:p>
    <w:p w14:paraId="283E1AD1" w14:textId="77777777" w:rsidR="000F7A1A" w:rsidRPr="000F7A1A" w:rsidRDefault="000F7A1A" w:rsidP="000F7A1A">
      <w:pPr>
        <w:numPr>
          <w:ilvl w:val="0"/>
          <w:numId w:val="12"/>
        </w:numPr>
        <w:rPr>
          <w:rFonts w:ascii="Times New Roman" w:hAnsi="Times New Roman" w:cs="Times New Roman"/>
        </w:rPr>
      </w:pPr>
      <w:r w:rsidRPr="000F7A1A">
        <w:rPr>
          <w:rFonts w:ascii="Times New Roman" w:hAnsi="Times New Roman" w:cs="Times New Roman"/>
        </w:rPr>
        <w:t xml:space="preserve">Hub Genes: We identified several DEGs acting as central hubs, heavily targeted by multiple miRNAs. These include </w:t>
      </w:r>
      <w:r w:rsidRPr="000F7A1A">
        <w:rPr>
          <w:rFonts w:ascii="Times New Roman" w:hAnsi="Times New Roman" w:cs="Times New Roman"/>
          <w:i/>
          <w:iCs/>
        </w:rPr>
        <w:t>TWIST1</w:t>
      </w:r>
      <w:r w:rsidRPr="000F7A1A">
        <w:rPr>
          <w:rFonts w:ascii="Times New Roman" w:hAnsi="Times New Roman" w:cs="Times New Roman"/>
        </w:rPr>
        <w:t xml:space="preserve"> (a transcription factor involved in differentiation), </w:t>
      </w:r>
      <w:r w:rsidRPr="000F7A1A">
        <w:rPr>
          <w:rFonts w:ascii="Times New Roman" w:hAnsi="Times New Roman" w:cs="Times New Roman"/>
          <w:i/>
          <w:iCs/>
        </w:rPr>
        <w:t>TERT</w:t>
      </w:r>
      <w:r w:rsidRPr="000F7A1A">
        <w:rPr>
          <w:rFonts w:ascii="Times New Roman" w:hAnsi="Times New Roman" w:cs="Times New Roman"/>
        </w:rPr>
        <w:t xml:space="preserve"> (Telomerase Reverse Transcriptase), </w:t>
      </w:r>
      <w:r w:rsidRPr="000F7A1A">
        <w:rPr>
          <w:rFonts w:ascii="Times New Roman" w:hAnsi="Times New Roman" w:cs="Times New Roman"/>
          <w:i/>
          <w:iCs/>
        </w:rPr>
        <w:t>SPC25</w:t>
      </w:r>
      <w:r w:rsidRPr="000F7A1A">
        <w:rPr>
          <w:rFonts w:ascii="Times New Roman" w:hAnsi="Times New Roman" w:cs="Times New Roman"/>
        </w:rPr>
        <w:t xml:space="preserve"> (Kinetochore component), and </w:t>
      </w:r>
      <w:r w:rsidRPr="000F7A1A">
        <w:rPr>
          <w:rFonts w:ascii="Times New Roman" w:hAnsi="Times New Roman" w:cs="Times New Roman"/>
          <w:i/>
          <w:iCs/>
        </w:rPr>
        <w:t>SLC</w:t>
      </w:r>
      <w:r w:rsidRPr="000F7A1A">
        <w:rPr>
          <w:rFonts w:ascii="Times New Roman" w:hAnsi="Times New Roman" w:cs="Times New Roman"/>
        </w:rPr>
        <w:t xml:space="preserve"> family transporters.</w:t>
      </w:r>
    </w:p>
    <w:p w14:paraId="719786C2" w14:textId="0BC899C3" w:rsidR="000F7A1A" w:rsidRPr="000F7A1A" w:rsidRDefault="000F7A1A" w:rsidP="000F7A1A">
      <w:pPr>
        <w:numPr>
          <w:ilvl w:val="0"/>
          <w:numId w:val="12"/>
        </w:numPr>
        <w:rPr>
          <w:rFonts w:ascii="Times New Roman" w:hAnsi="Times New Roman" w:cs="Times New Roman"/>
        </w:rPr>
      </w:pPr>
      <w:r w:rsidRPr="000F7A1A">
        <w:rPr>
          <w:rFonts w:ascii="Times New Roman" w:hAnsi="Times New Roman" w:cs="Times New Roman"/>
        </w:rPr>
        <w:t xml:space="preserve">Regulatory miRNAs: The network highlights key regulatory nodes, such as </w:t>
      </w:r>
      <w:r w:rsidRPr="000F7A1A">
        <w:rPr>
          <w:rFonts w:ascii="Times New Roman" w:hAnsi="Times New Roman" w:cs="Times New Roman"/>
          <w:i/>
          <w:iCs/>
        </w:rPr>
        <w:t>hsa-miR-335-5p</w:t>
      </w:r>
      <w:r w:rsidRPr="000F7A1A">
        <w:rPr>
          <w:rFonts w:ascii="Times New Roman" w:hAnsi="Times New Roman" w:cs="Times New Roman"/>
        </w:rPr>
        <w:t xml:space="preserve">, which </w:t>
      </w:r>
      <w:r w:rsidR="009B28CC" w:rsidRPr="000F7A1A">
        <w:rPr>
          <w:rFonts w:ascii="Times New Roman" w:hAnsi="Times New Roman" w:cs="Times New Roman"/>
        </w:rPr>
        <w:t>appear</w:t>
      </w:r>
      <w:r w:rsidRPr="000F7A1A">
        <w:rPr>
          <w:rFonts w:ascii="Times New Roman" w:hAnsi="Times New Roman" w:cs="Times New Roman"/>
        </w:rPr>
        <w:t xml:space="preserve"> to modulate multiple targets within the network. The density of interactions suggests that the high expression of these genes is under tight post-transcriptional surveillance.</w:t>
      </w:r>
    </w:p>
    <w:p w14:paraId="5D19C194" w14:textId="1510ACF7" w:rsidR="000F7A1A" w:rsidRPr="000F7A1A" w:rsidRDefault="000F7A1A" w:rsidP="000F7A1A">
      <w:pPr>
        <w:rPr>
          <w:rFonts w:ascii="Times New Roman" w:hAnsi="Times New Roman" w:cs="Times New Roman"/>
        </w:rPr>
      </w:pPr>
    </w:p>
    <w:p w14:paraId="46863068" w14:textId="65968944" w:rsidR="00A70343" w:rsidRDefault="00193F64" w:rsidP="000F7A1A">
      <w:pPr>
        <w:rPr>
          <w:rFonts w:ascii="Times New Roman" w:hAnsi="Times New Roman" w:cs="Times New Roman"/>
        </w:rPr>
      </w:pPr>
      <w:r>
        <w:rPr>
          <w:rFonts w:ascii="Times New Roman" w:hAnsi="Times New Roman" w:cs="Times New Roman"/>
          <w:noProof/>
        </w:rPr>
        <w:lastRenderedPageBreak/>
        <w:drawing>
          <wp:inline distT="0" distB="0" distL="0" distR="0" wp14:anchorId="1FC8C8C8" wp14:editId="740FB04B">
            <wp:extent cx="5939155" cy="3317875"/>
            <wp:effectExtent l="0" t="0" r="4445" b="0"/>
            <wp:docPr id="1631348626"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4"/>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5939155" cy="3317875"/>
                    </a:xfrm>
                    <a:prstGeom prst="rect">
                      <a:avLst/>
                    </a:prstGeom>
                    <a:noFill/>
                    <a:ln>
                      <a:noFill/>
                    </a:ln>
                  </pic:spPr>
                </pic:pic>
              </a:graphicData>
            </a:graphic>
          </wp:inline>
        </w:drawing>
      </w:r>
    </w:p>
    <w:p w14:paraId="0FFDA96C" w14:textId="6D790A12" w:rsidR="00193F64" w:rsidRDefault="00193F64" w:rsidP="00193F64">
      <w:pPr>
        <w:rPr>
          <w:rFonts w:ascii="Times New Roman" w:hAnsi="Times New Roman" w:cs="Times New Roman"/>
        </w:rPr>
      </w:pPr>
      <w:r w:rsidRPr="00193F64">
        <w:rPr>
          <w:rFonts w:ascii="Times New Roman" w:hAnsi="Times New Roman" w:cs="Times New Roman"/>
          <w:b/>
          <w:bCs/>
        </w:rPr>
        <w:t>Figure</w:t>
      </w:r>
      <w:r w:rsidRPr="00193F64">
        <w:rPr>
          <w:rFonts w:ascii="Times New Roman" w:hAnsi="Times New Roman" w:cs="Times New Roman"/>
        </w:rPr>
        <w:t xml:space="preserve"> 5. Gene Ontology (GO) Biological Process enrichment.</w:t>
      </w:r>
      <w:r>
        <w:rPr>
          <w:rFonts w:ascii="Times New Roman" w:hAnsi="Times New Roman" w:cs="Times New Roman"/>
        </w:rPr>
        <w:t xml:space="preserve"> </w:t>
      </w:r>
      <w:r w:rsidRPr="00193F64">
        <w:rPr>
          <w:rFonts w:ascii="Times New Roman" w:hAnsi="Times New Roman" w:cs="Times New Roman"/>
        </w:rPr>
        <w:t>Functional enrichment analysis of GO Biological Processes. The dot plot visualizes the most significant functional categories associated with the DEGs. The results reveal an unexpected but significant enrichment of "Synaptic signaling" and "Trans-synaptic signaling," reflecting the molecular machinery of the immunological synapse and intercellular communication required for lymphocyte activation and adhesion.</w:t>
      </w:r>
    </w:p>
    <w:p w14:paraId="0A40D3F2" w14:textId="4FD98673" w:rsidR="00193F64" w:rsidRDefault="001D2892" w:rsidP="00193F64">
      <w:pPr>
        <w:rPr>
          <w:rFonts w:ascii="Times New Roman" w:hAnsi="Times New Roman" w:cs="Times New Roman"/>
        </w:rPr>
      </w:pPr>
      <w:r>
        <w:rPr>
          <w:rFonts w:ascii="Times New Roman" w:hAnsi="Times New Roman" w:cs="Times New Roman"/>
          <w:noProof/>
        </w:rPr>
        <w:lastRenderedPageBreak/>
        <w:drawing>
          <wp:inline distT="0" distB="0" distL="0" distR="0" wp14:anchorId="4FF47E71" wp14:editId="051630D4">
            <wp:extent cx="6745878" cy="4223657"/>
            <wp:effectExtent l="0" t="0" r="0" b="5715"/>
            <wp:docPr id="701975124"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5"/>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6771521" cy="4239712"/>
                    </a:xfrm>
                    <a:prstGeom prst="rect">
                      <a:avLst/>
                    </a:prstGeom>
                    <a:noFill/>
                    <a:ln>
                      <a:noFill/>
                    </a:ln>
                  </pic:spPr>
                </pic:pic>
              </a:graphicData>
            </a:graphic>
          </wp:inline>
        </w:drawing>
      </w:r>
    </w:p>
    <w:p w14:paraId="77369C46" w14:textId="6C276602" w:rsidR="001D2892" w:rsidRPr="00193F64" w:rsidRDefault="00976382" w:rsidP="00193F64">
      <w:pPr>
        <w:rPr>
          <w:rFonts w:ascii="Times New Roman" w:hAnsi="Times New Roman" w:cs="Times New Roman"/>
        </w:rPr>
      </w:pPr>
      <w:r w:rsidRPr="00976382">
        <w:rPr>
          <w:rFonts w:ascii="Times New Roman" w:hAnsi="Times New Roman" w:cs="Times New Roman"/>
          <w:b/>
          <w:bCs/>
        </w:rPr>
        <w:t>Figure 6</w:t>
      </w:r>
      <w:r w:rsidRPr="00976382">
        <w:rPr>
          <w:rFonts w:ascii="Times New Roman" w:hAnsi="Times New Roman" w:cs="Times New Roman"/>
        </w:rPr>
        <w:t>. Gene-miRNA regulatory interaction network. A bipartite regulatory network</w:t>
      </w:r>
      <w:r>
        <w:rPr>
          <w:rFonts w:ascii="Times New Roman" w:hAnsi="Times New Roman" w:cs="Times New Roman"/>
        </w:rPr>
        <w:t xml:space="preserve"> </w:t>
      </w:r>
      <w:r w:rsidRPr="00976382">
        <w:rPr>
          <w:rFonts w:ascii="Times New Roman" w:hAnsi="Times New Roman" w:cs="Times New Roman"/>
        </w:rPr>
        <w:t xml:space="preserve">constructed using experimentally validated interactions from </w:t>
      </w:r>
      <w:proofErr w:type="spellStart"/>
      <w:r w:rsidRPr="00976382">
        <w:rPr>
          <w:rFonts w:ascii="Times New Roman" w:hAnsi="Times New Roman" w:cs="Times New Roman"/>
        </w:rPr>
        <w:t>miRTarBase</w:t>
      </w:r>
      <w:proofErr w:type="spellEnd"/>
      <w:r w:rsidRPr="00976382">
        <w:rPr>
          <w:rFonts w:ascii="Times New Roman" w:hAnsi="Times New Roman" w:cs="Times New Roman"/>
        </w:rPr>
        <w:t xml:space="preserve"> v9.0. Red circular nodes represent significantly upregulated target genes (mRNA), and blue square nodes represent regulatory microRNAs (miRNAs). Edges denote validated miRNA-target interactions. The network topology highlights key hub genes (e.g., TWIST1, TERT, SPC25) that are targeted by multiple miRNAs (e.g., hsa-miR-335-5p), suggesting that the observed proliferative burst is subject to complex post-</w:t>
      </w:r>
      <w:r w:rsidRPr="00976382">
        <w:rPr>
          <w:rFonts w:ascii="Times New Roman" w:hAnsi="Times New Roman" w:cs="Times New Roman"/>
        </w:rPr>
        <w:t>transcription</w:t>
      </w:r>
      <w:r w:rsidRPr="00976382">
        <w:rPr>
          <w:rFonts w:ascii="Times New Roman" w:hAnsi="Times New Roman" w:cs="Times New Roman"/>
        </w:rPr>
        <w:t xml:space="preserve"> regulation.</w:t>
      </w:r>
    </w:p>
    <w:p w14:paraId="048D4161" w14:textId="77777777" w:rsidR="00193F64" w:rsidRDefault="00193F64" w:rsidP="000F7A1A">
      <w:pPr>
        <w:rPr>
          <w:rFonts w:ascii="Times New Roman" w:hAnsi="Times New Roman" w:cs="Times New Roman"/>
        </w:rPr>
      </w:pPr>
    </w:p>
    <w:p w14:paraId="40242368" w14:textId="14EC40FF" w:rsidR="000F7A1A" w:rsidRPr="000F7A1A" w:rsidRDefault="000F7A1A" w:rsidP="000F7A1A">
      <w:pPr>
        <w:rPr>
          <w:rFonts w:ascii="Times New Roman" w:hAnsi="Times New Roman" w:cs="Times New Roman"/>
          <w:b/>
          <w:bCs/>
        </w:rPr>
      </w:pPr>
      <w:r w:rsidRPr="000F7A1A">
        <w:rPr>
          <w:rFonts w:ascii="Times New Roman" w:hAnsi="Times New Roman" w:cs="Times New Roman"/>
        </w:rPr>
        <w:t xml:space="preserve">4. </w:t>
      </w:r>
      <w:r w:rsidRPr="000F7A1A">
        <w:rPr>
          <w:rFonts w:ascii="Times New Roman" w:hAnsi="Times New Roman" w:cs="Times New Roman"/>
          <w:b/>
          <w:bCs/>
        </w:rPr>
        <w:t>Discussion</w:t>
      </w:r>
    </w:p>
    <w:p w14:paraId="456F220D" w14:textId="77777777" w:rsidR="000F7A1A" w:rsidRPr="000F7A1A" w:rsidRDefault="000F7A1A" w:rsidP="000F7A1A">
      <w:pPr>
        <w:rPr>
          <w:rFonts w:ascii="Times New Roman" w:hAnsi="Times New Roman" w:cs="Times New Roman"/>
        </w:rPr>
      </w:pPr>
      <w:r w:rsidRPr="000F7A1A">
        <w:rPr>
          <w:rFonts w:ascii="Times New Roman" w:hAnsi="Times New Roman" w:cs="Times New Roman"/>
        </w:rPr>
        <w:t>This systems biology assessment reveals that the PBMC response to COVID-19 is defined by a coordinated program of rapid clonal expansion, structural remodeling, and complex post-transcriptional regulation.</w:t>
      </w:r>
    </w:p>
    <w:p w14:paraId="537A1B52" w14:textId="77777777" w:rsidR="000F7A1A" w:rsidRPr="000F7A1A" w:rsidRDefault="000F7A1A" w:rsidP="000F7A1A">
      <w:pPr>
        <w:rPr>
          <w:rFonts w:ascii="Times New Roman" w:hAnsi="Times New Roman" w:cs="Times New Roman"/>
        </w:rPr>
      </w:pPr>
      <w:r w:rsidRPr="000F7A1A">
        <w:rPr>
          <w:rFonts w:ascii="Times New Roman" w:hAnsi="Times New Roman" w:cs="Times New Roman"/>
        </w:rPr>
        <w:t xml:space="preserve">4.1 </w:t>
      </w:r>
      <w:r w:rsidRPr="000F7A1A">
        <w:rPr>
          <w:rFonts w:ascii="Times New Roman" w:hAnsi="Times New Roman" w:cs="Times New Roman"/>
          <w:b/>
          <w:bCs/>
        </w:rPr>
        <w:t xml:space="preserve">The Proliferative Burst and </w:t>
      </w:r>
      <w:proofErr w:type="spellStart"/>
      <w:r w:rsidRPr="000F7A1A">
        <w:rPr>
          <w:rFonts w:ascii="Times New Roman" w:hAnsi="Times New Roman" w:cs="Times New Roman"/>
          <w:b/>
          <w:bCs/>
        </w:rPr>
        <w:t>Plasmablast</w:t>
      </w:r>
      <w:proofErr w:type="spellEnd"/>
      <w:r w:rsidRPr="000F7A1A">
        <w:rPr>
          <w:rFonts w:ascii="Times New Roman" w:hAnsi="Times New Roman" w:cs="Times New Roman"/>
          <w:b/>
          <w:bCs/>
        </w:rPr>
        <w:t xml:space="preserve"> Expansion</w:t>
      </w:r>
    </w:p>
    <w:p w14:paraId="0E770763" w14:textId="77777777" w:rsidR="000F7A1A" w:rsidRPr="000F7A1A" w:rsidRDefault="000F7A1A" w:rsidP="000F7A1A">
      <w:pPr>
        <w:rPr>
          <w:rFonts w:ascii="Times New Roman" w:hAnsi="Times New Roman" w:cs="Times New Roman"/>
        </w:rPr>
      </w:pPr>
      <w:r w:rsidRPr="000F7A1A">
        <w:rPr>
          <w:rFonts w:ascii="Times New Roman" w:hAnsi="Times New Roman" w:cs="Times New Roman"/>
        </w:rPr>
        <w:t>The strongest signal is the upregulation of cell cycle machinery (</w:t>
      </w:r>
      <w:r w:rsidRPr="000F7A1A">
        <w:rPr>
          <w:rFonts w:ascii="Times New Roman" w:hAnsi="Times New Roman" w:cs="Times New Roman"/>
          <w:i/>
          <w:iCs/>
        </w:rPr>
        <w:t>MKI67, TOP2A, SPC25</w:t>
      </w:r>
      <w:r w:rsidRPr="000F7A1A">
        <w:rPr>
          <w:rFonts w:ascii="Times New Roman" w:hAnsi="Times New Roman" w:cs="Times New Roman"/>
        </w:rPr>
        <w:t>) and immunoglobulin genes (</w:t>
      </w:r>
      <w:r w:rsidRPr="000F7A1A">
        <w:rPr>
          <w:rFonts w:ascii="Times New Roman" w:hAnsi="Times New Roman" w:cs="Times New Roman"/>
          <w:i/>
          <w:iCs/>
        </w:rPr>
        <w:t>IGHV</w:t>
      </w:r>
      <w:r w:rsidRPr="000F7A1A">
        <w:rPr>
          <w:rFonts w:ascii="Times New Roman" w:hAnsi="Times New Roman" w:cs="Times New Roman"/>
        </w:rPr>
        <w:t xml:space="preserve">). This signature confirms the mobilization of </w:t>
      </w:r>
      <w:proofErr w:type="spellStart"/>
      <w:r w:rsidRPr="000F7A1A">
        <w:rPr>
          <w:rFonts w:ascii="Times New Roman" w:hAnsi="Times New Roman" w:cs="Times New Roman"/>
        </w:rPr>
        <w:t>plasmablasts</w:t>
      </w:r>
      <w:proofErr w:type="spellEnd"/>
      <w:r w:rsidRPr="000F7A1A">
        <w:rPr>
          <w:rFonts w:ascii="Times New Roman" w:hAnsi="Times New Roman" w:cs="Times New Roman"/>
        </w:rPr>
        <w:t>—</w:t>
      </w:r>
      <w:r w:rsidRPr="000F7A1A">
        <w:rPr>
          <w:rFonts w:ascii="Times New Roman" w:hAnsi="Times New Roman" w:cs="Times New Roman"/>
        </w:rPr>
        <w:lastRenderedPageBreak/>
        <w:t>antibody-secreting cells that flood the blood during acute infection. The host prioritizes the quantity of adaptive effectors, necessitating the activation of DNA replication pathways.</w:t>
      </w:r>
    </w:p>
    <w:p w14:paraId="07631857" w14:textId="77777777" w:rsidR="000F7A1A" w:rsidRPr="000F7A1A" w:rsidRDefault="000F7A1A" w:rsidP="000F7A1A">
      <w:pPr>
        <w:rPr>
          <w:rFonts w:ascii="Times New Roman" w:hAnsi="Times New Roman" w:cs="Times New Roman"/>
        </w:rPr>
      </w:pPr>
      <w:r w:rsidRPr="000F7A1A">
        <w:rPr>
          <w:rFonts w:ascii="Times New Roman" w:hAnsi="Times New Roman" w:cs="Times New Roman"/>
        </w:rPr>
        <w:t xml:space="preserve">4.2 </w:t>
      </w:r>
      <w:r w:rsidRPr="000F7A1A">
        <w:rPr>
          <w:rFonts w:ascii="Times New Roman" w:hAnsi="Times New Roman" w:cs="Times New Roman"/>
          <w:b/>
          <w:bCs/>
        </w:rPr>
        <w:t>The "Immunological Synapse" and Migration</w:t>
      </w:r>
    </w:p>
    <w:p w14:paraId="7FA97DFE" w14:textId="77777777" w:rsidR="000F7A1A" w:rsidRPr="000F7A1A" w:rsidRDefault="000F7A1A" w:rsidP="000F7A1A">
      <w:pPr>
        <w:rPr>
          <w:rFonts w:ascii="Times New Roman" w:hAnsi="Times New Roman" w:cs="Times New Roman"/>
        </w:rPr>
      </w:pPr>
      <w:r w:rsidRPr="000F7A1A">
        <w:rPr>
          <w:rFonts w:ascii="Times New Roman" w:hAnsi="Times New Roman" w:cs="Times New Roman"/>
        </w:rPr>
        <w:t>The enrichment of "Synaptic signaling" and "ECM-receptor interaction" highlights the functional endpoint of this activation. Activated lymphocytes utilize synaptic-like architecture (ion channels, adhesion molecules) to communicate with Antigen-Presenting Cells. Furthermore, the remodeling of ECM receptors indicates that these cells are priming themselves to adhere to the endothelium and extravasate into infected tissues, such as the lung parenchyma.</w:t>
      </w:r>
    </w:p>
    <w:p w14:paraId="245388EA" w14:textId="77777777" w:rsidR="000F7A1A" w:rsidRPr="000F7A1A" w:rsidRDefault="000F7A1A" w:rsidP="000F7A1A">
      <w:pPr>
        <w:rPr>
          <w:rFonts w:ascii="Times New Roman" w:hAnsi="Times New Roman" w:cs="Times New Roman"/>
        </w:rPr>
      </w:pPr>
      <w:r w:rsidRPr="000F7A1A">
        <w:rPr>
          <w:rFonts w:ascii="Times New Roman" w:hAnsi="Times New Roman" w:cs="Times New Roman"/>
        </w:rPr>
        <w:t xml:space="preserve">4.3 </w:t>
      </w:r>
      <w:r w:rsidRPr="000F7A1A">
        <w:rPr>
          <w:rFonts w:ascii="Times New Roman" w:hAnsi="Times New Roman" w:cs="Times New Roman"/>
          <w:b/>
          <w:bCs/>
        </w:rPr>
        <w:t>Post-Transcriptional Regulatory Control</w:t>
      </w:r>
    </w:p>
    <w:p w14:paraId="33B8346D" w14:textId="77777777" w:rsidR="000F7A1A" w:rsidRPr="000F7A1A" w:rsidRDefault="000F7A1A" w:rsidP="000F7A1A">
      <w:pPr>
        <w:rPr>
          <w:rFonts w:ascii="Times New Roman" w:hAnsi="Times New Roman" w:cs="Times New Roman"/>
        </w:rPr>
      </w:pPr>
      <w:r w:rsidRPr="000F7A1A">
        <w:rPr>
          <w:rFonts w:ascii="Times New Roman" w:hAnsi="Times New Roman" w:cs="Times New Roman"/>
        </w:rPr>
        <w:t xml:space="preserve">The integration of </w:t>
      </w:r>
      <w:proofErr w:type="spellStart"/>
      <w:r w:rsidRPr="000F7A1A">
        <w:rPr>
          <w:rFonts w:ascii="Times New Roman" w:hAnsi="Times New Roman" w:cs="Times New Roman"/>
        </w:rPr>
        <w:t>miRTarBase</w:t>
      </w:r>
      <w:proofErr w:type="spellEnd"/>
      <w:r w:rsidRPr="000F7A1A">
        <w:rPr>
          <w:rFonts w:ascii="Times New Roman" w:hAnsi="Times New Roman" w:cs="Times New Roman"/>
        </w:rPr>
        <w:t xml:space="preserve"> v9.0 data (Figure 6) adds a critical layer of biological context. The identification of </w:t>
      </w:r>
      <w:r w:rsidRPr="000F7A1A">
        <w:rPr>
          <w:rFonts w:ascii="Times New Roman" w:hAnsi="Times New Roman" w:cs="Times New Roman"/>
          <w:i/>
          <w:iCs/>
        </w:rPr>
        <w:t>TERT</w:t>
      </w:r>
      <w:r w:rsidRPr="000F7A1A">
        <w:rPr>
          <w:rFonts w:ascii="Times New Roman" w:hAnsi="Times New Roman" w:cs="Times New Roman"/>
        </w:rPr>
        <w:t xml:space="preserve"> and </w:t>
      </w:r>
      <w:r w:rsidRPr="000F7A1A">
        <w:rPr>
          <w:rFonts w:ascii="Times New Roman" w:hAnsi="Times New Roman" w:cs="Times New Roman"/>
          <w:i/>
          <w:iCs/>
        </w:rPr>
        <w:t>SPC25</w:t>
      </w:r>
      <w:r w:rsidRPr="000F7A1A">
        <w:rPr>
          <w:rFonts w:ascii="Times New Roman" w:hAnsi="Times New Roman" w:cs="Times New Roman"/>
        </w:rPr>
        <w:t xml:space="preserve"> as major hubs in the miRNA network suggests that the proliferative burst described above is not unchecked; it is subject to rigorous post-transcriptional regulation.</w:t>
      </w:r>
    </w:p>
    <w:p w14:paraId="3CC01503" w14:textId="77777777" w:rsidR="000F7A1A" w:rsidRPr="000F7A1A" w:rsidRDefault="000F7A1A" w:rsidP="000F7A1A">
      <w:pPr>
        <w:numPr>
          <w:ilvl w:val="0"/>
          <w:numId w:val="13"/>
        </w:numPr>
        <w:rPr>
          <w:rFonts w:ascii="Times New Roman" w:hAnsi="Times New Roman" w:cs="Times New Roman"/>
        </w:rPr>
      </w:pPr>
      <w:r w:rsidRPr="000F7A1A">
        <w:rPr>
          <w:rFonts w:ascii="Times New Roman" w:hAnsi="Times New Roman" w:cs="Times New Roman"/>
        </w:rPr>
        <w:t>SPC25 &amp; TERT: As essential components of the kinetochore and telomere maintenance, respectively, their regulation by miRNAs ensures that the rapid cell division does not lead to genomic instability.</w:t>
      </w:r>
    </w:p>
    <w:p w14:paraId="2FF2DEA5" w14:textId="77777777" w:rsidR="000F7A1A" w:rsidRPr="000F7A1A" w:rsidRDefault="000F7A1A" w:rsidP="000F7A1A">
      <w:pPr>
        <w:numPr>
          <w:ilvl w:val="0"/>
          <w:numId w:val="13"/>
        </w:numPr>
        <w:rPr>
          <w:rFonts w:ascii="Times New Roman" w:hAnsi="Times New Roman" w:cs="Times New Roman"/>
        </w:rPr>
      </w:pPr>
      <w:r w:rsidRPr="000F7A1A">
        <w:rPr>
          <w:rFonts w:ascii="Times New Roman" w:hAnsi="Times New Roman" w:cs="Times New Roman"/>
        </w:rPr>
        <w:t xml:space="preserve">TWIST1: Known for its role in Epithelial-Mesenchymal Transition (EMT), the regulation of </w:t>
      </w:r>
      <w:r w:rsidRPr="000F7A1A">
        <w:rPr>
          <w:rFonts w:ascii="Times New Roman" w:hAnsi="Times New Roman" w:cs="Times New Roman"/>
          <w:i/>
          <w:iCs/>
        </w:rPr>
        <w:t>TWIST1</w:t>
      </w:r>
      <w:r w:rsidRPr="000F7A1A">
        <w:rPr>
          <w:rFonts w:ascii="Times New Roman" w:hAnsi="Times New Roman" w:cs="Times New Roman"/>
        </w:rPr>
        <w:t xml:space="preserve"> by miRNAs in PBMCs likely influences cellular plasticity and the differentiation state of lymphocytes as they transition from circulating cells to tissue-resident effectors.</w:t>
      </w:r>
    </w:p>
    <w:p w14:paraId="13542F85" w14:textId="3BEAC268" w:rsidR="000F7A1A" w:rsidRPr="000F7A1A" w:rsidRDefault="000F7A1A" w:rsidP="000F7A1A">
      <w:pPr>
        <w:rPr>
          <w:rFonts w:ascii="Times New Roman" w:hAnsi="Times New Roman" w:cs="Times New Roman"/>
          <w:b/>
          <w:bCs/>
        </w:rPr>
      </w:pPr>
      <w:r w:rsidRPr="000F7A1A">
        <w:rPr>
          <w:rFonts w:ascii="Times New Roman" w:hAnsi="Times New Roman" w:cs="Times New Roman"/>
          <w:b/>
          <w:bCs/>
        </w:rPr>
        <w:t>Conclusion</w:t>
      </w:r>
    </w:p>
    <w:p w14:paraId="1FAFB10C" w14:textId="77777777" w:rsidR="000F7A1A" w:rsidRPr="000F7A1A" w:rsidRDefault="000F7A1A" w:rsidP="000F7A1A">
      <w:pPr>
        <w:rPr>
          <w:rFonts w:ascii="Times New Roman" w:hAnsi="Times New Roman" w:cs="Times New Roman"/>
        </w:rPr>
      </w:pPr>
      <w:r w:rsidRPr="000F7A1A">
        <w:rPr>
          <w:rFonts w:ascii="Times New Roman" w:hAnsi="Times New Roman" w:cs="Times New Roman"/>
        </w:rPr>
        <w:t>In summary, our analysis of GSE152418 elucidates a robust transcriptomic signature of COVID-19 infection. The immune response is characterized by a shift from quiescence to a highly proliferative state, fine-tuned by a complex miRNA-gene regulatory network. These results demonstrate that the systemic response to SARS-CoV-2 involves not just the upregulation of effector genes, but the intricate coordination of upstream regulatory checkpoints.</w:t>
      </w:r>
    </w:p>
    <w:p w14:paraId="3227E7E3" w14:textId="093A2836" w:rsidR="000F7A1A" w:rsidRPr="000F7A1A" w:rsidRDefault="000F7A1A" w:rsidP="000F7A1A">
      <w:pPr>
        <w:rPr>
          <w:rFonts w:ascii="Times New Roman" w:hAnsi="Times New Roman" w:cs="Times New Roman"/>
        </w:rPr>
      </w:pPr>
    </w:p>
    <w:p w14:paraId="3FF7B0BA" w14:textId="2280700B" w:rsidR="000F7A1A" w:rsidRPr="000F7A1A" w:rsidRDefault="000F7A1A" w:rsidP="000F7A1A">
      <w:pPr>
        <w:rPr>
          <w:rFonts w:ascii="Times New Roman" w:hAnsi="Times New Roman" w:cs="Times New Roman"/>
          <w:b/>
          <w:bCs/>
        </w:rPr>
      </w:pPr>
      <w:r w:rsidRPr="000F7A1A">
        <w:rPr>
          <w:rFonts w:ascii="Times New Roman" w:hAnsi="Times New Roman" w:cs="Times New Roman"/>
          <w:b/>
          <w:bCs/>
        </w:rPr>
        <w:t>References</w:t>
      </w:r>
    </w:p>
    <w:p w14:paraId="1C43B16E" w14:textId="77777777" w:rsidR="000F7A1A" w:rsidRPr="000F7A1A" w:rsidRDefault="000F7A1A" w:rsidP="000F7A1A">
      <w:pPr>
        <w:numPr>
          <w:ilvl w:val="0"/>
          <w:numId w:val="14"/>
        </w:numPr>
        <w:rPr>
          <w:rFonts w:ascii="Times New Roman" w:hAnsi="Times New Roman" w:cs="Times New Roman"/>
        </w:rPr>
      </w:pPr>
      <w:r w:rsidRPr="000F7A1A">
        <w:rPr>
          <w:rFonts w:ascii="Times New Roman" w:hAnsi="Times New Roman" w:cs="Times New Roman"/>
        </w:rPr>
        <w:t xml:space="preserve">Huang, H. Y., et al. (2022). </w:t>
      </w:r>
      <w:proofErr w:type="spellStart"/>
      <w:r w:rsidRPr="000F7A1A">
        <w:rPr>
          <w:rFonts w:ascii="Times New Roman" w:hAnsi="Times New Roman" w:cs="Times New Roman"/>
        </w:rPr>
        <w:t>miRTarBase</w:t>
      </w:r>
      <w:proofErr w:type="spellEnd"/>
      <w:r w:rsidRPr="000F7A1A">
        <w:rPr>
          <w:rFonts w:ascii="Times New Roman" w:hAnsi="Times New Roman" w:cs="Times New Roman"/>
        </w:rPr>
        <w:t xml:space="preserve"> update 2022: an informative resource for experimentally validated miRNA-target interactions. </w:t>
      </w:r>
      <w:r w:rsidRPr="000F7A1A">
        <w:rPr>
          <w:rFonts w:ascii="Times New Roman" w:hAnsi="Times New Roman" w:cs="Times New Roman"/>
          <w:i/>
          <w:iCs/>
        </w:rPr>
        <w:t>Nucleic Acids Research</w:t>
      </w:r>
      <w:r w:rsidRPr="000F7A1A">
        <w:rPr>
          <w:rFonts w:ascii="Times New Roman" w:hAnsi="Times New Roman" w:cs="Times New Roman"/>
        </w:rPr>
        <w:t>, 50(D1), D222-D230.</w:t>
      </w:r>
    </w:p>
    <w:p w14:paraId="6BFA84FA" w14:textId="77777777" w:rsidR="000F7A1A" w:rsidRPr="000F7A1A" w:rsidRDefault="000F7A1A" w:rsidP="000F7A1A">
      <w:pPr>
        <w:numPr>
          <w:ilvl w:val="0"/>
          <w:numId w:val="14"/>
        </w:numPr>
        <w:rPr>
          <w:rFonts w:ascii="Times New Roman" w:hAnsi="Times New Roman" w:cs="Times New Roman"/>
        </w:rPr>
      </w:pPr>
      <w:r w:rsidRPr="000F7A1A">
        <w:rPr>
          <w:rFonts w:ascii="Times New Roman" w:hAnsi="Times New Roman" w:cs="Times New Roman"/>
        </w:rPr>
        <w:t xml:space="preserve">Kim, D., et al. (2019). Graph-based genome alignment and genotyping with HISAT2. </w:t>
      </w:r>
      <w:r w:rsidRPr="000F7A1A">
        <w:rPr>
          <w:rFonts w:ascii="Times New Roman" w:hAnsi="Times New Roman" w:cs="Times New Roman"/>
          <w:i/>
          <w:iCs/>
        </w:rPr>
        <w:t>Nature Biotechnology</w:t>
      </w:r>
      <w:r w:rsidRPr="000F7A1A">
        <w:rPr>
          <w:rFonts w:ascii="Times New Roman" w:hAnsi="Times New Roman" w:cs="Times New Roman"/>
        </w:rPr>
        <w:t>.</w:t>
      </w:r>
    </w:p>
    <w:p w14:paraId="04CC579F" w14:textId="77777777" w:rsidR="000F7A1A" w:rsidRPr="000F7A1A" w:rsidRDefault="000F7A1A" w:rsidP="000F7A1A">
      <w:pPr>
        <w:numPr>
          <w:ilvl w:val="0"/>
          <w:numId w:val="14"/>
        </w:numPr>
        <w:rPr>
          <w:rFonts w:ascii="Times New Roman" w:hAnsi="Times New Roman" w:cs="Times New Roman"/>
        </w:rPr>
      </w:pPr>
      <w:r w:rsidRPr="000F7A1A">
        <w:rPr>
          <w:rFonts w:ascii="Times New Roman" w:hAnsi="Times New Roman" w:cs="Times New Roman"/>
        </w:rPr>
        <w:lastRenderedPageBreak/>
        <w:t xml:space="preserve">Liao, Y., et al. (2014). </w:t>
      </w:r>
      <w:proofErr w:type="spellStart"/>
      <w:r w:rsidRPr="000F7A1A">
        <w:rPr>
          <w:rFonts w:ascii="Times New Roman" w:hAnsi="Times New Roman" w:cs="Times New Roman"/>
        </w:rPr>
        <w:t>featureCounts</w:t>
      </w:r>
      <w:proofErr w:type="spellEnd"/>
      <w:r w:rsidRPr="000F7A1A">
        <w:rPr>
          <w:rFonts w:ascii="Times New Roman" w:hAnsi="Times New Roman" w:cs="Times New Roman"/>
        </w:rPr>
        <w:t xml:space="preserve">: an efficient general purpose program for assigning sequence reads. </w:t>
      </w:r>
      <w:r w:rsidRPr="000F7A1A">
        <w:rPr>
          <w:rFonts w:ascii="Times New Roman" w:hAnsi="Times New Roman" w:cs="Times New Roman"/>
          <w:i/>
          <w:iCs/>
        </w:rPr>
        <w:t>Bioinformatics</w:t>
      </w:r>
      <w:r w:rsidRPr="000F7A1A">
        <w:rPr>
          <w:rFonts w:ascii="Times New Roman" w:hAnsi="Times New Roman" w:cs="Times New Roman"/>
        </w:rPr>
        <w:t>.</w:t>
      </w:r>
    </w:p>
    <w:p w14:paraId="2E4A1859" w14:textId="77777777" w:rsidR="000F7A1A" w:rsidRPr="000F7A1A" w:rsidRDefault="000F7A1A" w:rsidP="000F7A1A">
      <w:pPr>
        <w:numPr>
          <w:ilvl w:val="0"/>
          <w:numId w:val="14"/>
        </w:numPr>
        <w:rPr>
          <w:rFonts w:ascii="Times New Roman" w:hAnsi="Times New Roman" w:cs="Times New Roman"/>
        </w:rPr>
      </w:pPr>
      <w:r w:rsidRPr="000F7A1A">
        <w:rPr>
          <w:rFonts w:ascii="Times New Roman" w:hAnsi="Times New Roman" w:cs="Times New Roman"/>
        </w:rPr>
        <w:t xml:space="preserve">Love, M. I., et al. (2014). Moderated estimation of fold change and dispersion for RNA-seq data with DESeq2. </w:t>
      </w:r>
      <w:r w:rsidRPr="000F7A1A">
        <w:rPr>
          <w:rFonts w:ascii="Times New Roman" w:hAnsi="Times New Roman" w:cs="Times New Roman"/>
          <w:i/>
          <w:iCs/>
        </w:rPr>
        <w:t>Genome Biology</w:t>
      </w:r>
      <w:r w:rsidRPr="000F7A1A">
        <w:rPr>
          <w:rFonts w:ascii="Times New Roman" w:hAnsi="Times New Roman" w:cs="Times New Roman"/>
        </w:rPr>
        <w:t>.</w:t>
      </w:r>
    </w:p>
    <w:p w14:paraId="6B94E0E7" w14:textId="77777777" w:rsidR="000F7A1A" w:rsidRPr="000F7A1A" w:rsidRDefault="000F7A1A" w:rsidP="000F7A1A">
      <w:pPr>
        <w:numPr>
          <w:ilvl w:val="0"/>
          <w:numId w:val="14"/>
        </w:numPr>
        <w:rPr>
          <w:rFonts w:ascii="Times New Roman" w:hAnsi="Times New Roman" w:cs="Times New Roman"/>
        </w:rPr>
      </w:pPr>
      <w:r w:rsidRPr="000F7A1A">
        <w:rPr>
          <w:rFonts w:ascii="Times New Roman" w:hAnsi="Times New Roman" w:cs="Times New Roman"/>
        </w:rPr>
        <w:t xml:space="preserve">Szklarczyk, D., et al. (2019). STRING v11: protein-protein association networks. </w:t>
      </w:r>
      <w:r w:rsidRPr="000F7A1A">
        <w:rPr>
          <w:rFonts w:ascii="Times New Roman" w:hAnsi="Times New Roman" w:cs="Times New Roman"/>
          <w:i/>
          <w:iCs/>
        </w:rPr>
        <w:t>Nucleic Acids Research</w:t>
      </w:r>
      <w:r w:rsidRPr="000F7A1A">
        <w:rPr>
          <w:rFonts w:ascii="Times New Roman" w:hAnsi="Times New Roman" w:cs="Times New Roman"/>
        </w:rPr>
        <w:t>.</w:t>
      </w:r>
    </w:p>
    <w:p w14:paraId="7CA030A1" w14:textId="77777777" w:rsidR="00D97628" w:rsidRPr="0094299C" w:rsidRDefault="00D97628" w:rsidP="000F7A1A"/>
    <w:sectPr w:rsidR="00D97628" w:rsidRPr="0094299C">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DBF0575"/>
    <w:multiLevelType w:val="multilevel"/>
    <w:tmpl w:val="30FE018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15272F1B"/>
    <w:multiLevelType w:val="multilevel"/>
    <w:tmpl w:val="BF3E448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15EE078E"/>
    <w:multiLevelType w:val="multilevel"/>
    <w:tmpl w:val="278A45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8B178A1"/>
    <w:multiLevelType w:val="multilevel"/>
    <w:tmpl w:val="1A84B0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9394263"/>
    <w:multiLevelType w:val="multilevel"/>
    <w:tmpl w:val="11CAD0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1AC63A9"/>
    <w:multiLevelType w:val="multilevel"/>
    <w:tmpl w:val="122453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97F72DD"/>
    <w:multiLevelType w:val="multilevel"/>
    <w:tmpl w:val="8CCCDA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A7016A6"/>
    <w:multiLevelType w:val="multilevel"/>
    <w:tmpl w:val="274022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A7F4EA1"/>
    <w:multiLevelType w:val="multilevel"/>
    <w:tmpl w:val="910874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E783F29"/>
    <w:multiLevelType w:val="multilevel"/>
    <w:tmpl w:val="B442D3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50384453"/>
    <w:multiLevelType w:val="multilevel"/>
    <w:tmpl w:val="B5F4F1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546561AC"/>
    <w:multiLevelType w:val="multilevel"/>
    <w:tmpl w:val="B9022D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55F446BF"/>
    <w:multiLevelType w:val="multilevel"/>
    <w:tmpl w:val="B040FE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60D50483"/>
    <w:multiLevelType w:val="multilevel"/>
    <w:tmpl w:val="6C8831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928034396">
    <w:abstractNumId w:val="12"/>
  </w:num>
  <w:num w:numId="2" w16cid:durableId="782192009">
    <w:abstractNumId w:val="6"/>
  </w:num>
  <w:num w:numId="3" w16cid:durableId="493108883">
    <w:abstractNumId w:val="2"/>
  </w:num>
  <w:num w:numId="4" w16cid:durableId="1362321893">
    <w:abstractNumId w:val="10"/>
  </w:num>
  <w:num w:numId="5" w16cid:durableId="186021012">
    <w:abstractNumId w:val="7"/>
  </w:num>
  <w:num w:numId="6" w16cid:durableId="413090671">
    <w:abstractNumId w:val="4"/>
  </w:num>
  <w:num w:numId="7" w16cid:durableId="463623484">
    <w:abstractNumId w:val="1"/>
  </w:num>
  <w:num w:numId="8" w16cid:durableId="1686010265">
    <w:abstractNumId w:val="5"/>
  </w:num>
  <w:num w:numId="9" w16cid:durableId="1000236220">
    <w:abstractNumId w:val="3"/>
  </w:num>
  <w:num w:numId="10" w16cid:durableId="308172486">
    <w:abstractNumId w:val="11"/>
  </w:num>
  <w:num w:numId="11" w16cid:durableId="476578779">
    <w:abstractNumId w:val="9"/>
  </w:num>
  <w:num w:numId="12" w16cid:durableId="255943118">
    <w:abstractNumId w:val="8"/>
  </w:num>
  <w:num w:numId="13" w16cid:durableId="952714865">
    <w:abstractNumId w:val="13"/>
  </w:num>
  <w:num w:numId="14" w16cid:durableId="5480286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val="fullPage" w:percent="109"/>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6673C"/>
    <w:rsid w:val="00025427"/>
    <w:rsid w:val="00036575"/>
    <w:rsid w:val="000F7A1A"/>
    <w:rsid w:val="001103CE"/>
    <w:rsid w:val="0018569C"/>
    <w:rsid w:val="00191498"/>
    <w:rsid w:val="00193F64"/>
    <w:rsid w:val="001D2892"/>
    <w:rsid w:val="0039783F"/>
    <w:rsid w:val="0043262A"/>
    <w:rsid w:val="004A2442"/>
    <w:rsid w:val="005842FA"/>
    <w:rsid w:val="005E4230"/>
    <w:rsid w:val="00647C77"/>
    <w:rsid w:val="0076673C"/>
    <w:rsid w:val="007E1771"/>
    <w:rsid w:val="009176C2"/>
    <w:rsid w:val="0094299C"/>
    <w:rsid w:val="00942E6B"/>
    <w:rsid w:val="009563BF"/>
    <w:rsid w:val="00964322"/>
    <w:rsid w:val="00976382"/>
    <w:rsid w:val="009A4C09"/>
    <w:rsid w:val="009B28CC"/>
    <w:rsid w:val="00A70343"/>
    <w:rsid w:val="00B30CF6"/>
    <w:rsid w:val="00B83ECC"/>
    <w:rsid w:val="00B95B2B"/>
    <w:rsid w:val="00C0439E"/>
    <w:rsid w:val="00D97628"/>
    <w:rsid w:val="00EF5158"/>
    <w:rsid w:val="00F22943"/>
    <w:rsid w:val="00F724D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F1E7EE8"/>
  <w15:chartTrackingRefBased/>
  <w15:docId w15:val="{63FFF068-0ED6-44E0-823B-F9B57F9210E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6673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76673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76673C"/>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6673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6673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6673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6673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6673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6673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6673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76673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76673C"/>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6673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6673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6673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6673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6673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6673C"/>
    <w:rPr>
      <w:rFonts w:eastAsiaTheme="majorEastAsia" w:cstheme="majorBidi"/>
      <w:color w:val="272727" w:themeColor="text1" w:themeTint="D8"/>
    </w:rPr>
  </w:style>
  <w:style w:type="paragraph" w:styleId="Title">
    <w:name w:val="Title"/>
    <w:basedOn w:val="Normal"/>
    <w:next w:val="Normal"/>
    <w:link w:val="TitleChar"/>
    <w:uiPriority w:val="10"/>
    <w:qFormat/>
    <w:rsid w:val="0076673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6673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6673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6673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6673C"/>
    <w:pPr>
      <w:spacing w:before="160"/>
      <w:jc w:val="center"/>
    </w:pPr>
    <w:rPr>
      <w:i/>
      <w:iCs/>
      <w:color w:val="404040" w:themeColor="text1" w:themeTint="BF"/>
    </w:rPr>
  </w:style>
  <w:style w:type="character" w:customStyle="1" w:styleId="QuoteChar">
    <w:name w:val="Quote Char"/>
    <w:basedOn w:val="DefaultParagraphFont"/>
    <w:link w:val="Quote"/>
    <w:uiPriority w:val="29"/>
    <w:rsid w:val="0076673C"/>
    <w:rPr>
      <w:i/>
      <w:iCs/>
      <w:color w:val="404040" w:themeColor="text1" w:themeTint="BF"/>
    </w:rPr>
  </w:style>
  <w:style w:type="paragraph" w:styleId="ListParagraph">
    <w:name w:val="List Paragraph"/>
    <w:basedOn w:val="Normal"/>
    <w:uiPriority w:val="34"/>
    <w:qFormat/>
    <w:rsid w:val="0076673C"/>
    <w:pPr>
      <w:ind w:left="720"/>
      <w:contextualSpacing/>
    </w:pPr>
  </w:style>
  <w:style w:type="character" w:styleId="IntenseEmphasis">
    <w:name w:val="Intense Emphasis"/>
    <w:basedOn w:val="DefaultParagraphFont"/>
    <w:uiPriority w:val="21"/>
    <w:qFormat/>
    <w:rsid w:val="0076673C"/>
    <w:rPr>
      <w:i/>
      <w:iCs/>
      <w:color w:val="0F4761" w:themeColor="accent1" w:themeShade="BF"/>
    </w:rPr>
  </w:style>
  <w:style w:type="paragraph" w:styleId="IntenseQuote">
    <w:name w:val="Intense Quote"/>
    <w:basedOn w:val="Normal"/>
    <w:next w:val="Normal"/>
    <w:link w:val="IntenseQuoteChar"/>
    <w:uiPriority w:val="30"/>
    <w:qFormat/>
    <w:rsid w:val="0076673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6673C"/>
    <w:rPr>
      <w:i/>
      <w:iCs/>
      <w:color w:val="0F4761" w:themeColor="accent1" w:themeShade="BF"/>
    </w:rPr>
  </w:style>
  <w:style w:type="character" w:styleId="IntenseReference">
    <w:name w:val="Intense Reference"/>
    <w:basedOn w:val="DefaultParagraphFont"/>
    <w:uiPriority w:val="32"/>
    <w:qFormat/>
    <w:rsid w:val="0076673C"/>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fontTable" Target="fontTable.xml"/><Relationship Id="rId5" Type="http://schemas.openxmlformats.org/officeDocument/2006/relationships/image" Target="media/image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91</TotalTime>
  <Pages>11</Pages>
  <Words>1910</Words>
  <Characters>12686</Characters>
  <Application>Microsoft Office Word</Application>
  <DocSecurity>0</DocSecurity>
  <Lines>239</Lines>
  <Paragraphs>103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14493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Md Imran Hasan</dc:creator>
  <cp:keywords/>
  <dc:description/>
  <cp:lastModifiedBy>Md Imran Hasan</cp:lastModifiedBy>
  <cp:revision>29</cp:revision>
  <dcterms:created xsi:type="dcterms:W3CDTF">2025-12-07T19:16:00Z</dcterms:created>
  <dcterms:modified xsi:type="dcterms:W3CDTF">2025-12-08T04:08:00Z</dcterms:modified>
</cp:coreProperties>
</file>