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48"/>
        </w:rPr>
        <w:t>Stack Report &amp; Justification</w:t>
      </w:r>
    </w:p>
    <w:p>
      <w:pPr>
        <w:spacing w:after="200"/>
      </w:pPr>
      <w:r>
        <w:rPr>
          <w:rFonts w:ascii="Calibri" w:hAnsi="Calibri"/>
          <w:color w:val="6B7280"/>
          <w:sz w:val="22"/>
        </w:rPr>
        <w:t>CareerPilot | Hackathon submission support document</w:t>
      </w:r>
    </w:p>
    <w:p>
      <w:r>
        <w:t>This report explains the chosen stack for CareerPilot, why each major platform decision fits the problem statement, and what tradeoffs the team intentionally accepted to ship a working end-to-end product during the hackathon.</w:t>
      </w:r>
    </w:p>
    <w:p>
      <w:pPr>
        <w:pStyle w:val="Heading1"/>
      </w:pPr>
      <w:r>
        <w:t>Executive Summary</w:t>
      </w:r>
    </w:p>
    <w:tbl>
      <w:tblPr>
        <w:tblW w:type="auto" w:w="0"/>
        <w:jc w:val="left"/>
        <w:tblLayout w:type="fixed"/>
        <w:tblLook w:firstColumn="1" w:firstRow="1" w:lastColumn="0" w:lastRow="0" w:noHBand="0" w:noVBand="1" w:val="04A0"/>
      </w:tblPr>
      <w:tblGrid>
        <w:gridCol w:w="2664"/>
        <w:gridCol w:w="6696"/>
      </w:tblGrid>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Product</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CareerPilot</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Core goal</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Turn a user's CV into the source of truth for search, fit scoring, AI guidance, and productivity tracking.</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Frontend</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React + Vite + TypeScript</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Backend</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Node.js + Express + TypeScript</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Database</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MongoDB Atlas + Atlas Vector Search</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Auth</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Firebase Auth</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Storage</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Cloudinary for original CV files</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AI</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OpenAI for embeddings and assistant generation</w:t>
            </w:r>
          </w:p>
        </w:tc>
      </w:tr>
      <w:tr>
        <w:tc>
          <w:tcPr>
            <w:tcW w:type="dxa" w:w="2664"/>
            <w:tcBorders>
              <w:top w:val="single" w:sz="6" w:color="D8E1EB"/>
              <w:left w:val="single" w:sz="6" w:color="D8E1EB"/>
              <w:bottom w:val="single" w:sz="6" w:color="D8E1EB"/>
              <w:right w:val="single" w:sz="6" w:color="D8E1EB"/>
            </w:tcBorders>
            <w:vAlign w:val="center"/>
            <w:shd w:fill="F3F6FA"/>
          </w:tcPr>
          <w:p>
            <w:pPr>
              <w:spacing w:after="0"/>
            </w:pPr>
            <w:r>
              <w:rPr>
                <w:b/>
                <w:color w:val="111827"/>
              </w:rPr>
              <w:t>External tools</w:t>
            </w:r>
          </w:p>
        </w:tc>
        <w:tc>
          <w:tcPr>
            <w:tcW w:type="dxa" w:w="6696"/>
            <w:tcBorders>
              <w:top w:val="single" w:sz="6" w:color="D8E1EB"/>
              <w:left w:val="single" w:sz="6" w:color="D8E1EB"/>
              <w:bottom w:val="single" w:sz="6" w:color="D8E1EB"/>
              <w:right w:val="single" w:sz="6" w:color="D8E1EB"/>
            </w:tcBorders>
            <w:vAlign w:val="center"/>
          </w:tcPr>
          <w:p>
            <w:pPr>
              <w:spacing w:after="0"/>
            </w:pPr>
            <w:r>
              <w:rPr>
                <w:color w:val="111827"/>
              </w:rPr>
              <w:t>Adzuna + Jooble for live job search</w:t>
            </w:r>
          </w:p>
        </w:tc>
      </w:tr>
    </w:tbl>
    <w:p>
      <w:pPr>
        <w:pStyle w:val="Heading1"/>
      </w:pPr>
      <w:r>
        <w:t>Why This Stack Fits The Problem Statement</w:t>
      </w:r>
    </w:p>
    <w:p>
      <w:pPr>
        <w:pStyle w:val="ListBullet"/>
        <w:spacing w:after="80"/>
      </w:pPr>
      <w:r>
        <w:t>The CV can be parsed, chunked, embedded, and reused across agents without building separate profile stores for every feature.</w:t>
      </w:r>
    </w:p>
    <w:p>
      <w:pPr>
        <w:pStyle w:val="ListBullet"/>
        <w:spacing w:after="80"/>
      </w:pPr>
      <w:r>
        <w:t>The backend cleanly owns secret-bearing integrations such as OpenAI, Adzuna, Firebase Admin, and Cloudinary.</w:t>
      </w:r>
    </w:p>
    <w:p>
      <w:pPr>
        <w:pStyle w:val="ListBullet"/>
        <w:spacing w:after="80"/>
      </w:pPr>
      <w:r>
        <w:t>MongoDB Atlas supports both product data and vector-search workflows, which keeps the architecture small enough for a hackathon while still feeling production-shaped.</w:t>
      </w:r>
    </w:p>
    <w:p>
      <w:pPr>
        <w:pStyle w:val="ListBullet"/>
        <w:spacing w:after="80"/>
      </w:pPr>
      <w:r>
        <w:t>The chosen frontend stack supports a dashboard-style command center with fast iteration, strong type safety, and route-level organization.</w:t>
      </w:r>
    </w:p>
    <w:p>
      <w:pPr>
        <w:pStyle w:val="ListBullet"/>
        <w:spacing w:after="80"/>
      </w:pPr>
      <w:r>
        <w:t>The result is a single platform that covers all four pillars instead of stitching together disconnected demos.</w:t>
      </w:r>
    </w:p>
    <w:p>
      <w:pPr>
        <w:pStyle w:val="Heading1"/>
      </w:pPr>
      <w:r>
        <w:t>Stack Decisions By Layer</w:t>
      </w:r>
    </w:p>
    <w:tbl>
      <w:tblPr>
        <w:tblW w:type="auto" w:w="0"/>
        <w:jc w:val="left"/>
        <w:tblLayout w:type="fixed"/>
        <w:tblLook w:firstColumn="1" w:firstRow="1" w:lastColumn="0" w:lastRow="0" w:noHBand="0" w:noVBand="1" w:val="04A0"/>
      </w:tblPr>
      <w:tblGrid>
        <w:gridCol w:w="3120"/>
        <w:gridCol w:w="3120"/>
        <w:gridCol w:w="3120"/>
      </w:tblGrid>
      <w:tr>
        <w:tc>
          <w:tcPr>
            <w:tcW w:type="dxa" w:w="1440"/>
            <w:shd w:fill="E8EEF5"/>
            <w:tcBorders>
              <w:top w:val="single" w:sz="6" w:color="C5D3E0"/>
              <w:left w:val="single" w:sz="6" w:color="C5D3E0"/>
              <w:bottom w:val="single" w:sz="6" w:color="C5D3E0"/>
              <w:right w:val="single" w:sz="6" w:color="C5D3E0"/>
            </w:tcBorders>
            <w:vAlign w:val="center"/>
          </w:tcPr>
          <w:p>
            <w:pPr>
              <w:spacing w:after="0"/>
            </w:pPr>
            <w:r>
              <w:rPr>
                <w:b/>
                <w:color w:val="111827"/>
              </w:rPr>
              <w:t>Layer</w:t>
            </w:r>
          </w:p>
        </w:tc>
        <w:tc>
          <w:tcPr>
            <w:tcW w:type="dxa" w:w="2592"/>
            <w:shd w:fill="E8EEF5"/>
            <w:tcBorders>
              <w:top w:val="single" w:sz="6" w:color="C5D3E0"/>
              <w:left w:val="single" w:sz="6" w:color="C5D3E0"/>
              <w:bottom w:val="single" w:sz="6" w:color="C5D3E0"/>
              <w:right w:val="single" w:sz="6" w:color="C5D3E0"/>
            </w:tcBorders>
            <w:vAlign w:val="center"/>
          </w:tcPr>
          <w:p>
            <w:pPr>
              <w:spacing w:after="0"/>
            </w:pPr>
            <w:r>
              <w:rPr>
                <w:b/>
                <w:color w:val="111827"/>
              </w:rPr>
              <w:t>Choice</w:t>
            </w:r>
          </w:p>
        </w:tc>
        <w:tc>
          <w:tcPr>
            <w:tcW w:type="dxa" w:w="5328"/>
            <w:shd w:fill="E8EEF5"/>
            <w:tcBorders>
              <w:top w:val="single" w:sz="6" w:color="C5D3E0"/>
              <w:left w:val="single" w:sz="6" w:color="C5D3E0"/>
              <w:bottom w:val="single" w:sz="6" w:color="C5D3E0"/>
              <w:right w:val="single" w:sz="6" w:color="C5D3E0"/>
            </w:tcBorders>
            <w:vAlign w:val="center"/>
          </w:tcPr>
          <w:p>
            <w:pPr>
              <w:spacing w:after="0"/>
            </w:pPr>
            <w:r>
              <w:rPr>
                <w:b/>
                <w:color w:val="111827"/>
              </w:rPr>
              <w:t>Justification</w:t>
            </w:r>
          </w:p>
        </w:tc>
      </w:tr>
      <w:tr>
        <w:tc>
          <w:tcPr>
            <w:tcW w:type="dxa" w:w="1440"/>
            <w:tcBorders>
              <w:top w:val="single" w:sz="6" w:color="D8E1EB"/>
              <w:left w:val="single" w:sz="6" w:color="D8E1EB"/>
              <w:bottom w:val="single" w:sz="6" w:color="D8E1EB"/>
              <w:right w:val="single" w:sz="6" w:color="D8E1EB"/>
            </w:tcBorders>
            <w:vAlign w:val="center"/>
          </w:tcPr>
          <w:p>
            <w:pPr>
              <w:spacing w:after="0"/>
            </w:pPr>
            <w:r>
              <w:t>Frontend</w:t>
            </w:r>
          </w:p>
        </w:tc>
        <w:tc>
          <w:tcPr>
            <w:tcW w:type="dxa" w:w="2592"/>
            <w:tcBorders>
              <w:top w:val="single" w:sz="6" w:color="D8E1EB"/>
              <w:left w:val="single" w:sz="6" w:color="D8E1EB"/>
              <w:bottom w:val="single" w:sz="6" w:color="D8E1EB"/>
              <w:right w:val="single" w:sz="6" w:color="D8E1EB"/>
            </w:tcBorders>
            <w:vAlign w:val="center"/>
          </w:tcPr>
          <w:p>
            <w:pPr>
              <w:spacing w:after="0"/>
            </w:pPr>
            <w:r>
              <w:t>React, Vite, TypeScript, React Router, Tailwind, shadcn/ui, React Query</w:t>
            </w:r>
          </w:p>
        </w:tc>
        <w:tc>
          <w:tcPr>
            <w:tcW w:type="dxa" w:w="5328"/>
            <w:tcBorders>
              <w:top w:val="single" w:sz="6" w:color="D8E1EB"/>
              <w:left w:val="single" w:sz="6" w:color="D8E1EB"/>
              <w:bottom w:val="single" w:sz="6" w:color="D8E1EB"/>
              <w:right w:val="single" w:sz="6" w:color="D8E1EB"/>
            </w:tcBorders>
            <w:vAlign w:val="center"/>
          </w:tcPr>
          <w:p>
            <w:pPr>
              <w:spacing w:after="0"/>
            </w:pPr>
            <w:r>
              <w:t>This combination supports a fast dashboard-like product, typed contracts, reusable UI primitives, and predictable async state for jobs, resume workflows, and tracker views.</w:t>
            </w:r>
          </w:p>
        </w:tc>
      </w:tr>
      <w:tr>
        <w:tc>
          <w:tcPr>
            <w:tcW w:type="dxa" w:w="1440"/>
            <w:tcBorders>
              <w:top w:val="single" w:sz="6" w:color="D8E1EB"/>
              <w:left w:val="single" w:sz="6" w:color="D8E1EB"/>
              <w:bottom w:val="single" w:sz="6" w:color="D8E1EB"/>
              <w:right w:val="single" w:sz="6" w:color="D8E1EB"/>
            </w:tcBorders>
            <w:vAlign w:val="center"/>
          </w:tcPr>
          <w:p>
            <w:pPr>
              <w:spacing w:after="0"/>
            </w:pPr>
            <w:r>
              <w:t>Backend</w:t>
            </w:r>
          </w:p>
        </w:tc>
        <w:tc>
          <w:tcPr>
            <w:tcW w:type="dxa" w:w="2592"/>
            <w:tcBorders>
              <w:top w:val="single" w:sz="6" w:color="D8E1EB"/>
              <w:left w:val="single" w:sz="6" w:color="D8E1EB"/>
              <w:bottom w:val="single" w:sz="6" w:color="D8E1EB"/>
              <w:right w:val="single" w:sz="6" w:color="D8E1EB"/>
            </w:tcBorders>
            <w:vAlign w:val="center"/>
          </w:tcPr>
          <w:p>
            <w:pPr>
              <w:spacing w:after="0"/>
            </w:pPr>
            <w:r>
              <w:t>Node.js, Express, TypeScript</w:t>
            </w:r>
          </w:p>
        </w:tc>
        <w:tc>
          <w:tcPr>
            <w:tcW w:type="dxa" w:w="5328"/>
            <w:tcBorders>
              <w:top w:val="single" w:sz="6" w:color="D8E1EB"/>
              <w:left w:val="single" w:sz="6" w:color="D8E1EB"/>
              <w:bottom w:val="single" w:sz="6" w:color="D8E1EB"/>
              <w:right w:val="single" w:sz="6" w:color="D8E1EB"/>
            </w:tcBorders>
            <w:vAlign w:val="center"/>
          </w:tcPr>
          <w:p>
            <w:pPr>
              <w:spacing w:after="0"/>
            </w:pPr>
            <w:r>
              <w:t>The API needed to orchestrate file uploads, parsing, embeddings, vector retrieval, fit scoring, and streaming chat. Express keeps the HTTP layer simple while TypeScript keeps the service boundaries explicit.</w:t>
            </w:r>
          </w:p>
        </w:tc>
      </w:tr>
      <w:tr>
        <w:tc>
          <w:tcPr>
            <w:tcW w:type="dxa" w:w="1440"/>
            <w:tcBorders>
              <w:top w:val="single" w:sz="6" w:color="D8E1EB"/>
              <w:left w:val="single" w:sz="6" w:color="D8E1EB"/>
              <w:bottom w:val="single" w:sz="6" w:color="D8E1EB"/>
              <w:right w:val="single" w:sz="6" w:color="D8E1EB"/>
            </w:tcBorders>
            <w:vAlign w:val="center"/>
          </w:tcPr>
          <w:p>
            <w:pPr>
              <w:spacing w:after="0"/>
            </w:pPr>
            <w:r>
              <w:t>Database</w:t>
            </w:r>
          </w:p>
        </w:tc>
        <w:tc>
          <w:tcPr>
            <w:tcW w:type="dxa" w:w="2592"/>
            <w:tcBorders>
              <w:top w:val="single" w:sz="6" w:color="D8E1EB"/>
              <w:left w:val="single" w:sz="6" w:color="D8E1EB"/>
              <w:bottom w:val="single" w:sz="6" w:color="D8E1EB"/>
              <w:right w:val="single" w:sz="6" w:color="D8E1EB"/>
            </w:tcBorders>
            <w:vAlign w:val="center"/>
          </w:tcPr>
          <w:p>
            <w:pPr>
              <w:spacing w:after="0"/>
            </w:pPr>
            <w:r>
              <w:t>MongoDB Atlas</w:t>
            </w:r>
          </w:p>
        </w:tc>
        <w:tc>
          <w:tcPr>
            <w:tcW w:type="dxa" w:w="5328"/>
            <w:tcBorders>
              <w:top w:val="single" w:sz="6" w:color="D8E1EB"/>
              <w:left w:val="single" w:sz="6" w:color="D8E1EB"/>
              <w:bottom w:val="single" w:sz="6" w:color="D8E1EB"/>
              <w:right w:val="single" w:sz="6" w:color="D8E1EB"/>
            </w:tcBorders>
            <w:vAlign w:val="center"/>
          </w:tcPr>
          <w:p>
            <w:pPr>
              <w:spacing w:after="0"/>
            </w:pPr>
            <w:r>
              <w:t>CareerPilot stores user-scoped documents such as resumes, profile state, applications, goals, tasks, calendar events, and chat history. MongoDB fits this document-heavy model well.</w:t>
            </w:r>
          </w:p>
        </w:tc>
      </w:tr>
      <w:tr>
        <w:tc>
          <w:tcPr>
            <w:tcW w:type="dxa" w:w="1440"/>
            <w:tcBorders>
              <w:top w:val="single" w:sz="6" w:color="D8E1EB"/>
              <w:left w:val="single" w:sz="6" w:color="D8E1EB"/>
              <w:bottom w:val="single" w:sz="6" w:color="D8E1EB"/>
              <w:right w:val="single" w:sz="6" w:color="D8E1EB"/>
            </w:tcBorders>
            <w:vAlign w:val="center"/>
          </w:tcPr>
          <w:p>
            <w:pPr>
              <w:spacing w:after="0"/>
            </w:pPr>
            <w:r>
              <w:t>Vector search</w:t>
            </w:r>
          </w:p>
        </w:tc>
        <w:tc>
          <w:tcPr>
            <w:tcW w:type="dxa" w:w="2592"/>
            <w:tcBorders>
              <w:top w:val="single" w:sz="6" w:color="D8E1EB"/>
              <w:left w:val="single" w:sz="6" w:color="D8E1EB"/>
              <w:bottom w:val="single" w:sz="6" w:color="D8E1EB"/>
              <w:right w:val="single" w:sz="6" w:color="D8E1EB"/>
            </w:tcBorders>
            <w:vAlign w:val="center"/>
          </w:tcPr>
          <w:p>
            <w:pPr>
              <w:spacing w:after="0"/>
            </w:pPr>
            <w:r>
              <w:t>MongoDB Atlas Vector Search</w:t>
            </w:r>
          </w:p>
        </w:tc>
        <w:tc>
          <w:tcPr>
            <w:tcW w:type="dxa" w:w="5328"/>
            <w:tcBorders>
              <w:top w:val="single" w:sz="6" w:color="D8E1EB"/>
              <w:left w:val="single" w:sz="6" w:color="D8E1EB"/>
              <w:bottom w:val="single" w:sz="6" w:color="D8E1EB"/>
              <w:right w:val="single" w:sz="6" w:color="D8E1EB"/>
            </w:tcBorders>
            <w:vAlign w:val="center"/>
          </w:tcPr>
          <w:p>
            <w:pPr>
              <w:spacing w:after="0"/>
            </w:pPr>
            <w:r>
              <w:t>Using Atlas Vector Search avoided a second infrastructure surface for embeddings and kept the RAG pipeline close to the existing product data.</w:t>
            </w:r>
          </w:p>
        </w:tc>
      </w:tr>
      <w:tr>
        <w:tc>
          <w:tcPr>
            <w:tcW w:type="dxa" w:w="1440"/>
            <w:tcBorders>
              <w:top w:val="single" w:sz="6" w:color="D8E1EB"/>
              <w:left w:val="single" w:sz="6" w:color="D8E1EB"/>
              <w:bottom w:val="single" w:sz="6" w:color="D8E1EB"/>
              <w:right w:val="single" w:sz="6" w:color="D8E1EB"/>
            </w:tcBorders>
            <w:vAlign w:val="center"/>
          </w:tcPr>
          <w:p>
            <w:pPr>
              <w:spacing w:after="0"/>
            </w:pPr>
            <w:r>
              <w:t>Authentication</w:t>
            </w:r>
          </w:p>
        </w:tc>
        <w:tc>
          <w:tcPr>
            <w:tcW w:type="dxa" w:w="2592"/>
            <w:tcBorders>
              <w:top w:val="single" w:sz="6" w:color="D8E1EB"/>
              <w:left w:val="single" w:sz="6" w:color="D8E1EB"/>
              <w:bottom w:val="single" w:sz="6" w:color="D8E1EB"/>
              <w:right w:val="single" w:sz="6" w:color="D8E1EB"/>
            </w:tcBorders>
            <w:vAlign w:val="center"/>
          </w:tcPr>
          <w:p>
            <w:pPr>
              <w:spacing w:after="0"/>
            </w:pPr>
            <w:r>
              <w:t>Firebase Auth</w:t>
            </w:r>
          </w:p>
        </w:tc>
        <w:tc>
          <w:tcPr>
            <w:tcW w:type="dxa" w:w="5328"/>
            <w:tcBorders>
              <w:top w:val="single" w:sz="6" w:color="D8E1EB"/>
              <w:left w:val="single" w:sz="6" w:color="D8E1EB"/>
              <w:bottom w:val="single" w:sz="6" w:color="D8E1EB"/>
              <w:right w:val="single" w:sz="6" w:color="D8E1EB"/>
            </w:tcBorders>
            <w:vAlign w:val="center"/>
          </w:tcPr>
          <w:p>
            <w:pPr>
              <w:spacing w:after="0"/>
            </w:pPr>
            <w:r>
              <w:t>Firebase provides a fast path to secure email and Google sign-in, while backend token verification keeps user-owned data scoped safely by UID.</w:t>
            </w:r>
          </w:p>
        </w:tc>
      </w:tr>
      <w:tr>
        <w:tc>
          <w:tcPr>
            <w:tcW w:type="dxa" w:w="1440"/>
            <w:tcBorders>
              <w:top w:val="single" w:sz="6" w:color="D8E1EB"/>
              <w:left w:val="single" w:sz="6" w:color="D8E1EB"/>
              <w:bottom w:val="single" w:sz="6" w:color="D8E1EB"/>
              <w:right w:val="single" w:sz="6" w:color="D8E1EB"/>
            </w:tcBorders>
            <w:vAlign w:val="center"/>
          </w:tcPr>
          <w:p>
            <w:pPr>
              <w:spacing w:after="0"/>
            </w:pPr>
            <w:r>
              <w:t>File storage</w:t>
            </w:r>
          </w:p>
        </w:tc>
        <w:tc>
          <w:tcPr>
            <w:tcW w:type="dxa" w:w="2592"/>
            <w:tcBorders>
              <w:top w:val="single" w:sz="6" w:color="D8E1EB"/>
              <w:left w:val="single" w:sz="6" w:color="D8E1EB"/>
              <w:bottom w:val="single" w:sz="6" w:color="D8E1EB"/>
              <w:right w:val="single" w:sz="6" w:color="D8E1EB"/>
            </w:tcBorders>
            <w:vAlign w:val="center"/>
          </w:tcPr>
          <w:p>
            <w:pPr>
              <w:spacing w:after="0"/>
            </w:pPr>
            <w:r>
              <w:t>Cloudinary</w:t>
            </w:r>
          </w:p>
        </w:tc>
        <w:tc>
          <w:tcPr>
            <w:tcW w:type="dxa" w:w="5328"/>
            <w:tcBorders>
              <w:top w:val="single" w:sz="6" w:color="D8E1EB"/>
              <w:left w:val="single" w:sz="6" w:color="D8E1EB"/>
              <w:bottom w:val="single" w:sz="6" w:color="D8E1EB"/>
              <w:right w:val="single" w:sz="6" w:color="D8E1EB"/>
            </w:tcBorders>
            <w:vAlign w:val="center"/>
          </w:tcPr>
          <w:p>
            <w:pPr>
              <w:spacing w:after="0"/>
            </w:pPr>
            <w:r>
              <w:t>Cloudinary replaced Firebase Storage because the project needed a practical resume-file host without relying on a premium Firebase storage path.</w:t>
            </w:r>
          </w:p>
        </w:tc>
      </w:tr>
      <w:tr>
        <w:tc>
          <w:tcPr>
            <w:tcW w:type="dxa" w:w="1440"/>
            <w:tcBorders>
              <w:top w:val="single" w:sz="6" w:color="D8E1EB"/>
              <w:left w:val="single" w:sz="6" w:color="D8E1EB"/>
              <w:bottom w:val="single" w:sz="6" w:color="D8E1EB"/>
              <w:right w:val="single" w:sz="6" w:color="D8E1EB"/>
            </w:tcBorders>
            <w:vAlign w:val="center"/>
          </w:tcPr>
          <w:p>
            <w:pPr>
              <w:spacing w:after="0"/>
            </w:pPr>
            <w:r>
              <w:t>AI</w:t>
            </w:r>
          </w:p>
        </w:tc>
        <w:tc>
          <w:tcPr>
            <w:tcW w:type="dxa" w:w="2592"/>
            <w:tcBorders>
              <w:top w:val="single" w:sz="6" w:color="D8E1EB"/>
              <w:left w:val="single" w:sz="6" w:color="D8E1EB"/>
              <w:bottom w:val="single" w:sz="6" w:color="D8E1EB"/>
              <w:right w:val="single" w:sz="6" w:color="D8E1EB"/>
            </w:tcBorders>
            <w:vAlign w:val="center"/>
          </w:tcPr>
          <w:p>
            <w:pPr>
              <w:spacing w:after="0"/>
            </w:pPr>
            <w:r>
              <w:t>OpenAI</w:t>
            </w:r>
          </w:p>
        </w:tc>
        <w:tc>
          <w:tcPr>
            <w:tcW w:type="dxa" w:w="5328"/>
            <w:tcBorders>
              <w:top w:val="single" w:sz="6" w:color="D8E1EB"/>
              <w:left w:val="single" w:sz="6" w:color="D8E1EB"/>
              <w:bottom w:val="single" w:sz="6" w:color="D8E1EB"/>
              <w:right w:val="single" w:sz="6" w:color="D8E1EB"/>
            </w:tcBorders>
            <w:vAlign w:val="center"/>
          </w:tcPr>
          <w:p>
            <w:pPr>
              <w:spacing w:after="0"/>
            </w:pPr>
            <w:r>
              <w:t>OpenAI is used in a bounded way: embeddings for RAG, assistant generation for grounded responses, and optional explanation text after deterministic scoring already exists.</w:t>
            </w:r>
          </w:p>
        </w:tc>
      </w:tr>
      <w:tr>
        <w:tc>
          <w:tcPr>
            <w:tcW w:type="dxa" w:w="1440"/>
            <w:tcBorders>
              <w:top w:val="single" w:sz="6" w:color="D8E1EB"/>
              <w:left w:val="single" w:sz="6" w:color="D8E1EB"/>
              <w:bottom w:val="single" w:sz="6" w:color="D8E1EB"/>
              <w:right w:val="single" w:sz="6" w:color="D8E1EB"/>
            </w:tcBorders>
            <w:vAlign w:val="center"/>
          </w:tcPr>
          <w:p>
            <w:pPr>
              <w:spacing w:after="0"/>
            </w:pPr>
            <w:r>
              <w:t>Jobs sources</w:t>
            </w:r>
          </w:p>
        </w:tc>
        <w:tc>
          <w:tcPr>
            <w:tcW w:type="dxa" w:w="2592"/>
            <w:tcBorders>
              <w:top w:val="single" w:sz="6" w:color="D8E1EB"/>
              <w:left w:val="single" w:sz="6" w:color="D8E1EB"/>
              <w:bottom w:val="single" w:sz="6" w:color="D8E1EB"/>
              <w:right w:val="single" w:sz="6" w:color="D8E1EB"/>
            </w:tcBorders>
            <w:vAlign w:val="center"/>
          </w:tcPr>
          <w:p>
            <w:pPr>
              <w:spacing w:after="0"/>
            </w:pPr>
            <w:r>
              <w:t>Adzuna API + Jooble API</w:t>
            </w:r>
          </w:p>
        </w:tc>
        <w:tc>
          <w:tcPr>
            <w:tcW w:type="dxa" w:w="5328"/>
            <w:tcBorders>
              <w:top w:val="single" w:sz="6" w:color="D8E1EB"/>
              <w:left w:val="single" w:sz="6" w:color="D8E1EB"/>
              <w:bottom w:val="single" w:sz="6" w:color="D8E1EB"/>
              <w:right w:val="single" w:sz="6" w:color="D8E1EB"/>
            </w:tcBorders>
            <w:vAlign w:val="center"/>
          </w:tcPr>
          <w:p>
            <w:pPr>
              <w:spacing w:after="0"/>
            </w:pPr>
            <w:r>
              <w:t>Adzuna covers the configured US market while Jooble broadens international search coverage. The backend merges, filters, dedupes, and ranks results after parsing one natural-language query.</w:t>
            </w:r>
          </w:p>
        </w:tc>
      </w:tr>
      <w:tr>
        <w:tc>
          <w:tcPr>
            <w:tcW w:type="dxa" w:w="1440"/>
            <w:tcBorders>
              <w:top w:val="single" w:sz="6" w:color="D8E1EB"/>
              <w:left w:val="single" w:sz="6" w:color="D8E1EB"/>
              <w:bottom w:val="single" w:sz="6" w:color="D8E1EB"/>
              <w:right w:val="single" w:sz="6" w:color="D8E1EB"/>
            </w:tcBorders>
            <w:vAlign w:val="center"/>
          </w:tcPr>
          <w:p>
            <w:pPr>
              <w:spacing w:after="0"/>
            </w:pPr>
            <w:r>
              <w:t>Deployment</w:t>
            </w:r>
          </w:p>
        </w:tc>
        <w:tc>
          <w:tcPr>
            <w:tcW w:type="dxa" w:w="2592"/>
            <w:tcBorders>
              <w:top w:val="single" w:sz="6" w:color="D8E1EB"/>
              <w:left w:val="single" w:sz="6" w:color="D8E1EB"/>
              <w:bottom w:val="single" w:sz="6" w:color="D8E1EB"/>
              <w:right w:val="single" w:sz="6" w:color="D8E1EB"/>
            </w:tcBorders>
            <w:vAlign w:val="center"/>
          </w:tcPr>
          <w:p>
            <w:pPr>
              <w:spacing w:after="0"/>
            </w:pPr>
            <w:r>
              <w:t>Vercel + Railway</w:t>
            </w:r>
          </w:p>
        </w:tc>
        <w:tc>
          <w:tcPr>
            <w:tcW w:type="dxa" w:w="5328"/>
            <w:tcBorders>
              <w:top w:val="single" w:sz="6" w:color="D8E1EB"/>
              <w:left w:val="single" w:sz="6" w:color="D8E1EB"/>
              <w:bottom w:val="single" w:sz="6" w:color="D8E1EB"/>
              <w:right w:val="single" w:sz="6" w:color="D8E1EB"/>
            </w:tcBorders>
            <w:vAlign w:val="center"/>
          </w:tcPr>
          <w:p>
            <w:pPr>
              <w:spacing w:after="0"/>
            </w:pPr>
            <w:r>
              <w:t>This split keeps the frontend and backend deploy surfaces simple, works well with Git-based deployment, and matches the team's local development flow.</w:t>
            </w:r>
          </w:p>
        </w:tc>
      </w:tr>
    </w:tbl>
    <w:p>
      <w:pPr>
        <w:pStyle w:val="Heading1"/>
      </w:pPr>
      <w:r>
        <w:t>How The Stack Satisfies Core Technical Requirements</w:t>
      </w:r>
    </w:p>
    <w:p>
      <w:pPr>
        <w:pStyle w:val="ListNumber"/>
        <w:spacing w:after="80"/>
      </w:pPr>
      <w:r>
        <w:t>RAG grounded in the user's actual CV is supported by resume parsing, chunking, OpenAI embeddings, and MongoDB Atlas Vector Search.</w:t>
      </w:r>
    </w:p>
    <w:p>
      <w:pPr>
        <w:pStyle w:val="ListNumber"/>
        <w:spacing w:after="80"/>
      </w:pPr>
      <w:r>
        <w:t>At least one agent uses external tool calls through the live Adzuna and Jooble job-search integrations.</w:t>
      </w:r>
    </w:p>
    <w:p>
      <w:pPr>
        <w:pStyle w:val="ListNumber"/>
        <w:spacing w:after="80"/>
      </w:pPr>
      <w:r>
        <w:t>Conversational memory within a session is supported through stored chat session state and restored frontend session context.</w:t>
      </w:r>
    </w:p>
    <w:p>
      <w:pPr>
        <w:pStyle w:val="ListNumber"/>
        <w:spacing w:after="80"/>
      </w:pPr>
      <w:r>
        <w:t>Fit score is computed programmatically through deterministic criteria instead of being invented by the LLM.</w:t>
      </w:r>
    </w:p>
    <w:p>
      <w:pPr>
        <w:pStyle w:val="ListNumber"/>
        <w:spacing w:after="80"/>
      </w:pPr>
      <w:r>
        <w:t>The tracker module includes live applications, goals, tasks, and calendar views connected to backend workspace data.</w:t>
      </w:r>
    </w:p>
    <w:p>
      <w:pPr>
        <w:pStyle w:val="Heading1"/>
      </w:pPr>
      <w:r>
        <w:t>Key Tradeoffs And Justifications</w:t>
      </w:r>
    </w:p>
    <w:tbl>
      <w:tblPr>
        <w:tblW w:type="auto" w:w="0"/>
        <w:jc w:val="left"/>
        <w:tblLayout w:type="fixed"/>
        <w:tblLook w:firstColumn="1" w:firstRow="1" w:lastColumn="0" w:lastRow="0" w:noHBand="0" w:noVBand="1" w:val="04A0"/>
      </w:tblPr>
      <w:tblGrid>
        <w:gridCol w:w="3120"/>
        <w:gridCol w:w="3120"/>
        <w:gridCol w:w="3120"/>
      </w:tblGrid>
      <w:tr>
        <w:tc>
          <w:tcPr>
            <w:tcW w:type="dxa" w:w="2160"/>
            <w:shd w:fill="E8EEF5"/>
            <w:tcBorders>
              <w:top w:val="single" w:sz="6" w:color="C5D3E0"/>
              <w:left w:val="single" w:sz="6" w:color="C5D3E0"/>
              <w:bottom w:val="single" w:sz="6" w:color="C5D3E0"/>
              <w:right w:val="single" w:sz="6" w:color="C5D3E0"/>
            </w:tcBorders>
            <w:vAlign w:val="center"/>
          </w:tcPr>
          <w:p>
            <w:pPr>
              <w:spacing w:after="0"/>
            </w:pPr>
            <w:r>
              <w:rPr>
                <w:b/>
                <w:color w:val="111827"/>
              </w:rPr>
              <w:t>Tradeoff</w:t>
            </w:r>
          </w:p>
        </w:tc>
        <w:tc>
          <w:tcPr>
            <w:tcW w:type="dxa" w:w="3312"/>
            <w:shd w:fill="E8EEF5"/>
            <w:tcBorders>
              <w:top w:val="single" w:sz="6" w:color="C5D3E0"/>
              <w:left w:val="single" w:sz="6" w:color="C5D3E0"/>
              <w:bottom w:val="single" w:sz="6" w:color="C5D3E0"/>
              <w:right w:val="single" w:sz="6" w:color="C5D3E0"/>
            </w:tcBorders>
            <w:vAlign w:val="center"/>
          </w:tcPr>
          <w:p>
            <w:pPr>
              <w:spacing w:after="0"/>
            </w:pPr>
            <w:r>
              <w:rPr>
                <w:b/>
                <w:color w:val="111827"/>
              </w:rPr>
              <w:t>Why it was chosen</w:t>
            </w:r>
          </w:p>
        </w:tc>
        <w:tc>
          <w:tcPr>
            <w:tcW w:type="dxa" w:w="3888"/>
            <w:shd w:fill="E8EEF5"/>
            <w:tcBorders>
              <w:top w:val="single" w:sz="6" w:color="C5D3E0"/>
              <w:left w:val="single" w:sz="6" w:color="C5D3E0"/>
              <w:bottom w:val="single" w:sz="6" w:color="C5D3E0"/>
              <w:right w:val="single" w:sz="6" w:color="C5D3E0"/>
            </w:tcBorders>
            <w:vAlign w:val="center"/>
          </w:tcPr>
          <w:p>
            <w:pPr>
              <w:spacing w:after="0"/>
            </w:pPr>
            <w:r>
              <w:rPr>
                <w:b/>
                <w:color w:val="111827"/>
              </w:rPr>
              <w:t>Impact</w:t>
            </w:r>
          </w:p>
        </w:tc>
      </w:tr>
      <w:tr>
        <w:tc>
          <w:tcPr>
            <w:tcW w:type="dxa" w:w="2160"/>
            <w:tcBorders>
              <w:top w:val="single" w:sz="6" w:color="D8E1EB"/>
              <w:left w:val="single" w:sz="6" w:color="D8E1EB"/>
              <w:bottom w:val="single" w:sz="6" w:color="D8E1EB"/>
              <w:right w:val="single" w:sz="6" w:color="D8E1EB"/>
            </w:tcBorders>
            <w:vAlign w:val="center"/>
          </w:tcPr>
          <w:p>
            <w:pPr>
              <w:spacing w:after="0"/>
            </w:pPr>
            <w:r>
              <w:t>MongoDB for both app data and vectors</w:t>
            </w:r>
          </w:p>
        </w:tc>
        <w:tc>
          <w:tcPr>
            <w:tcW w:type="dxa" w:w="3312"/>
            <w:tcBorders>
              <w:top w:val="single" w:sz="6" w:color="D8E1EB"/>
              <w:left w:val="single" w:sz="6" w:color="D8E1EB"/>
              <w:bottom w:val="single" w:sz="6" w:color="D8E1EB"/>
              <w:right w:val="single" w:sz="6" w:color="D8E1EB"/>
            </w:tcBorders>
            <w:vAlign w:val="center"/>
          </w:tcPr>
          <w:p>
            <w:pPr>
              <w:spacing w:after="0"/>
            </w:pPr>
            <w:r>
              <w:t>This reduced infrastructure sprawl and kept the hackathon implementation focused.</w:t>
            </w:r>
          </w:p>
        </w:tc>
        <w:tc>
          <w:tcPr>
            <w:tcW w:type="dxa" w:w="3888"/>
            <w:tcBorders>
              <w:top w:val="single" w:sz="6" w:color="D8E1EB"/>
              <w:left w:val="single" w:sz="6" w:color="D8E1EB"/>
              <w:bottom w:val="single" w:sz="6" w:color="D8E1EB"/>
              <w:right w:val="single" w:sz="6" w:color="D8E1EB"/>
            </w:tcBorders>
            <w:vAlign w:val="center"/>
          </w:tcPr>
          <w:p>
            <w:pPr>
              <w:spacing w:after="0"/>
            </w:pPr>
            <w:r>
              <w:t>Simpler architecture, slightly less specialized than a dedicated vector database.</w:t>
            </w:r>
          </w:p>
        </w:tc>
      </w:tr>
      <w:tr>
        <w:tc>
          <w:tcPr>
            <w:tcW w:type="dxa" w:w="2160"/>
            <w:tcBorders>
              <w:top w:val="single" w:sz="6" w:color="D8E1EB"/>
              <w:left w:val="single" w:sz="6" w:color="D8E1EB"/>
              <w:bottom w:val="single" w:sz="6" w:color="D8E1EB"/>
              <w:right w:val="single" w:sz="6" w:color="D8E1EB"/>
            </w:tcBorders>
            <w:vAlign w:val="center"/>
          </w:tcPr>
          <w:p>
            <w:pPr>
              <w:spacing w:after="0"/>
            </w:pPr>
            <w:r>
              <w:t>Backend-only AI orchestration</w:t>
            </w:r>
          </w:p>
        </w:tc>
        <w:tc>
          <w:tcPr>
            <w:tcW w:type="dxa" w:w="3312"/>
            <w:tcBorders>
              <w:top w:val="single" w:sz="6" w:color="D8E1EB"/>
              <w:left w:val="single" w:sz="6" w:color="D8E1EB"/>
              <w:bottom w:val="single" w:sz="6" w:color="D8E1EB"/>
              <w:right w:val="single" w:sz="6" w:color="D8E1EB"/>
            </w:tcBorders>
            <w:vAlign w:val="center"/>
          </w:tcPr>
          <w:p>
            <w:pPr>
              <w:spacing w:after="0"/>
            </w:pPr>
            <w:r>
              <w:t>Needed for security, grounding, and future portability of prompts and memory assembly.</w:t>
            </w:r>
          </w:p>
        </w:tc>
        <w:tc>
          <w:tcPr>
            <w:tcW w:type="dxa" w:w="3888"/>
            <w:tcBorders>
              <w:top w:val="single" w:sz="6" w:color="D8E1EB"/>
              <w:left w:val="single" w:sz="6" w:color="D8E1EB"/>
              <w:bottom w:val="single" w:sz="6" w:color="D8E1EB"/>
              <w:right w:val="single" w:sz="6" w:color="D8E1EB"/>
            </w:tcBorders>
            <w:vAlign w:val="center"/>
          </w:tcPr>
          <w:p>
            <w:pPr>
              <w:spacing w:after="0"/>
            </w:pPr>
            <w:r>
              <w:t>Slightly more backend complexity, much safer secret handling.</w:t>
            </w:r>
          </w:p>
        </w:tc>
      </w:tr>
      <w:tr>
        <w:tc>
          <w:tcPr>
            <w:tcW w:type="dxa" w:w="2160"/>
            <w:tcBorders>
              <w:top w:val="single" w:sz="6" w:color="D8E1EB"/>
              <w:left w:val="single" w:sz="6" w:color="D8E1EB"/>
              <w:bottom w:val="single" w:sz="6" w:color="D8E1EB"/>
              <w:right w:val="single" w:sz="6" w:color="D8E1EB"/>
            </w:tcBorders>
            <w:vAlign w:val="center"/>
          </w:tcPr>
          <w:p>
            <w:pPr>
              <w:spacing w:after="0"/>
            </w:pPr>
            <w:r>
              <w:t>Cloudinary instead of Firebase Storage</w:t>
            </w:r>
          </w:p>
        </w:tc>
        <w:tc>
          <w:tcPr>
            <w:tcW w:type="dxa" w:w="3312"/>
            <w:tcBorders>
              <w:top w:val="single" w:sz="6" w:color="D8E1EB"/>
              <w:left w:val="single" w:sz="6" w:color="D8E1EB"/>
              <w:bottom w:val="single" w:sz="6" w:color="D8E1EB"/>
              <w:right w:val="single" w:sz="6" w:color="D8E1EB"/>
            </w:tcBorders>
            <w:vAlign w:val="center"/>
          </w:tcPr>
          <w:p>
            <w:pPr>
              <w:spacing w:after="0"/>
            </w:pPr>
            <w:r>
              <w:t>Practical response to storage-plan limits while preserving resume upload behavior.</w:t>
            </w:r>
          </w:p>
        </w:tc>
        <w:tc>
          <w:tcPr>
            <w:tcW w:type="dxa" w:w="3888"/>
            <w:tcBorders>
              <w:top w:val="single" w:sz="6" w:color="D8E1EB"/>
              <w:left w:val="single" w:sz="6" w:color="D8E1EB"/>
              <w:bottom w:val="single" w:sz="6" w:color="D8E1EB"/>
              <w:right w:val="single" w:sz="6" w:color="D8E1EB"/>
            </w:tcBorders>
            <w:vAlign w:val="center"/>
          </w:tcPr>
          <w:p>
            <w:pPr>
              <w:spacing w:after="0"/>
            </w:pPr>
            <w:r>
              <w:t>Small provider swap, no meaningful product regression.</w:t>
            </w:r>
          </w:p>
        </w:tc>
      </w:tr>
      <w:tr>
        <w:tc>
          <w:tcPr>
            <w:tcW w:type="dxa" w:w="2160"/>
            <w:tcBorders>
              <w:top w:val="single" w:sz="6" w:color="D8E1EB"/>
              <w:left w:val="single" w:sz="6" w:color="D8E1EB"/>
              <w:bottom w:val="single" w:sz="6" w:color="D8E1EB"/>
              <w:right w:val="single" w:sz="6" w:color="D8E1EB"/>
            </w:tcBorders>
            <w:vAlign w:val="center"/>
          </w:tcPr>
          <w:p>
            <w:pPr>
              <w:spacing w:after="0"/>
            </w:pPr>
            <w:r>
              <w:t>Deterministic score plus AI explanation</w:t>
            </w:r>
          </w:p>
        </w:tc>
        <w:tc>
          <w:tcPr>
            <w:tcW w:type="dxa" w:w="3312"/>
            <w:tcBorders>
              <w:top w:val="single" w:sz="6" w:color="D8E1EB"/>
              <w:left w:val="single" w:sz="6" w:color="D8E1EB"/>
              <w:bottom w:val="single" w:sz="6" w:color="D8E1EB"/>
              <w:right w:val="single" w:sz="6" w:color="D8E1EB"/>
            </w:tcBorders>
            <w:vAlign w:val="center"/>
          </w:tcPr>
          <w:p>
            <w:pPr>
              <w:spacing w:after="0"/>
            </w:pPr>
            <w:r>
              <w:t>This keeps scoring inspectable and judge-friendly while still allowing natural-language explanation.</w:t>
            </w:r>
          </w:p>
        </w:tc>
        <w:tc>
          <w:tcPr>
            <w:tcW w:type="dxa" w:w="3888"/>
            <w:tcBorders>
              <w:top w:val="single" w:sz="6" w:color="D8E1EB"/>
              <w:left w:val="single" w:sz="6" w:color="D8E1EB"/>
              <w:bottom w:val="single" w:sz="6" w:color="D8E1EB"/>
              <w:right w:val="single" w:sz="6" w:color="D8E1EB"/>
            </w:tcBorders>
            <w:vAlign w:val="center"/>
          </w:tcPr>
          <w:p>
            <w:pPr>
              <w:spacing w:after="0"/>
            </w:pPr>
            <w:r>
              <w:t>Higher trust and explainability than a pure LLM-scored system.</w:t>
            </w:r>
          </w:p>
        </w:tc>
      </w:tr>
    </w:tbl>
    <w:p>
      <w:pPr>
        <w:pStyle w:val="Heading1"/>
      </w:pPr>
      <w:r>
        <w:t>Why The Team Would Keep This Stack After The Hackathon</w:t>
      </w:r>
    </w:p>
    <w:p>
      <w:pPr>
        <w:pStyle w:val="ListBullet"/>
        <w:spacing w:after="80"/>
      </w:pPr>
      <w:r>
        <w:t>The separation between frontend, backend, and shared contracts is strong enough to keep extending safely.</w:t>
      </w:r>
    </w:p>
    <w:p>
      <w:pPr>
        <w:pStyle w:val="ListBullet"/>
        <w:spacing w:after="80"/>
      </w:pPr>
      <w:r>
        <w:t>The data model already supports real tracker workflows instead of a one-time AI demo.</w:t>
      </w:r>
    </w:p>
    <w:p>
      <w:pPr>
        <w:pStyle w:val="ListBullet"/>
        <w:spacing w:after="80"/>
      </w:pPr>
      <w:r>
        <w:t>The stack scales by adding backend instances and refining indexing and caching rather than rewriting the system.</w:t>
      </w:r>
    </w:p>
    <w:p>
      <w:pPr>
        <w:pStyle w:val="ListBullet"/>
        <w:spacing w:after="80"/>
      </w:pPr>
      <w:r>
        <w:t>The architecture stays understandable for judges, teammates, and future maintainers.</w:t>
      </w:r>
    </w:p>
    <w:p>
      <w:pPr>
        <w:pStyle w:val="Heading1"/>
      </w:pPr>
      <w:r>
        <w:t>Conclusion</w:t>
      </w:r>
    </w:p>
    <w:p>
      <w:r>
        <w:t>The chosen stack is justified not because it is trendy, but because it supports grounded AI, deterministic scoring, live search, and real user workflow execution in one coherent product. It is small enough to ship during a hackathon and structured enough to evolve after the event.</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CareerPilot Hackathon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B7280"/>
        <w:sz w:val="18"/>
      </w:rPr>
      <w:t>Stack Report &amp; Justification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