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607B" w14:textId="77777777" w:rsidR="00CE2CFF" w:rsidRDefault="00CE2CFF" w:rsidP="00CE2CFF">
      <w:pPr>
        <w:rPr>
          <w:rFonts w:ascii="Times New Roman" w:hAnsi="Times New Roman" w:cs="Times New Roman"/>
        </w:rPr>
      </w:pPr>
    </w:p>
    <w:p w14:paraId="1D693A82" w14:textId="77777777" w:rsidR="00CE2CFF" w:rsidRPr="00C503D2" w:rsidRDefault="00CE2CFF" w:rsidP="00CE2CFF">
      <w:pPr>
        <w:spacing w:line="360" w:lineRule="auto"/>
        <w:jc w:val="center"/>
        <w:rPr>
          <w:rFonts w:ascii="Times New Roman" w:hAnsi="Times New Roman" w:cs="Times New Roman"/>
          <w:b/>
          <w:bCs/>
          <w:sz w:val="32"/>
          <w:szCs w:val="32"/>
        </w:rPr>
      </w:pPr>
      <w:r w:rsidRPr="00C503D2">
        <w:rPr>
          <w:rFonts w:ascii="Times New Roman" w:hAnsi="Times New Roman" w:cs="Times New Roman"/>
          <w:b/>
          <w:bCs/>
          <w:sz w:val="32"/>
          <w:szCs w:val="32"/>
        </w:rPr>
        <w:t xml:space="preserve">Chapter </w:t>
      </w:r>
      <w:r>
        <w:rPr>
          <w:rFonts w:ascii="Times New Roman" w:hAnsi="Times New Roman" w:cs="Times New Roman"/>
          <w:b/>
          <w:bCs/>
          <w:sz w:val="32"/>
          <w:szCs w:val="32"/>
        </w:rPr>
        <w:t>Five</w:t>
      </w:r>
    </w:p>
    <w:p w14:paraId="68F64F50" w14:textId="77777777" w:rsidR="00CE2CFF" w:rsidRDefault="00CE2CFF" w:rsidP="00CE2CFF">
      <w:pPr>
        <w:spacing w:line="360" w:lineRule="auto"/>
        <w:jc w:val="center"/>
        <w:rPr>
          <w:rFonts w:ascii="Times New Roman" w:hAnsi="Times New Roman" w:cs="Times New Roman"/>
          <w:b/>
          <w:bCs/>
          <w:sz w:val="28"/>
          <w:szCs w:val="28"/>
        </w:rPr>
      </w:pPr>
      <w:r w:rsidRPr="00C503D2">
        <w:rPr>
          <w:rFonts w:ascii="Times New Roman" w:hAnsi="Times New Roman" w:cs="Times New Roman"/>
          <w:b/>
          <w:bCs/>
          <w:sz w:val="28"/>
          <w:szCs w:val="28"/>
        </w:rPr>
        <w:t>Regression Analysis</w:t>
      </w:r>
    </w:p>
    <w:p w14:paraId="4C4D91D8" w14:textId="77777777" w:rsidR="00CE2CFF" w:rsidRDefault="00CE2CFF" w:rsidP="00CE2CFF">
      <w:pPr>
        <w:spacing w:line="360" w:lineRule="auto"/>
        <w:rPr>
          <w:rFonts w:ascii="Times New Roman" w:hAnsi="Times New Roman" w:cs="Times New Roman"/>
          <w:b/>
          <w:bCs/>
          <w:sz w:val="28"/>
          <w:szCs w:val="28"/>
        </w:rPr>
      </w:pPr>
    </w:p>
    <w:p w14:paraId="56E0E6E1" w14:textId="77777777" w:rsidR="00CE2CFF" w:rsidRDefault="00CE2CFF" w:rsidP="00CE2CFF">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Pr="00C503D2">
        <w:rPr>
          <w:rFonts w:ascii="Times New Roman" w:hAnsi="Times New Roman" w:cs="Times New Roman"/>
          <w:b/>
          <w:bCs/>
          <w:sz w:val="28"/>
          <w:szCs w:val="28"/>
        </w:rPr>
        <w:t>.1 Multiple Linear Regression</w:t>
      </w:r>
    </w:p>
    <w:p w14:paraId="0D0636A9" w14:textId="77777777" w:rsidR="00CE2CFF" w:rsidRDefault="00CE2CFF" w:rsidP="00CE2CFF">
      <w:pPr>
        <w:spacing w:line="360" w:lineRule="auto"/>
        <w:jc w:val="both"/>
        <w:rPr>
          <w:rFonts w:ascii="Times New Roman" w:hAnsi="Times New Roman" w:cs="Times New Roman"/>
        </w:rPr>
      </w:pPr>
      <w:r w:rsidRPr="00C503D2">
        <w:rPr>
          <w:rFonts w:ascii="Times New Roman" w:hAnsi="Times New Roman" w:cs="Times New Roman"/>
        </w:rPr>
        <w:t>Multiple Linear Regression (MLR) is a statistical technique used to model the linear relationship between a single dependent variable and two or more independent variables.</w:t>
      </w:r>
      <w:r>
        <w:rPr>
          <w:rFonts w:ascii="Times New Roman" w:hAnsi="Times New Roman" w:cs="Times New Roman"/>
        </w:rPr>
        <w:t xml:space="preserve"> </w:t>
      </w:r>
      <w:r w:rsidRPr="00C503D2">
        <w:rPr>
          <w:rFonts w:ascii="Times New Roman" w:hAnsi="Times New Roman" w:cs="Times New Roman"/>
        </w:rPr>
        <w:t xml:space="preserve">It is an extension of simple linear regression, offering a more realistic approach to modeling real-world phenomena </w:t>
      </w:r>
      <w:r>
        <w:rPr>
          <w:rFonts w:ascii="Times New Roman" w:hAnsi="Times New Roman" w:cs="Times New Roman"/>
        </w:rPr>
        <w:t xml:space="preserve">  </w:t>
      </w:r>
      <w:r w:rsidRPr="00C503D2">
        <w:rPr>
          <w:rFonts w:ascii="Times New Roman" w:hAnsi="Times New Roman" w:cs="Times New Roman"/>
        </w:rPr>
        <w:t>where an outcome is influenced by multiple factors simultaneously.</w:t>
      </w:r>
    </w:p>
    <w:p w14:paraId="426B9A9B" w14:textId="77777777" w:rsidR="00CE2CFF" w:rsidRPr="00C503D2" w:rsidRDefault="00CE2CFF" w:rsidP="00CE2CFF">
      <w:pPr>
        <w:spacing w:line="360" w:lineRule="auto"/>
        <w:jc w:val="both"/>
        <w:rPr>
          <w:rFonts w:ascii="Times New Roman" w:hAnsi="Times New Roman" w:cs="Times New Roman"/>
        </w:rPr>
      </w:pPr>
      <w:r w:rsidRPr="00C503D2">
        <w:rPr>
          <w:rFonts w:ascii="Times New Roman" w:hAnsi="Times New Roman" w:cs="Times New Roman"/>
        </w:rPr>
        <w:t xml:space="preserve">We model Y directly as a linear function of the explanatory variables and estimate the regression coefficients by the </w:t>
      </w:r>
      <w:r w:rsidRPr="00C503D2">
        <w:rPr>
          <w:rFonts w:ascii="Times New Roman" w:hAnsi="Times New Roman" w:cs="Times New Roman"/>
          <w:b/>
          <w:bCs/>
        </w:rPr>
        <w:t>method of least squares (Ordinary Least Squares - OLS)</w:t>
      </w:r>
      <w:r w:rsidRPr="00C503D2">
        <w:rPr>
          <w:rFonts w:ascii="Times New Roman" w:hAnsi="Times New Roman" w:cs="Times New Roman"/>
        </w:rPr>
        <w:t>, which minimizes the sum of the squared differences between the observed and predicted values.</w:t>
      </w:r>
    </w:p>
    <w:p w14:paraId="35170267" w14:textId="77777777" w:rsidR="00CE2CFF" w:rsidRPr="00C503D2" w:rsidRDefault="00CE2CFF" w:rsidP="00CE2CFF">
      <w:pPr>
        <w:spacing w:line="360" w:lineRule="auto"/>
        <w:jc w:val="both"/>
        <w:rPr>
          <w:rFonts w:ascii="Times New Roman" w:hAnsi="Times New Roman" w:cs="Times New Roman"/>
        </w:rPr>
      </w:pPr>
      <w:r w:rsidRPr="00C503D2">
        <w:rPr>
          <w:rFonts w:ascii="Times New Roman" w:hAnsi="Times New Roman" w:cs="Times New Roman"/>
        </w:rPr>
        <w:t>The standard multiple linear regression model is given by:</w:t>
      </w:r>
    </w:p>
    <w:p w14:paraId="4EC3F7F1" w14:textId="77777777" w:rsidR="00CE2CFF" w:rsidRPr="007C1A5D" w:rsidRDefault="00CE2CFF" w:rsidP="00CE2CFF">
      <w:pPr>
        <w:spacing w:line="360" w:lineRule="auto"/>
        <w:rPr>
          <w:rFonts w:ascii="Times New Roman" w:eastAsiaTheme="minorEastAsia" w:hAnsi="Times New Roman" w:cs="Times New Roman"/>
          <w:b/>
          <w:bCs/>
        </w:rPr>
      </w:pPr>
      <m:oMathPara>
        <m:oMath>
          <m:r>
            <m:rPr>
              <m:sty m:val="bi"/>
            </m:rPr>
            <w:rPr>
              <w:rFonts w:ascii="Cambria Math" w:hAnsi="Cambria Math" w:cs="Times New Roman"/>
            </w:rPr>
            <m:t xml:space="preserve">Y= </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1</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1</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2</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2</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q</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q</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ℇ</m:t>
              </m:r>
            </m:e>
            <m:sub>
              <m:r>
                <m:rPr>
                  <m:sty m:val="bi"/>
                </m:rPr>
                <w:rPr>
                  <w:rFonts w:ascii="Cambria Math" w:hAnsi="Cambria Math" w:cs="Times New Roman"/>
                </w:rPr>
                <m:t>i</m:t>
              </m:r>
            </m:sub>
          </m:sSub>
        </m:oMath>
      </m:oMathPara>
    </w:p>
    <w:p w14:paraId="4F0BC02D" w14:textId="77777777" w:rsidR="00CE2CFF" w:rsidRPr="007C1A5D" w:rsidRDefault="00CE2CFF" w:rsidP="00CE2CFF">
      <w:pPr>
        <w:spacing w:line="360" w:lineRule="auto"/>
        <w:jc w:val="both"/>
        <w:rPr>
          <w:rFonts w:ascii="Times New Roman" w:hAnsi="Times New Roman" w:cs="Times New Roman"/>
        </w:rPr>
      </w:pPr>
      <w:r w:rsidRPr="007C1A5D">
        <w:rPr>
          <w:rFonts w:ascii="Times New Roman" w:hAnsi="Times New Roman" w:cs="Times New Roman"/>
        </w:rPr>
        <w:t xml:space="preserve">The parameters in the multiple linear regression model can be estimated by </w:t>
      </w:r>
      <w:r w:rsidRPr="007C1A5D">
        <w:rPr>
          <w:rFonts w:ascii="Times New Roman" w:hAnsi="Times New Roman" w:cs="Times New Roman"/>
          <w:b/>
          <w:bCs/>
        </w:rPr>
        <w:t>Least Squares</w:t>
      </w:r>
      <w:r w:rsidRPr="007C1A5D">
        <w:rPr>
          <w:rFonts w:ascii="Times New Roman" w:hAnsi="Times New Roman" w:cs="Times New Roman"/>
        </w:rPr>
        <w:t>.</w:t>
      </w:r>
    </w:p>
    <w:p w14:paraId="10D86035" w14:textId="77777777" w:rsidR="00CE2CFF" w:rsidRPr="007C1A5D" w:rsidRDefault="00CE2CFF" w:rsidP="00CE2CFF">
      <w:pPr>
        <w:spacing w:line="360" w:lineRule="auto"/>
        <w:jc w:val="both"/>
        <w:rPr>
          <w:rFonts w:ascii="Times New Roman" w:hAnsi="Times New Roman" w:cs="Times New Roman"/>
        </w:rPr>
      </w:pPr>
      <w:r w:rsidRPr="007C1A5D">
        <w:rPr>
          <w:rFonts w:ascii="Times New Roman" w:hAnsi="Times New Roman" w:cs="Times New Roman"/>
        </w:rPr>
        <w:t xml:space="preserve">The estimated regression coefficients in a multiple linear regression model give the estimated </w:t>
      </w:r>
      <w:r w:rsidRPr="007C1A5D">
        <w:rPr>
          <w:rFonts w:ascii="Times New Roman" w:hAnsi="Times New Roman" w:cs="Times New Roman"/>
          <w:b/>
          <w:bCs/>
        </w:rPr>
        <w:t>change in the mean response Y</w:t>
      </w:r>
      <w:r w:rsidRPr="007C1A5D">
        <w:rPr>
          <w:rFonts w:ascii="Times New Roman" w:hAnsi="Times New Roman" w:cs="Times New Roman"/>
        </w:rPr>
        <w:t xml:space="preserve"> corresponding to a unit change in the corresponding explanatory variable, </w:t>
      </w:r>
      <w:r w:rsidRPr="007C1A5D">
        <w:rPr>
          <w:rFonts w:ascii="Times New Roman" w:hAnsi="Times New Roman" w:cs="Times New Roman"/>
          <w:b/>
          <w:bCs/>
        </w:rPr>
        <w:t>conditional on the other explanatory variables remaining constant</w:t>
      </w:r>
      <w:r>
        <w:rPr>
          <w:rFonts w:ascii="Times New Roman" w:hAnsi="Times New Roman" w:cs="Times New Roman"/>
        </w:rPr>
        <w:t>.</w:t>
      </w:r>
    </w:p>
    <w:p w14:paraId="57EF8D45" w14:textId="77777777" w:rsidR="00CE2CFF" w:rsidRPr="007C1A5D" w:rsidRDefault="00CE2CFF" w:rsidP="00CE2CFF">
      <w:pPr>
        <w:spacing w:line="360" w:lineRule="auto"/>
        <w:jc w:val="both"/>
        <w:rPr>
          <w:rFonts w:ascii="Times New Roman" w:hAnsi="Times New Roman" w:cs="Times New Roman"/>
        </w:rPr>
      </w:pPr>
      <w:r w:rsidRPr="007C1A5D">
        <w:rPr>
          <w:rFonts w:ascii="Times New Roman" w:hAnsi="Times New Roman" w:cs="Times New Roman"/>
        </w:rPr>
        <w:t>In formal words, the mean of the response variable is modeled as a linear function of the explanatory variables.</w:t>
      </w:r>
    </w:p>
    <w:p w14:paraId="1C0B7CDD" w14:textId="77777777" w:rsidR="00CE2CFF" w:rsidRPr="007C1A5D" w:rsidRDefault="00CE2CFF" w:rsidP="00CE2CFF">
      <w:pPr>
        <w:spacing w:line="360" w:lineRule="auto"/>
        <w:jc w:val="both"/>
        <w:rPr>
          <w:rFonts w:ascii="Times New Roman" w:hAnsi="Times New Roman" w:cs="Times New Roman"/>
        </w:rPr>
      </w:pPr>
      <w:r w:rsidRPr="007C1A5D">
        <w:rPr>
          <w:rFonts w:ascii="Times New Roman" w:hAnsi="Times New Roman" w:cs="Times New Roman"/>
        </w:rPr>
        <w:t xml:space="preserve">The regression model relies on several assumptions, including that the error term </w:t>
      </w:r>
      <w:r>
        <w:rPr>
          <w:rFonts w:ascii="Times New Roman" w:hAnsi="Times New Roman" w:cs="Times New Roman"/>
        </w:rPr>
        <w:t>(</w:t>
      </w:r>
      <m:oMath>
        <m:sSub>
          <m:sSubPr>
            <m:ctrlPr>
              <w:rPr>
                <w:rFonts w:ascii="Cambria Math" w:hAnsi="Cambria Math" w:cs="Times New Roman"/>
                <w:b/>
                <w:bCs/>
                <w:i/>
              </w:rPr>
            </m:ctrlPr>
          </m:sSubPr>
          <m:e>
            <m:r>
              <m:rPr>
                <m:sty m:val="bi"/>
              </m:rPr>
              <w:rPr>
                <w:rFonts w:ascii="Cambria Math" w:hAnsi="Cambria Math" w:cs="Times New Roman"/>
              </w:rPr>
              <m:t>ℇ</m:t>
            </m:r>
          </m:e>
          <m:sub>
            <m:r>
              <m:rPr>
                <m:sty m:val="bi"/>
              </m:rPr>
              <w:rPr>
                <w:rFonts w:ascii="Cambria Math" w:hAnsi="Cambria Math" w:cs="Times New Roman"/>
              </w:rPr>
              <m:t>i</m:t>
            </m:r>
          </m:sub>
        </m:sSub>
        <m:r>
          <m:rPr>
            <m:sty m:val="bi"/>
          </m:rPr>
          <w:rPr>
            <w:rFonts w:ascii="Cambria Math" w:hAnsi="Cambria Math" w:cs="Times New Roman"/>
          </w:rPr>
          <m:t>)</m:t>
        </m:r>
      </m:oMath>
      <w:r>
        <w:rPr>
          <w:rFonts w:ascii="Times New Roman" w:hAnsi="Times New Roman" w:cs="Times New Roman"/>
        </w:rPr>
        <w:t xml:space="preserve"> </w:t>
      </w:r>
      <w:r w:rsidRPr="007C1A5D">
        <w:rPr>
          <w:rFonts w:ascii="Times New Roman" w:hAnsi="Times New Roman" w:cs="Times New Roman"/>
        </w:rPr>
        <w:t xml:space="preserve">follows a </w:t>
      </w:r>
      <w:r w:rsidRPr="007C1A5D">
        <w:rPr>
          <w:rFonts w:ascii="Times New Roman" w:hAnsi="Times New Roman" w:cs="Times New Roman"/>
          <w:b/>
          <w:bCs/>
        </w:rPr>
        <w:t>normal distribution</w:t>
      </w:r>
      <w:r w:rsidRPr="007C1A5D">
        <w:rPr>
          <w:rFonts w:ascii="Times New Roman" w:hAnsi="Times New Roman" w:cs="Times New Roman"/>
        </w:rPr>
        <w:t xml:space="preserve"> and has a constant variance (homoscedasticity).</w:t>
      </w:r>
    </w:p>
    <w:p w14:paraId="7FC1FA3B" w14:textId="77777777" w:rsidR="00CE2CFF" w:rsidRDefault="00CE2CFF" w:rsidP="00CE2CFF">
      <w:pPr>
        <w:spacing w:line="360" w:lineRule="auto"/>
        <w:jc w:val="both"/>
        <w:rPr>
          <w:rFonts w:ascii="Times New Roman" w:hAnsi="Times New Roman" w:cs="Times New Roman"/>
        </w:rPr>
      </w:pPr>
    </w:p>
    <w:p w14:paraId="4FA9A25E" w14:textId="77777777" w:rsidR="00CE2CFF" w:rsidRDefault="00CE2CFF" w:rsidP="00CE2CFF">
      <w:pPr>
        <w:spacing w:line="360" w:lineRule="auto"/>
        <w:jc w:val="both"/>
        <w:rPr>
          <w:rFonts w:ascii="Times New Roman" w:hAnsi="Times New Roman" w:cs="Times New Roman"/>
        </w:rPr>
      </w:pPr>
    </w:p>
    <w:p w14:paraId="39C6D095" w14:textId="77777777" w:rsidR="00CE2CFF" w:rsidRDefault="00CE2CFF" w:rsidP="00CE2CFF">
      <w:pPr>
        <w:spacing w:line="360" w:lineRule="auto"/>
        <w:jc w:val="both"/>
        <w:rPr>
          <w:rFonts w:ascii="Times New Roman" w:hAnsi="Times New Roman" w:cs="Times New Roman"/>
        </w:rPr>
      </w:pPr>
    </w:p>
    <w:p w14:paraId="1B3CB534" w14:textId="77777777" w:rsidR="00CE2CFF" w:rsidRPr="00C503D2" w:rsidRDefault="00CE2CFF" w:rsidP="00CE2CF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7C1A5D">
        <w:rPr>
          <w:rFonts w:ascii="Times New Roman" w:hAnsi="Times New Roman" w:cs="Times New Roman"/>
          <w:b/>
          <w:bCs/>
          <w:sz w:val="28"/>
          <w:szCs w:val="28"/>
        </w:rPr>
        <w:t>.2 Multiple Linear Regression for our Study Subject</w:t>
      </w:r>
    </w:p>
    <w:p w14:paraId="030053E7" w14:textId="77777777" w:rsidR="00CE2CFF" w:rsidRDefault="00CE2CFF" w:rsidP="00CE2CFF">
      <w:pPr>
        <w:spacing w:line="360" w:lineRule="auto"/>
        <w:jc w:val="both"/>
        <w:rPr>
          <w:rFonts w:ascii="Times New Roman" w:hAnsi="Times New Roman" w:cs="Times New Roman"/>
        </w:rPr>
      </w:pPr>
      <w:r>
        <w:rPr>
          <w:rFonts w:ascii="Times New Roman" w:hAnsi="Times New Roman" w:cs="Times New Roman"/>
        </w:rPr>
        <w:t>In the previous chapter, the cross-tabulation analysis has been done to identify the association between the dependent and independent variables. In this chapter, we will try to analyze the correlates of the outcome variable. For this purpose, we have used the Multiple linear regression, where the following variables are used,</w:t>
      </w:r>
    </w:p>
    <w:p w14:paraId="3E9F6763" w14:textId="77777777" w:rsidR="00CE2CFF" w:rsidRPr="008140B4" w:rsidRDefault="00CE2CFF" w:rsidP="00CE2CFF">
      <w:pPr>
        <w:spacing w:line="360" w:lineRule="auto"/>
        <w:rPr>
          <w:rFonts w:ascii="Times New Roman" w:eastAsiaTheme="minorEastAsia" w:hAnsi="Times New Roman" w:cs="Times New Roman"/>
          <w:b/>
          <w:bCs/>
        </w:rPr>
      </w:pPr>
      <m:oMathPara>
        <m:oMath>
          <m:r>
            <m:rPr>
              <m:sty m:val="bi"/>
            </m:rPr>
            <w:rPr>
              <w:rFonts w:ascii="Cambria Math" w:hAnsi="Cambria Math" w:cs="Times New Roman"/>
            </w:rPr>
            <m:t xml:space="preserve">Y= </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1</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1</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2</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2</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3</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3</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4</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4</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ℇ</m:t>
              </m:r>
            </m:e>
            <m:sub>
              <m:r>
                <m:rPr>
                  <m:sty m:val="bi"/>
                </m:rPr>
                <w:rPr>
                  <w:rFonts w:ascii="Cambria Math" w:hAnsi="Cambria Math" w:cs="Times New Roman"/>
                </w:rPr>
                <m:t>i</m:t>
              </m:r>
            </m:sub>
          </m:sSub>
        </m:oMath>
      </m:oMathPara>
    </w:p>
    <w:p w14:paraId="044E09BA" w14:textId="77777777" w:rsidR="00CE2CFF" w:rsidRPr="008140B4" w:rsidRDefault="00CE2CFF" w:rsidP="00CE2CFF">
      <w:pPr>
        <w:spacing w:line="360" w:lineRule="auto"/>
        <w:jc w:val="both"/>
        <w:rPr>
          <w:rFonts w:ascii="Times New Roman" w:eastAsiaTheme="minorEastAsia" w:hAnsi="Times New Roman" w:cs="Times New Roman"/>
        </w:rPr>
      </w:pPr>
      <m:oMathPara>
        <m:oMathParaPr>
          <m:jc m:val="left"/>
        </m:oMathParaPr>
        <m:oMath>
          <m:r>
            <w:rPr>
              <w:rFonts w:ascii="Cambria Math" w:hAnsi="Cambria Math" w:cs="Times New Roman"/>
            </w:rPr>
            <m:t>Y=</m:t>
          </m:r>
          <m:r>
            <m:rPr>
              <m:sty m:val="bi"/>
            </m:rPr>
            <w:rPr>
              <w:rFonts w:ascii="Cambria Math" w:hAnsi="Cambria Math" w:cs="Times New Roman"/>
            </w:rPr>
            <m:t>Purchase Intention</m:t>
          </m:r>
          <m:r>
            <w:rPr>
              <w:rFonts w:ascii="Cambria Math" w:hAnsi="Cambria Math" w:cs="Times New Roman"/>
            </w:rPr>
            <m:t xml:space="preserve">  (How likely are you to purchase this product?)</m:t>
          </m:r>
        </m:oMath>
      </m:oMathPara>
    </w:p>
    <w:p w14:paraId="40D7D6FF" w14:textId="77777777" w:rsidR="00CE2CFF" w:rsidRPr="008C46F1" w:rsidRDefault="00CE2CFF" w:rsidP="00CE2CFF">
      <w:pPr>
        <w:spacing w:line="360" w:lineRule="auto"/>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m:rPr>
              <m:sty m:val="bi"/>
            </m:rPr>
            <w:rPr>
              <w:rFonts w:ascii="Cambria Math" w:hAnsi="Cambria Math" w:cs="Times New Roman"/>
            </w:rPr>
            <m:t>Color influence</m:t>
          </m:r>
        </m:oMath>
      </m:oMathPara>
    </w:p>
    <w:p w14:paraId="335FD7D8" w14:textId="77777777" w:rsidR="00CE2CFF" w:rsidRPr="008140B4" w:rsidRDefault="00CE2CFF" w:rsidP="00CE2CFF">
      <w:pPr>
        <w:spacing w:line="360" w:lineRule="auto"/>
        <w:jc w:val="both"/>
        <w:rPr>
          <w:rFonts w:ascii="Times New Roman" w:eastAsiaTheme="minorEastAsia" w:hAnsi="Times New Roman" w:cs="Times New Roman"/>
        </w:rPr>
      </w:pPr>
      <m:oMathPara>
        <m:oMathParaPr>
          <m:jc m:val="left"/>
        </m:oMathParaPr>
        <m:oMath>
          <m:r>
            <w:rPr>
              <w:rFonts w:ascii="Cambria Math" w:hAnsi="Cambria Math" w:cs="Times New Roman"/>
            </w:rPr>
            <m:t>(Did the color scheme influence your perception of the product?</m:t>
          </m:r>
          <m:r>
            <w:rPr>
              <w:rFonts w:ascii="Cambria Math" w:eastAsiaTheme="minorEastAsia" w:hAnsi="Cambria Math" w:cs="Times New Roman"/>
            </w:rPr>
            <m:t>)</m:t>
          </m:r>
        </m:oMath>
      </m:oMathPara>
    </w:p>
    <w:p w14:paraId="7EE83FD3" w14:textId="77777777" w:rsidR="00CE2CFF" w:rsidRPr="008140B4" w:rsidRDefault="00CE2CFF" w:rsidP="00CE2CFF">
      <w:pPr>
        <w:spacing w:line="360"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 xml:space="preserve">= </m:t>
          </m:r>
          <m:r>
            <m:rPr>
              <m:sty m:val="bi"/>
            </m:rPr>
            <w:rPr>
              <w:rFonts w:ascii="Cambria Math" w:eastAsiaTheme="minorEastAsia" w:hAnsi="Cambria Math" w:cs="Times New Roman"/>
            </w:rPr>
            <m:t xml:space="preserve">Simplilcity perception </m:t>
          </m:r>
          <m:r>
            <w:rPr>
              <w:rFonts w:ascii="Cambria Math" w:eastAsiaTheme="minorEastAsia" w:hAnsi="Cambria Math" w:cs="Times New Roman"/>
            </w:rPr>
            <m:t xml:space="preserve"> (How would you describe the design of this ad?)</m:t>
          </m:r>
        </m:oMath>
      </m:oMathPara>
    </w:p>
    <w:p w14:paraId="2EE570FF" w14:textId="77777777" w:rsidR="00CE2CFF" w:rsidRPr="008C46F1" w:rsidRDefault="00CE2CFF" w:rsidP="00CE2CFF">
      <w:pPr>
        <w:spacing w:line="360" w:lineRule="auto"/>
        <w:jc w:val="both"/>
        <w:rPr>
          <w:rFonts w:ascii="Times New Roman" w:eastAsiaTheme="minorEastAsia" w:hAnsi="Times New Roman" w:cs="Times New Roman"/>
          <w:b/>
          <w:bCs/>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r>
            <m:rPr>
              <m:sty m:val="bi"/>
            </m:rPr>
            <w:rPr>
              <w:rFonts w:ascii="Cambria Math" w:eastAsiaTheme="minorEastAsia" w:hAnsi="Cambria Math" w:cs="Times New Roman"/>
            </w:rPr>
            <m:t>Emotion intensity</m:t>
          </m:r>
        </m:oMath>
      </m:oMathPara>
    </w:p>
    <w:p w14:paraId="332CBD7B" w14:textId="77777777" w:rsidR="00CE2CFF" w:rsidRPr="008140B4" w:rsidRDefault="00CE2CFF" w:rsidP="00CE2CFF">
      <w:pPr>
        <w:spacing w:line="360" w:lineRule="auto"/>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(How intense was the emotion you felt while viewing the ad?)</m:t>
          </m:r>
        </m:oMath>
      </m:oMathPara>
    </w:p>
    <w:p w14:paraId="566DDF2A" w14:textId="77777777" w:rsidR="00CE2CFF" w:rsidRPr="008140B4" w:rsidRDefault="00CE2CFF" w:rsidP="00CE2CFF">
      <w:pPr>
        <w:spacing w:line="360"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4</m:t>
              </m:r>
            </m:sub>
          </m:sSub>
          <m:r>
            <w:rPr>
              <w:rFonts w:ascii="Cambria Math" w:eastAsiaTheme="minorEastAsia" w:hAnsi="Cambria Math" w:cs="Times New Roman"/>
            </w:rPr>
            <m:t>=</m:t>
          </m:r>
          <m:r>
            <m:rPr>
              <m:sty m:val="bi"/>
            </m:rPr>
            <w:rPr>
              <w:rFonts w:ascii="Cambria Math" w:eastAsiaTheme="minorEastAsia" w:hAnsi="Cambria Math" w:cs="Times New Roman"/>
            </w:rPr>
            <m:t>Gender</m:t>
          </m:r>
        </m:oMath>
      </m:oMathPara>
    </w:p>
    <w:p w14:paraId="50173309" w14:textId="77777777" w:rsidR="00CE2CFF" w:rsidRPr="008140B4" w:rsidRDefault="00CE2CFF" w:rsidP="00CE2CFF">
      <w:pPr>
        <w:spacing w:line="360"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Ԑ</m:t>
              </m:r>
            </m:e>
            <m:sub>
              <m:r>
                <w:rPr>
                  <w:rFonts w:ascii="Cambria Math" w:eastAsiaTheme="minorEastAsia" w:hAnsi="Cambria Math" w:cs="Times New Roman"/>
                </w:rPr>
                <m:t>i</m:t>
              </m:r>
            </m:sub>
          </m:sSub>
          <m:r>
            <w:rPr>
              <w:rFonts w:ascii="Cambria Math" w:eastAsiaTheme="minorEastAsia" w:hAnsi="Cambria Math" w:cs="Times New Roman"/>
            </w:rPr>
            <m:t>=Error term</m:t>
          </m:r>
        </m:oMath>
      </m:oMathPara>
    </w:p>
    <w:p w14:paraId="250DC5E0" w14:textId="77777777" w:rsidR="00CE2CFF" w:rsidRDefault="00CE2CFF" w:rsidP="00CE2CFF">
      <w:pPr>
        <w:spacing w:line="360" w:lineRule="auto"/>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o</m:t>
            </m:r>
          </m:sub>
        </m:sSub>
        <m:r>
          <w:rPr>
            <w:rFonts w:ascii="Cambria Math" w:eastAsiaTheme="minorEastAsia"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 xml:space="preserve"> ,</m:t>
        </m:r>
      </m:oMath>
      <w:r w:rsidRPr="008140B4">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m:rPr>
            <m:sty m:val="bi"/>
          </m:rPr>
          <w:rPr>
            <w:rFonts w:ascii="Cambria Math" w:hAnsi="Cambria Math" w:cs="Times New Roman"/>
          </w:rPr>
          <m:t xml:space="preserve"> </m:t>
        </m:r>
      </m:oMath>
      <w:r>
        <w:rPr>
          <w:rFonts w:ascii="Times New Roman" w:eastAsiaTheme="minorEastAsia" w:hAnsi="Times New Roman" w:cs="Times New Roman"/>
          <w:b/>
          <w:bCs/>
        </w:rPr>
        <w:t xml:space="preserve"> </w:t>
      </w:r>
      <w:r>
        <w:rPr>
          <w:rFonts w:ascii="Times New Roman" w:eastAsiaTheme="minorEastAsia" w:hAnsi="Times New Roman" w:cs="Times New Roman"/>
        </w:rPr>
        <w:t>are regression Coefficient.</w:t>
      </w:r>
    </w:p>
    <w:p w14:paraId="1C6CE18B" w14:textId="77777777" w:rsidR="00CE2CFF" w:rsidRDefault="00CE2CFF" w:rsidP="00CE2CFF">
      <w:pPr>
        <w:spacing w:line="360" w:lineRule="auto"/>
        <w:jc w:val="both"/>
        <w:rPr>
          <w:rFonts w:ascii="Times New Roman" w:eastAsiaTheme="minorEastAsia" w:hAnsi="Times New Roman" w:cs="Times New Roman"/>
          <w:b/>
          <w:bCs/>
          <w:sz w:val="28"/>
          <w:szCs w:val="28"/>
        </w:rPr>
      </w:pPr>
    </w:p>
    <w:p w14:paraId="181549B2" w14:textId="77777777" w:rsidR="00CE2CFF" w:rsidRDefault="00CE2CFF" w:rsidP="00CE2CFF">
      <w:pPr>
        <w:spacing w:line="360" w:lineRule="auto"/>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5</w:t>
      </w:r>
      <w:r w:rsidRPr="0039502A">
        <w:rPr>
          <w:rFonts w:ascii="Times New Roman" w:eastAsiaTheme="minorEastAsia" w:hAnsi="Times New Roman" w:cs="Times New Roman"/>
          <w:b/>
          <w:bCs/>
          <w:sz w:val="28"/>
          <w:szCs w:val="28"/>
        </w:rPr>
        <w:t>.3   Analytical Results</w:t>
      </w:r>
    </w:p>
    <w:tbl>
      <w:tblPr>
        <w:tblpPr w:leftFromText="180" w:rightFromText="180" w:vertAnchor="page" w:horzAnchor="margin" w:tblpY="11384"/>
        <w:tblW w:w="8215" w:type="dxa"/>
        <w:tblLayout w:type="fixed"/>
        <w:tblCellMar>
          <w:left w:w="0" w:type="dxa"/>
          <w:right w:w="0" w:type="dxa"/>
        </w:tblCellMar>
        <w:tblLook w:val="0000" w:firstRow="0" w:lastRow="0" w:firstColumn="0" w:lastColumn="0" w:noHBand="0" w:noVBand="0"/>
      </w:tblPr>
      <w:tblGrid>
        <w:gridCol w:w="893"/>
        <w:gridCol w:w="1150"/>
        <w:gridCol w:w="1220"/>
        <w:gridCol w:w="1650"/>
        <w:gridCol w:w="1650"/>
        <w:gridCol w:w="1652"/>
      </w:tblGrid>
      <w:tr w:rsidR="00CE2CFF" w:rsidRPr="0039502A" w14:paraId="688E987D" w14:textId="77777777" w:rsidTr="00C32B96">
        <w:trPr>
          <w:cantSplit/>
          <w:trHeight w:val="688"/>
        </w:trPr>
        <w:tc>
          <w:tcPr>
            <w:tcW w:w="8215" w:type="dxa"/>
            <w:gridSpan w:val="6"/>
            <w:tcBorders>
              <w:top w:val="nil"/>
              <w:left w:val="nil"/>
              <w:bottom w:val="nil"/>
              <w:right w:val="nil"/>
            </w:tcBorders>
            <w:shd w:val="clear" w:color="auto" w:fill="FFFFFF"/>
            <w:vAlign w:val="center"/>
          </w:tcPr>
          <w:p w14:paraId="03B8EDFC"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b/>
                <w:bCs/>
              </w:rPr>
              <w:t>Model Summary</w:t>
            </w:r>
          </w:p>
        </w:tc>
      </w:tr>
      <w:tr w:rsidR="00CE2CFF" w:rsidRPr="0039502A" w14:paraId="0A4B7C6A" w14:textId="77777777" w:rsidTr="00C32B96">
        <w:trPr>
          <w:cantSplit/>
          <w:trHeight w:val="1159"/>
        </w:trPr>
        <w:tc>
          <w:tcPr>
            <w:tcW w:w="893" w:type="dxa"/>
            <w:tcBorders>
              <w:top w:val="nil"/>
              <w:left w:val="nil"/>
              <w:bottom w:val="single" w:sz="8" w:space="0" w:color="152935"/>
              <w:right w:val="nil"/>
            </w:tcBorders>
            <w:shd w:val="clear" w:color="auto" w:fill="FFFFFF"/>
            <w:vAlign w:val="bottom"/>
          </w:tcPr>
          <w:p w14:paraId="417CD93D"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Model</w:t>
            </w:r>
          </w:p>
        </w:tc>
        <w:tc>
          <w:tcPr>
            <w:tcW w:w="1150" w:type="dxa"/>
            <w:tcBorders>
              <w:top w:val="nil"/>
              <w:left w:val="nil"/>
              <w:bottom w:val="single" w:sz="8" w:space="0" w:color="152935"/>
              <w:right w:val="single" w:sz="8" w:space="0" w:color="E0E0E0"/>
            </w:tcBorders>
            <w:shd w:val="clear" w:color="auto" w:fill="FFFFFF"/>
            <w:vAlign w:val="bottom"/>
          </w:tcPr>
          <w:p w14:paraId="6DA6CD3A"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R</w:t>
            </w:r>
          </w:p>
        </w:tc>
        <w:tc>
          <w:tcPr>
            <w:tcW w:w="1220" w:type="dxa"/>
            <w:tcBorders>
              <w:top w:val="nil"/>
              <w:left w:val="single" w:sz="8" w:space="0" w:color="E0E0E0"/>
              <w:bottom w:val="single" w:sz="8" w:space="0" w:color="152935"/>
              <w:right w:val="single" w:sz="8" w:space="0" w:color="E0E0E0"/>
            </w:tcBorders>
            <w:shd w:val="clear" w:color="auto" w:fill="FFFFFF"/>
            <w:vAlign w:val="bottom"/>
          </w:tcPr>
          <w:p w14:paraId="331C22A2"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R Square</w:t>
            </w:r>
          </w:p>
        </w:tc>
        <w:tc>
          <w:tcPr>
            <w:tcW w:w="1650" w:type="dxa"/>
            <w:tcBorders>
              <w:top w:val="nil"/>
              <w:left w:val="single" w:sz="8" w:space="0" w:color="E0E0E0"/>
              <w:bottom w:val="single" w:sz="8" w:space="0" w:color="152935"/>
              <w:right w:val="single" w:sz="8" w:space="0" w:color="E0E0E0"/>
            </w:tcBorders>
            <w:shd w:val="clear" w:color="auto" w:fill="FFFFFF"/>
            <w:vAlign w:val="bottom"/>
          </w:tcPr>
          <w:p w14:paraId="59695E5E"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Adjusted R Square</w:t>
            </w:r>
          </w:p>
        </w:tc>
        <w:tc>
          <w:tcPr>
            <w:tcW w:w="1650" w:type="dxa"/>
            <w:tcBorders>
              <w:top w:val="nil"/>
              <w:left w:val="single" w:sz="8" w:space="0" w:color="E0E0E0"/>
              <w:bottom w:val="single" w:sz="8" w:space="0" w:color="152935"/>
              <w:right w:val="single" w:sz="8" w:space="0" w:color="E0E0E0"/>
            </w:tcBorders>
            <w:shd w:val="clear" w:color="auto" w:fill="FFFFFF"/>
            <w:vAlign w:val="bottom"/>
          </w:tcPr>
          <w:p w14:paraId="3A561ADC"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Std. Error of the Estimate</w:t>
            </w:r>
          </w:p>
        </w:tc>
        <w:tc>
          <w:tcPr>
            <w:tcW w:w="1652" w:type="dxa"/>
            <w:tcBorders>
              <w:top w:val="nil"/>
              <w:left w:val="single" w:sz="8" w:space="0" w:color="E0E0E0"/>
              <w:bottom w:val="single" w:sz="8" w:space="0" w:color="152935"/>
              <w:right w:val="nil"/>
            </w:tcBorders>
            <w:shd w:val="clear" w:color="auto" w:fill="FFFFFF"/>
            <w:vAlign w:val="bottom"/>
          </w:tcPr>
          <w:p w14:paraId="1451342E"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Durbin-Watson</w:t>
            </w:r>
          </w:p>
        </w:tc>
      </w:tr>
      <w:tr w:rsidR="00CE2CFF" w:rsidRPr="0039502A" w14:paraId="26A3341D" w14:textId="77777777" w:rsidTr="00C32B96">
        <w:trPr>
          <w:cantSplit/>
          <w:trHeight w:val="688"/>
        </w:trPr>
        <w:tc>
          <w:tcPr>
            <w:tcW w:w="893" w:type="dxa"/>
            <w:tcBorders>
              <w:top w:val="single" w:sz="8" w:space="0" w:color="152935"/>
              <w:left w:val="nil"/>
              <w:bottom w:val="single" w:sz="8" w:space="0" w:color="152935"/>
              <w:right w:val="nil"/>
            </w:tcBorders>
            <w:shd w:val="clear" w:color="auto" w:fill="E0E0E0"/>
          </w:tcPr>
          <w:p w14:paraId="0CF0AEBA" w14:textId="77777777" w:rsidR="00CE2CFF" w:rsidRPr="0039502A" w:rsidRDefault="00CE2CFF" w:rsidP="00C32B96">
            <w:pPr>
              <w:rPr>
                <w:rFonts w:ascii="Times New Roman" w:eastAsiaTheme="minorEastAsia" w:hAnsi="Times New Roman" w:cs="Times New Roman"/>
              </w:rPr>
            </w:pPr>
          </w:p>
        </w:tc>
        <w:tc>
          <w:tcPr>
            <w:tcW w:w="1150" w:type="dxa"/>
            <w:tcBorders>
              <w:top w:val="single" w:sz="8" w:space="0" w:color="152935"/>
              <w:left w:val="nil"/>
              <w:bottom w:val="single" w:sz="8" w:space="0" w:color="152935"/>
              <w:right w:val="single" w:sz="8" w:space="0" w:color="E0E0E0"/>
            </w:tcBorders>
            <w:shd w:val="clear" w:color="auto" w:fill="F9F9FB"/>
          </w:tcPr>
          <w:p w14:paraId="086BBC3D"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.220</w:t>
            </w:r>
          </w:p>
        </w:tc>
        <w:tc>
          <w:tcPr>
            <w:tcW w:w="1220" w:type="dxa"/>
            <w:tcBorders>
              <w:top w:val="single" w:sz="8" w:space="0" w:color="152935"/>
              <w:left w:val="single" w:sz="8" w:space="0" w:color="E0E0E0"/>
              <w:bottom w:val="single" w:sz="8" w:space="0" w:color="152935"/>
              <w:right w:val="single" w:sz="8" w:space="0" w:color="E0E0E0"/>
            </w:tcBorders>
            <w:shd w:val="clear" w:color="auto" w:fill="F9F9FB"/>
          </w:tcPr>
          <w:p w14:paraId="28211926"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.048</w:t>
            </w:r>
          </w:p>
        </w:tc>
        <w:tc>
          <w:tcPr>
            <w:tcW w:w="1650" w:type="dxa"/>
            <w:tcBorders>
              <w:top w:val="single" w:sz="8" w:space="0" w:color="152935"/>
              <w:left w:val="single" w:sz="8" w:space="0" w:color="E0E0E0"/>
              <w:bottom w:val="single" w:sz="8" w:space="0" w:color="152935"/>
              <w:right w:val="single" w:sz="8" w:space="0" w:color="E0E0E0"/>
            </w:tcBorders>
            <w:shd w:val="clear" w:color="auto" w:fill="F9F9FB"/>
          </w:tcPr>
          <w:p w14:paraId="18CE87FF"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.033</w:t>
            </w:r>
          </w:p>
        </w:tc>
        <w:tc>
          <w:tcPr>
            <w:tcW w:w="1650" w:type="dxa"/>
            <w:tcBorders>
              <w:top w:val="single" w:sz="8" w:space="0" w:color="152935"/>
              <w:left w:val="single" w:sz="8" w:space="0" w:color="E0E0E0"/>
              <w:bottom w:val="single" w:sz="8" w:space="0" w:color="152935"/>
              <w:right w:val="single" w:sz="8" w:space="0" w:color="E0E0E0"/>
            </w:tcBorders>
            <w:shd w:val="clear" w:color="auto" w:fill="F9F9FB"/>
          </w:tcPr>
          <w:p w14:paraId="4643F629"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.898</w:t>
            </w:r>
          </w:p>
        </w:tc>
        <w:tc>
          <w:tcPr>
            <w:tcW w:w="1652" w:type="dxa"/>
            <w:tcBorders>
              <w:top w:val="single" w:sz="8" w:space="0" w:color="152935"/>
              <w:left w:val="single" w:sz="8" w:space="0" w:color="E0E0E0"/>
              <w:bottom w:val="single" w:sz="8" w:space="0" w:color="152935"/>
              <w:right w:val="nil"/>
            </w:tcBorders>
            <w:shd w:val="clear" w:color="auto" w:fill="F9F9FB"/>
          </w:tcPr>
          <w:p w14:paraId="38476966" w14:textId="77777777" w:rsidR="00CE2CFF" w:rsidRPr="0039502A" w:rsidRDefault="00CE2CFF" w:rsidP="00C32B96">
            <w:pPr>
              <w:rPr>
                <w:rFonts w:ascii="Times New Roman" w:eastAsiaTheme="minorEastAsia" w:hAnsi="Times New Roman" w:cs="Times New Roman"/>
              </w:rPr>
            </w:pPr>
            <w:r w:rsidRPr="0039502A">
              <w:rPr>
                <w:rFonts w:ascii="Times New Roman" w:eastAsiaTheme="minorEastAsia" w:hAnsi="Times New Roman" w:cs="Times New Roman"/>
              </w:rPr>
              <w:t>2.016</w:t>
            </w:r>
          </w:p>
        </w:tc>
      </w:tr>
    </w:tbl>
    <w:p w14:paraId="5E131001" w14:textId="77777777" w:rsidR="00CE2CFF" w:rsidRPr="0039502A" w:rsidRDefault="00CE2CFF" w:rsidP="00CE2CFF">
      <w:pPr>
        <w:spacing w:line="360" w:lineRule="auto"/>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5.3.1 Model Summary</w:t>
      </w:r>
    </w:p>
    <w:p w14:paraId="1C59DD8B" w14:textId="77777777" w:rsidR="00CE2CFF" w:rsidRDefault="00CE2CFF" w:rsidP="00CE2CFF">
      <w:pPr>
        <w:rPr>
          <w:rFonts w:ascii="Times New Roman" w:eastAsiaTheme="minorEastAsia" w:hAnsi="Times New Roman" w:cs="Times New Roman"/>
        </w:rPr>
      </w:pPr>
      <w:r>
        <w:rPr>
          <w:rFonts w:ascii="Times New Roman" w:eastAsiaTheme="minorEastAsia" w:hAnsi="Times New Roman" w:cs="Times New Roman"/>
        </w:rPr>
        <w:br w:type="page"/>
      </w:r>
    </w:p>
    <w:p w14:paraId="3E94D58B" w14:textId="77777777" w:rsidR="00CE2CFF" w:rsidRPr="0039502A" w:rsidRDefault="00CE2CFF" w:rsidP="00CE2CFF">
      <w:pPr>
        <w:spacing w:line="360" w:lineRule="auto"/>
        <w:jc w:val="both"/>
        <w:rPr>
          <w:rFonts w:ascii="Times New Roman" w:eastAsiaTheme="minorEastAsia" w:hAnsi="Times New Roman" w:cs="Times New Roman"/>
        </w:rPr>
      </w:pPr>
      <w:r w:rsidRPr="0039502A">
        <w:rPr>
          <w:rFonts w:ascii="Times New Roman" w:eastAsiaTheme="minorEastAsia" w:hAnsi="Times New Roman" w:cs="Times New Roman"/>
        </w:rPr>
        <w:lastRenderedPageBreak/>
        <w:t xml:space="preserve">The </w:t>
      </w:r>
      <w:r>
        <w:rPr>
          <w:rFonts w:ascii="Times New Roman" w:eastAsiaTheme="minorEastAsia" w:hAnsi="Times New Roman" w:cs="Times New Roman"/>
        </w:rPr>
        <w:t>table</w:t>
      </w:r>
      <w:r w:rsidRPr="0039502A">
        <w:rPr>
          <w:rFonts w:ascii="Times New Roman" w:eastAsiaTheme="minorEastAsia" w:hAnsi="Times New Roman" w:cs="Times New Roman"/>
        </w:rPr>
        <w:t xml:space="preserve"> showed that most students did not feel strong emotions from the ads. About two-thirds (67.6%) reported only feeling "Slightly" or "A little." This means the ads weren't very exciting or overwhelming.</w:t>
      </w:r>
    </w:p>
    <w:p w14:paraId="6ED10A3D" w14:textId="77777777" w:rsidR="00CE2CFF" w:rsidRPr="0039502A" w:rsidRDefault="00CE2CFF" w:rsidP="00CE2CFF">
      <w:pPr>
        <w:spacing w:line="360" w:lineRule="auto"/>
        <w:jc w:val="both"/>
        <w:rPr>
          <w:rFonts w:ascii="Times New Roman" w:eastAsiaTheme="minorEastAsia" w:hAnsi="Times New Roman" w:cs="Times New Roman"/>
        </w:rPr>
      </w:pPr>
      <w:r w:rsidRPr="0039502A">
        <w:rPr>
          <w:rFonts w:ascii="Times New Roman" w:eastAsiaTheme="minorEastAsia" w:hAnsi="Times New Roman" w:cs="Times New Roman"/>
        </w:rPr>
        <w:t>However, the main statistical test (the Multiple Regression) revealed something important: even though the emotion level was low, every tiny bit of emotional increase still helped push Purchase Intention higher. This confirms that emotional cues are still effective in persuading students to buy, even if the emotions they cause are subtle and not dramatic. The ads don't need to make students cry or cheer, they just need a small emotional spark to work.</w:t>
      </w:r>
    </w:p>
    <w:p w14:paraId="6482B0B5" w14:textId="77777777" w:rsidR="00CE2CFF" w:rsidRDefault="00CE2CFF" w:rsidP="00CE2CFF">
      <w:pPr>
        <w:spacing w:line="360" w:lineRule="auto"/>
        <w:jc w:val="both"/>
        <w:rPr>
          <w:rFonts w:ascii="Times New Roman" w:eastAsiaTheme="minorEastAsia" w:hAnsi="Times New Roman" w:cs="Times New Roman"/>
          <w:b/>
          <w:bCs/>
          <w:sz w:val="28"/>
          <w:szCs w:val="28"/>
        </w:rPr>
      </w:pPr>
    </w:p>
    <w:p w14:paraId="04C1F4FC" w14:textId="77777777" w:rsidR="00CE2CFF" w:rsidRPr="000A1234" w:rsidRDefault="00CE2CFF" w:rsidP="00CE2CFF">
      <w:pPr>
        <w:spacing w:line="360" w:lineRule="auto"/>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5</w:t>
      </w:r>
      <w:r w:rsidRPr="000A1234">
        <w:rPr>
          <w:rFonts w:ascii="Times New Roman" w:eastAsiaTheme="minorEastAsia" w:hAnsi="Times New Roman" w:cs="Times New Roman"/>
          <w:b/>
          <w:bCs/>
          <w:sz w:val="28"/>
          <w:szCs w:val="28"/>
        </w:rPr>
        <w:t xml:space="preserve">.3.2 </w:t>
      </w:r>
      <w:r>
        <w:rPr>
          <w:rFonts w:ascii="Times New Roman" w:eastAsiaTheme="minorEastAsia" w:hAnsi="Times New Roman" w:cs="Times New Roman"/>
          <w:b/>
          <w:bCs/>
          <w:sz w:val="28"/>
          <w:szCs w:val="28"/>
        </w:rPr>
        <w:t xml:space="preserve"> </w:t>
      </w:r>
      <w:r w:rsidRPr="000A1234">
        <w:rPr>
          <w:rFonts w:ascii="Times New Roman" w:eastAsiaTheme="minorEastAsia" w:hAnsi="Times New Roman" w:cs="Times New Roman"/>
          <w:b/>
          <w:bCs/>
          <w:sz w:val="28"/>
          <w:szCs w:val="28"/>
        </w:rPr>
        <w:t xml:space="preserve"> Analysis of Variance</w:t>
      </w:r>
    </w:p>
    <w:p w14:paraId="1FE02A3C" w14:textId="77777777" w:rsidR="00CE2CFF" w:rsidRPr="008140B4" w:rsidRDefault="00CE2CFF" w:rsidP="00CE2CFF">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The survey found that students generally believe the colors used in the advertisements were appropriate and suitable for the product. Over half of the students (52.6%) rated the color scheme match as "Well" or "Very Well," showing a positive acceptance of the design choices. While a large portion (35.6%) felt "Neutral," this neutral response suggests the color was neither distracting nor poorly chosen—it simply matched expectations. This high level of acceptance is vital because it proves that the powerful positive effect of Color Influence (which was the strongest predictor in your main regression model) is built on colors that are seen as relevant and fitting, not random or distracting. In short, the colors worked so well to drive purchase intent because students found them appropriate for the product being sold.</w:t>
      </w:r>
    </w:p>
    <w:tbl>
      <w:tblPr>
        <w:tblpPr w:leftFromText="180" w:rightFromText="180" w:vertAnchor="text" w:horzAnchor="margin" w:tblpXSpec="center" w:tblpY="274"/>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CE2CFF" w:rsidRPr="000A1234" w14:paraId="0A0D2A65" w14:textId="77777777" w:rsidTr="00C32B96">
        <w:trPr>
          <w:cantSplit/>
        </w:trPr>
        <w:tc>
          <w:tcPr>
            <w:tcW w:w="7969" w:type="dxa"/>
            <w:gridSpan w:val="7"/>
            <w:tcBorders>
              <w:top w:val="nil"/>
              <w:left w:val="nil"/>
              <w:bottom w:val="nil"/>
              <w:right w:val="nil"/>
            </w:tcBorders>
            <w:shd w:val="clear" w:color="auto" w:fill="FFFFFF"/>
            <w:vAlign w:val="center"/>
          </w:tcPr>
          <w:p w14:paraId="75C10C98"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b/>
                <w:bCs/>
              </w:rPr>
              <w:t>ANOVA</w:t>
            </w:r>
          </w:p>
        </w:tc>
      </w:tr>
      <w:tr w:rsidR="00CE2CFF" w:rsidRPr="000A1234" w14:paraId="01A43B1E" w14:textId="77777777" w:rsidTr="00C32B96">
        <w:trPr>
          <w:cantSplit/>
        </w:trPr>
        <w:tc>
          <w:tcPr>
            <w:tcW w:w="2017" w:type="dxa"/>
            <w:gridSpan w:val="2"/>
            <w:tcBorders>
              <w:top w:val="nil"/>
              <w:left w:val="nil"/>
              <w:bottom w:val="single" w:sz="8" w:space="0" w:color="152935"/>
              <w:right w:val="nil"/>
            </w:tcBorders>
            <w:shd w:val="clear" w:color="auto" w:fill="FFFFFF"/>
            <w:vAlign w:val="bottom"/>
          </w:tcPr>
          <w:p w14:paraId="36200BE1"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Model</w:t>
            </w:r>
          </w:p>
        </w:tc>
        <w:tc>
          <w:tcPr>
            <w:tcW w:w="1469" w:type="dxa"/>
            <w:tcBorders>
              <w:top w:val="nil"/>
              <w:left w:val="nil"/>
              <w:bottom w:val="single" w:sz="8" w:space="0" w:color="152935"/>
              <w:right w:val="single" w:sz="8" w:space="0" w:color="E0E0E0"/>
            </w:tcBorders>
            <w:shd w:val="clear" w:color="auto" w:fill="FFFFFF"/>
            <w:vAlign w:val="bottom"/>
          </w:tcPr>
          <w:p w14:paraId="06749082"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Sum of Squares</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40D86F91"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df</w:t>
            </w:r>
          </w:p>
        </w:tc>
        <w:tc>
          <w:tcPr>
            <w:tcW w:w="1408" w:type="dxa"/>
            <w:tcBorders>
              <w:top w:val="nil"/>
              <w:left w:val="single" w:sz="8" w:space="0" w:color="E0E0E0"/>
              <w:bottom w:val="single" w:sz="8" w:space="0" w:color="152935"/>
              <w:right w:val="single" w:sz="8" w:space="0" w:color="E0E0E0"/>
            </w:tcBorders>
            <w:shd w:val="clear" w:color="auto" w:fill="FFFFFF"/>
            <w:vAlign w:val="bottom"/>
          </w:tcPr>
          <w:p w14:paraId="4A3CEB30"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Mean Square</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E175E4A"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F</w:t>
            </w:r>
          </w:p>
        </w:tc>
        <w:tc>
          <w:tcPr>
            <w:tcW w:w="1025" w:type="dxa"/>
            <w:tcBorders>
              <w:top w:val="nil"/>
              <w:left w:val="single" w:sz="8" w:space="0" w:color="E0E0E0"/>
              <w:bottom w:val="single" w:sz="8" w:space="0" w:color="152935"/>
              <w:right w:val="nil"/>
            </w:tcBorders>
            <w:shd w:val="clear" w:color="auto" w:fill="FFFFFF"/>
            <w:vAlign w:val="bottom"/>
          </w:tcPr>
          <w:p w14:paraId="01890C29"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Sig.</w:t>
            </w:r>
          </w:p>
        </w:tc>
      </w:tr>
      <w:tr w:rsidR="00CE2CFF" w:rsidRPr="000A1234" w14:paraId="0524C996" w14:textId="77777777" w:rsidTr="00C32B96">
        <w:trPr>
          <w:cantSplit/>
        </w:trPr>
        <w:tc>
          <w:tcPr>
            <w:tcW w:w="733" w:type="dxa"/>
            <w:vMerge w:val="restart"/>
            <w:tcBorders>
              <w:top w:val="single" w:sz="8" w:space="0" w:color="152935"/>
              <w:left w:val="nil"/>
              <w:bottom w:val="single" w:sz="8" w:space="0" w:color="152935"/>
              <w:right w:val="nil"/>
            </w:tcBorders>
            <w:shd w:val="clear" w:color="auto" w:fill="E0E0E0"/>
          </w:tcPr>
          <w:p w14:paraId="147CA68C" w14:textId="77777777" w:rsidR="00CE2CFF" w:rsidRPr="000A1234" w:rsidRDefault="00CE2CFF" w:rsidP="00C32B96">
            <w:pPr>
              <w:spacing w:line="360" w:lineRule="auto"/>
              <w:jc w:val="both"/>
              <w:rPr>
                <w:rFonts w:ascii="Times New Roman" w:eastAsiaTheme="minorEastAsia" w:hAnsi="Times New Roman" w:cs="Times New Roman"/>
              </w:rPr>
            </w:pPr>
          </w:p>
        </w:tc>
        <w:tc>
          <w:tcPr>
            <w:tcW w:w="1284" w:type="dxa"/>
            <w:tcBorders>
              <w:top w:val="single" w:sz="8" w:space="0" w:color="152935"/>
              <w:left w:val="nil"/>
              <w:bottom w:val="single" w:sz="8" w:space="0" w:color="AEAEAE"/>
              <w:right w:val="nil"/>
            </w:tcBorders>
            <w:shd w:val="clear" w:color="auto" w:fill="E0E0E0"/>
          </w:tcPr>
          <w:p w14:paraId="0D0E1420"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Regression</w:t>
            </w:r>
          </w:p>
        </w:tc>
        <w:tc>
          <w:tcPr>
            <w:tcW w:w="1469" w:type="dxa"/>
            <w:tcBorders>
              <w:top w:val="single" w:sz="8" w:space="0" w:color="152935"/>
              <w:left w:val="nil"/>
              <w:bottom w:val="single" w:sz="8" w:space="0" w:color="AEAEAE"/>
              <w:right w:val="single" w:sz="8" w:space="0" w:color="E0E0E0"/>
            </w:tcBorders>
            <w:shd w:val="clear" w:color="auto" w:fill="F9F9FB"/>
          </w:tcPr>
          <w:p w14:paraId="7026D0D9"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10.161</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1C270663"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4</w:t>
            </w:r>
          </w:p>
        </w:tc>
        <w:tc>
          <w:tcPr>
            <w:tcW w:w="1408" w:type="dxa"/>
            <w:tcBorders>
              <w:top w:val="single" w:sz="8" w:space="0" w:color="152935"/>
              <w:left w:val="single" w:sz="8" w:space="0" w:color="E0E0E0"/>
              <w:bottom w:val="single" w:sz="8" w:space="0" w:color="AEAEAE"/>
              <w:right w:val="single" w:sz="8" w:space="0" w:color="E0E0E0"/>
            </w:tcBorders>
            <w:shd w:val="clear" w:color="auto" w:fill="F9F9FB"/>
          </w:tcPr>
          <w:p w14:paraId="202CD544"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2.540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2FE4840"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3.150</w:t>
            </w:r>
          </w:p>
        </w:tc>
        <w:tc>
          <w:tcPr>
            <w:tcW w:w="1025" w:type="dxa"/>
            <w:tcBorders>
              <w:top w:val="single" w:sz="8" w:space="0" w:color="152935"/>
              <w:left w:val="single" w:sz="8" w:space="0" w:color="E0E0E0"/>
              <w:bottom w:val="single" w:sz="8" w:space="0" w:color="AEAEAE"/>
              <w:right w:val="nil"/>
            </w:tcBorders>
            <w:shd w:val="clear" w:color="auto" w:fill="F9F9FB"/>
          </w:tcPr>
          <w:p w14:paraId="2026A215"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.015</w:t>
            </w:r>
          </w:p>
        </w:tc>
      </w:tr>
      <w:tr w:rsidR="00CE2CFF" w:rsidRPr="000A1234" w14:paraId="7FEA7E66" w14:textId="77777777" w:rsidTr="00C32B96">
        <w:trPr>
          <w:cantSplit/>
        </w:trPr>
        <w:tc>
          <w:tcPr>
            <w:tcW w:w="733" w:type="dxa"/>
            <w:vMerge/>
            <w:tcBorders>
              <w:top w:val="single" w:sz="8" w:space="0" w:color="152935"/>
              <w:left w:val="nil"/>
              <w:bottom w:val="single" w:sz="8" w:space="0" w:color="152935"/>
              <w:right w:val="nil"/>
            </w:tcBorders>
            <w:shd w:val="clear" w:color="auto" w:fill="E0E0E0"/>
          </w:tcPr>
          <w:p w14:paraId="6F563DAE" w14:textId="77777777" w:rsidR="00CE2CFF" w:rsidRPr="000A1234" w:rsidRDefault="00CE2CFF" w:rsidP="00C32B96">
            <w:pPr>
              <w:spacing w:line="360" w:lineRule="auto"/>
              <w:jc w:val="both"/>
              <w:rPr>
                <w:rFonts w:ascii="Times New Roman" w:eastAsiaTheme="minorEastAsia" w:hAnsi="Times New Roman" w:cs="Times New Roman"/>
              </w:rPr>
            </w:pPr>
          </w:p>
        </w:tc>
        <w:tc>
          <w:tcPr>
            <w:tcW w:w="1284" w:type="dxa"/>
            <w:tcBorders>
              <w:top w:val="single" w:sz="8" w:space="0" w:color="AEAEAE"/>
              <w:left w:val="nil"/>
              <w:bottom w:val="single" w:sz="8" w:space="0" w:color="AEAEAE"/>
              <w:right w:val="nil"/>
            </w:tcBorders>
            <w:shd w:val="clear" w:color="auto" w:fill="E0E0E0"/>
          </w:tcPr>
          <w:p w14:paraId="5A893345"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Residual</w:t>
            </w:r>
          </w:p>
        </w:tc>
        <w:tc>
          <w:tcPr>
            <w:tcW w:w="1469" w:type="dxa"/>
            <w:tcBorders>
              <w:top w:val="single" w:sz="8" w:space="0" w:color="AEAEAE"/>
              <w:left w:val="nil"/>
              <w:bottom w:val="single" w:sz="8" w:space="0" w:color="AEAEAE"/>
              <w:right w:val="single" w:sz="8" w:space="0" w:color="E0E0E0"/>
            </w:tcBorders>
            <w:shd w:val="clear" w:color="auto" w:fill="F9F9FB"/>
          </w:tcPr>
          <w:p w14:paraId="5C80D008"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199.958</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4B9A74F"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248</w:t>
            </w:r>
          </w:p>
        </w:tc>
        <w:tc>
          <w:tcPr>
            <w:tcW w:w="1408" w:type="dxa"/>
            <w:tcBorders>
              <w:top w:val="single" w:sz="8" w:space="0" w:color="AEAEAE"/>
              <w:left w:val="single" w:sz="8" w:space="0" w:color="E0E0E0"/>
              <w:bottom w:val="single" w:sz="8" w:space="0" w:color="AEAEAE"/>
              <w:right w:val="single" w:sz="8" w:space="0" w:color="E0E0E0"/>
            </w:tcBorders>
            <w:shd w:val="clear" w:color="auto" w:fill="F9F9FB"/>
          </w:tcPr>
          <w:p w14:paraId="71546AD2"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.806</w:t>
            </w:r>
          </w:p>
        </w:tc>
        <w:tc>
          <w:tcPr>
            <w:tcW w:w="102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E92F46C" w14:textId="77777777" w:rsidR="00CE2CFF" w:rsidRPr="000A1234" w:rsidRDefault="00CE2CFF" w:rsidP="00C32B96">
            <w:pPr>
              <w:spacing w:line="360" w:lineRule="auto"/>
              <w:jc w:val="both"/>
              <w:rPr>
                <w:rFonts w:ascii="Times New Roman" w:eastAsiaTheme="minorEastAsia" w:hAnsi="Times New Roman" w:cs="Times New Roman"/>
              </w:rPr>
            </w:pPr>
          </w:p>
        </w:tc>
        <w:tc>
          <w:tcPr>
            <w:tcW w:w="1025" w:type="dxa"/>
            <w:tcBorders>
              <w:top w:val="single" w:sz="8" w:space="0" w:color="AEAEAE"/>
              <w:left w:val="single" w:sz="8" w:space="0" w:color="E0E0E0"/>
              <w:bottom w:val="single" w:sz="8" w:space="0" w:color="AEAEAE"/>
              <w:right w:val="nil"/>
            </w:tcBorders>
            <w:shd w:val="clear" w:color="auto" w:fill="F9F9FB"/>
            <w:vAlign w:val="center"/>
          </w:tcPr>
          <w:p w14:paraId="76B7B011" w14:textId="77777777" w:rsidR="00CE2CFF" w:rsidRPr="000A1234" w:rsidRDefault="00CE2CFF" w:rsidP="00C32B96">
            <w:pPr>
              <w:spacing w:line="360" w:lineRule="auto"/>
              <w:jc w:val="both"/>
              <w:rPr>
                <w:rFonts w:ascii="Times New Roman" w:eastAsiaTheme="minorEastAsia" w:hAnsi="Times New Roman" w:cs="Times New Roman"/>
              </w:rPr>
            </w:pPr>
          </w:p>
        </w:tc>
      </w:tr>
      <w:tr w:rsidR="00CE2CFF" w:rsidRPr="000A1234" w14:paraId="592E2BF8" w14:textId="77777777" w:rsidTr="00C32B96">
        <w:trPr>
          <w:cantSplit/>
        </w:trPr>
        <w:tc>
          <w:tcPr>
            <w:tcW w:w="733" w:type="dxa"/>
            <w:vMerge/>
            <w:tcBorders>
              <w:top w:val="single" w:sz="8" w:space="0" w:color="152935"/>
              <w:left w:val="nil"/>
              <w:bottom w:val="single" w:sz="8" w:space="0" w:color="152935"/>
              <w:right w:val="nil"/>
            </w:tcBorders>
            <w:shd w:val="clear" w:color="auto" w:fill="E0E0E0"/>
          </w:tcPr>
          <w:p w14:paraId="62000391" w14:textId="77777777" w:rsidR="00CE2CFF" w:rsidRPr="000A1234" w:rsidRDefault="00CE2CFF" w:rsidP="00C32B96">
            <w:pPr>
              <w:spacing w:line="360" w:lineRule="auto"/>
              <w:jc w:val="both"/>
              <w:rPr>
                <w:rFonts w:ascii="Times New Roman" w:eastAsiaTheme="minorEastAsia" w:hAnsi="Times New Roman" w:cs="Times New Roman"/>
              </w:rPr>
            </w:pPr>
          </w:p>
        </w:tc>
        <w:tc>
          <w:tcPr>
            <w:tcW w:w="1284" w:type="dxa"/>
            <w:tcBorders>
              <w:top w:val="single" w:sz="8" w:space="0" w:color="AEAEAE"/>
              <w:left w:val="nil"/>
              <w:bottom w:val="single" w:sz="8" w:space="0" w:color="152935"/>
              <w:right w:val="nil"/>
            </w:tcBorders>
            <w:shd w:val="clear" w:color="auto" w:fill="E0E0E0"/>
          </w:tcPr>
          <w:p w14:paraId="3595BCE6"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Total</w:t>
            </w:r>
          </w:p>
        </w:tc>
        <w:tc>
          <w:tcPr>
            <w:tcW w:w="1469" w:type="dxa"/>
            <w:tcBorders>
              <w:top w:val="single" w:sz="8" w:space="0" w:color="AEAEAE"/>
              <w:left w:val="nil"/>
              <w:bottom w:val="single" w:sz="8" w:space="0" w:color="152935"/>
              <w:right w:val="single" w:sz="8" w:space="0" w:color="E0E0E0"/>
            </w:tcBorders>
            <w:shd w:val="clear" w:color="auto" w:fill="F9F9FB"/>
          </w:tcPr>
          <w:p w14:paraId="4C7C9A9F"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210.119</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6344A225" w14:textId="77777777" w:rsidR="00CE2CFF" w:rsidRPr="000A1234" w:rsidRDefault="00CE2CFF" w:rsidP="00C32B96">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252</w:t>
            </w:r>
          </w:p>
        </w:tc>
        <w:tc>
          <w:tcPr>
            <w:tcW w:w="1408"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D6438" w14:textId="77777777" w:rsidR="00CE2CFF" w:rsidRPr="000A1234" w:rsidRDefault="00CE2CFF" w:rsidP="00C32B96">
            <w:pPr>
              <w:spacing w:line="360" w:lineRule="auto"/>
              <w:jc w:val="both"/>
              <w:rPr>
                <w:rFonts w:ascii="Times New Roman" w:eastAsiaTheme="minorEastAsia" w:hAnsi="Times New Roman" w:cs="Times New Roman"/>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CA9F12" w14:textId="77777777" w:rsidR="00CE2CFF" w:rsidRPr="000A1234" w:rsidRDefault="00CE2CFF" w:rsidP="00C32B96">
            <w:pPr>
              <w:spacing w:line="360" w:lineRule="auto"/>
              <w:jc w:val="both"/>
              <w:rPr>
                <w:rFonts w:ascii="Times New Roman" w:eastAsiaTheme="minorEastAsia" w:hAnsi="Times New Roman" w:cs="Times New Roman"/>
              </w:rPr>
            </w:pPr>
          </w:p>
        </w:tc>
        <w:tc>
          <w:tcPr>
            <w:tcW w:w="1025" w:type="dxa"/>
            <w:tcBorders>
              <w:top w:val="single" w:sz="8" w:space="0" w:color="AEAEAE"/>
              <w:left w:val="single" w:sz="8" w:space="0" w:color="E0E0E0"/>
              <w:bottom w:val="single" w:sz="8" w:space="0" w:color="152935"/>
              <w:right w:val="nil"/>
            </w:tcBorders>
            <w:shd w:val="clear" w:color="auto" w:fill="F9F9FB"/>
            <w:vAlign w:val="center"/>
          </w:tcPr>
          <w:p w14:paraId="17455081" w14:textId="77777777" w:rsidR="00CE2CFF" w:rsidRPr="000A1234" w:rsidRDefault="00CE2CFF" w:rsidP="00C32B96">
            <w:pPr>
              <w:spacing w:line="360" w:lineRule="auto"/>
              <w:jc w:val="both"/>
              <w:rPr>
                <w:rFonts w:ascii="Times New Roman" w:eastAsiaTheme="minorEastAsia" w:hAnsi="Times New Roman" w:cs="Times New Roman"/>
              </w:rPr>
            </w:pPr>
          </w:p>
        </w:tc>
      </w:tr>
    </w:tbl>
    <w:p w14:paraId="5B59B165" w14:textId="77777777" w:rsidR="00CE2CFF" w:rsidRPr="000A1234" w:rsidRDefault="00CE2CFF" w:rsidP="00CE2CFF">
      <w:pPr>
        <w:spacing w:line="360" w:lineRule="auto"/>
        <w:jc w:val="both"/>
        <w:rPr>
          <w:rFonts w:ascii="Times New Roman" w:eastAsiaTheme="minorEastAsia" w:hAnsi="Times New Roman" w:cs="Times New Roman"/>
        </w:rPr>
      </w:pPr>
    </w:p>
    <w:p w14:paraId="1AF7438A" w14:textId="77777777" w:rsidR="00CE2CFF" w:rsidRPr="000A1234" w:rsidRDefault="00CE2CFF" w:rsidP="00CE2CFF">
      <w:pPr>
        <w:spacing w:line="360" w:lineRule="auto"/>
        <w:jc w:val="both"/>
        <w:rPr>
          <w:rFonts w:ascii="Times New Roman" w:eastAsiaTheme="minorEastAsia" w:hAnsi="Times New Roman" w:cs="Times New Roman"/>
        </w:rPr>
      </w:pPr>
    </w:p>
    <w:p w14:paraId="1AE6C26D" w14:textId="77777777" w:rsidR="00CE2CFF" w:rsidRPr="008140B4" w:rsidRDefault="00CE2CFF" w:rsidP="00CE2CFF">
      <w:pPr>
        <w:spacing w:line="360" w:lineRule="auto"/>
        <w:jc w:val="both"/>
        <w:rPr>
          <w:rFonts w:ascii="Times New Roman" w:eastAsiaTheme="minorEastAsia" w:hAnsi="Times New Roman" w:cs="Times New Roman"/>
        </w:rPr>
      </w:pPr>
    </w:p>
    <w:p w14:paraId="21BD9967" w14:textId="77777777" w:rsidR="00CE2CFF" w:rsidRPr="008140B4" w:rsidRDefault="00CE2CFF" w:rsidP="00CE2CFF">
      <w:pPr>
        <w:spacing w:line="360" w:lineRule="auto"/>
        <w:jc w:val="both"/>
        <w:rPr>
          <w:rFonts w:ascii="Times New Roman" w:eastAsiaTheme="minorEastAsia" w:hAnsi="Times New Roman" w:cs="Times New Roman"/>
        </w:rPr>
      </w:pPr>
    </w:p>
    <w:p w14:paraId="01B2DB0A" w14:textId="77777777" w:rsidR="00CE2CFF" w:rsidRDefault="00CE2CFF" w:rsidP="00CE2CFF">
      <w:pPr>
        <w:spacing w:line="360" w:lineRule="auto"/>
        <w:jc w:val="both"/>
        <w:rPr>
          <w:rFonts w:ascii="Times New Roman" w:eastAsiaTheme="minorEastAsia" w:hAnsi="Times New Roman" w:cs="Times New Roman"/>
        </w:rPr>
      </w:pPr>
    </w:p>
    <w:p w14:paraId="4589C136" w14:textId="77777777" w:rsidR="00CE2CFF" w:rsidRDefault="00CE2CFF" w:rsidP="00CE2CFF">
      <w:pPr>
        <w:spacing w:line="360" w:lineRule="auto"/>
        <w:jc w:val="both"/>
        <w:rPr>
          <w:rFonts w:ascii="Times New Roman" w:eastAsiaTheme="minorEastAsia" w:hAnsi="Times New Roman" w:cs="Times New Roman"/>
        </w:rPr>
      </w:pPr>
    </w:p>
    <w:p w14:paraId="50C5FF66" w14:textId="77777777" w:rsidR="00CE2CFF" w:rsidRDefault="00CE2CFF" w:rsidP="00CE2CFF">
      <w:pPr>
        <w:spacing w:line="360" w:lineRule="auto"/>
        <w:jc w:val="both"/>
        <w:rPr>
          <w:rFonts w:ascii="Times New Roman" w:eastAsiaTheme="minorEastAsia" w:hAnsi="Times New Roman" w:cs="Times New Roman"/>
        </w:rPr>
      </w:pPr>
    </w:p>
    <w:p w14:paraId="56E3C12C" w14:textId="77777777" w:rsidR="00CE2CFF" w:rsidRDefault="00CE2CFF" w:rsidP="00CE2CFF">
      <w:pPr>
        <w:spacing w:line="360" w:lineRule="auto"/>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5</w:t>
      </w:r>
      <w:r w:rsidRPr="000A1234">
        <w:rPr>
          <w:rFonts w:ascii="Times New Roman" w:eastAsiaTheme="minorEastAsia" w:hAnsi="Times New Roman" w:cs="Times New Roman"/>
          <w:b/>
          <w:bCs/>
          <w:sz w:val="28"/>
          <w:szCs w:val="28"/>
        </w:rPr>
        <w:t>.3.</w:t>
      </w:r>
      <w:r>
        <w:rPr>
          <w:rFonts w:ascii="Times New Roman" w:eastAsiaTheme="minorEastAsia" w:hAnsi="Times New Roman" w:cs="Times New Roman"/>
          <w:b/>
          <w:bCs/>
          <w:sz w:val="28"/>
          <w:szCs w:val="28"/>
        </w:rPr>
        <w:t>3</w:t>
      </w:r>
      <w:r w:rsidRPr="000A1234">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 xml:space="preserve"> </w:t>
      </w:r>
      <w:r w:rsidRPr="000A1234">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Coefficients</w:t>
      </w:r>
    </w:p>
    <w:p w14:paraId="7A769C02" w14:textId="77777777" w:rsidR="00CE2CFF" w:rsidRPr="000A1234" w:rsidRDefault="00CE2CFF" w:rsidP="00CE2CFF">
      <w:pPr>
        <w:spacing w:line="360" w:lineRule="auto"/>
        <w:jc w:val="both"/>
        <w:rPr>
          <w:rFonts w:ascii="Times New Roman" w:eastAsiaTheme="minorEastAsia" w:hAnsi="Times New Roman" w:cs="Times New Roman"/>
        </w:rPr>
      </w:pPr>
      <w:r w:rsidRPr="000A1234">
        <w:rPr>
          <w:rFonts w:ascii="Times New Roman" w:eastAsiaTheme="minorEastAsia" w:hAnsi="Times New Roman" w:cs="Times New Roman"/>
        </w:rPr>
        <w:t>The results from our main prediction model are clear and provide very strong support for the study. We found that the three advertising factors—Color Influence, Simplicity Perception, and Emotion Intensity—are all strong and reliable drivers of a student's intention to buy a product (p &lt; 0.001). However, they do not work equally: Color is the most important factor, showing the strongest unique power to increase purchase likelihood. Simplicity is the second most important, confirming that students strongly value clear, easy-to-process designs. Emotion provides a helpful push, but it is the weakest of the three. Finally, the model confirms that these powerful influences are universal across the student group, as the control variable Gender was found to be irrelevant to Purchase Intention (p = 0.250), meaning that male and female students respond to these design elements in the same way.</w:t>
      </w:r>
    </w:p>
    <w:p w14:paraId="334BEF90" w14:textId="77777777" w:rsidR="00CE2CFF" w:rsidRPr="008C46F1" w:rsidRDefault="00CE2CFF" w:rsidP="00CE2CFF">
      <w:pPr>
        <w:spacing w:line="360" w:lineRule="auto"/>
        <w:jc w:val="both"/>
        <w:rPr>
          <w:rFonts w:ascii="Times New Roman" w:eastAsiaTheme="minorEastAsia" w:hAnsi="Times New Roman" w:cs="Times New Roman"/>
        </w:rPr>
      </w:pPr>
    </w:p>
    <w:tbl>
      <w:tblPr>
        <w:tblW w:w="9367" w:type="dxa"/>
        <w:tblLayout w:type="fixed"/>
        <w:tblCellMar>
          <w:left w:w="0" w:type="dxa"/>
          <w:right w:w="0" w:type="dxa"/>
        </w:tblCellMar>
        <w:tblLook w:val="0000" w:firstRow="0" w:lastRow="0" w:firstColumn="0" w:lastColumn="0" w:noHBand="0" w:noVBand="0"/>
      </w:tblPr>
      <w:tblGrid>
        <w:gridCol w:w="734"/>
        <w:gridCol w:w="2449"/>
        <w:gridCol w:w="1332"/>
        <w:gridCol w:w="1332"/>
        <w:gridCol w:w="1470"/>
        <w:gridCol w:w="1025"/>
        <w:gridCol w:w="1025"/>
      </w:tblGrid>
      <w:tr w:rsidR="00CE2CFF" w:rsidRPr="008C46F1" w14:paraId="3A78C126" w14:textId="77777777" w:rsidTr="00C32B96">
        <w:trPr>
          <w:cantSplit/>
        </w:trPr>
        <w:tc>
          <w:tcPr>
            <w:tcW w:w="9367" w:type="dxa"/>
            <w:gridSpan w:val="7"/>
            <w:tcBorders>
              <w:top w:val="nil"/>
              <w:left w:val="nil"/>
              <w:bottom w:val="nil"/>
              <w:right w:val="nil"/>
            </w:tcBorders>
            <w:shd w:val="clear" w:color="auto" w:fill="FFFFFF"/>
            <w:vAlign w:val="center"/>
          </w:tcPr>
          <w:p w14:paraId="03324474"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b/>
                <w:bCs/>
              </w:rPr>
              <w:t>Coefficients</w:t>
            </w:r>
          </w:p>
        </w:tc>
      </w:tr>
      <w:tr w:rsidR="00CE2CFF" w:rsidRPr="008C46F1" w14:paraId="4B416D60" w14:textId="77777777" w:rsidTr="00C32B96">
        <w:trPr>
          <w:cantSplit/>
        </w:trPr>
        <w:tc>
          <w:tcPr>
            <w:tcW w:w="3183" w:type="dxa"/>
            <w:gridSpan w:val="2"/>
            <w:vMerge w:val="restart"/>
            <w:tcBorders>
              <w:top w:val="nil"/>
              <w:left w:val="nil"/>
              <w:bottom w:val="nil"/>
              <w:right w:val="nil"/>
            </w:tcBorders>
            <w:shd w:val="clear" w:color="auto" w:fill="FFFFFF"/>
            <w:vAlign w:val="bottom"/>
          </w:tcPr>
          <w:p w14:paraId="4596B2B0"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Model</w:t>
            </w:r>
          </w:p>
        </w:tc>
        <w:tc>
          <w:tcPr>
            <w:tcW w:w="2664" w:type="dxa"/>
            <w:gridSpan w:val="2"/>
            <w:tcBorders>
              <w:top w:val="nil"/>
              <w:left w:val="nil"/>
              <w:bottom w:val="nil"/>
              <w:right w:val="single" w:sz="8" w:space="0" w:color="E0E0E0"/>
            </w:tcBorders>
            <w:shd w:val="clear" w:color="auto" w:fill="FFFFFF"/>
            <w:vAlign w:val="bottom"/>
          </w:tcPr>
          <w:p w14:paraId="4151D949"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Unstandardized Coefficients</w:t>
            </w:r>
          </w:p>
        </w:tc>
        <w:tc>
          <w:tcPr>
            <w:tcW w:w="1470" w:type="dxa"/>
            <w:tcBorders>
              <w:top w:val="nil"/>
              <w:left w:val="single" w:sz="8" w:space="0" w:color="E0E0E0"/>
              <w:bottom w:val="nil"/>
              <w:right w:val="single" w:sz="8" w:space="0" w:color="E0E0E0"/>
            </w:tcBorders>
            <w:shd w:val="clear" w:color="auto" w:fill="FFFFFF"/>
            <w:vAlign w:val="bottom"/>
          </w:tcPr>
          <w:p w14:paraId="7C09AD11"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1A41666E"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t</w:t>
            </w:r>
          </w:p>
        </w:tc>
        <w:tc>
          <w:tcPr>
            <w:tcW w:w="1025" w:type="dxa"/>
            <w:vMerge w:val="restart"/>
            <w:tcBorders>
              <w:top w:val="nil"/>
              <w:left w:val="single" w:sz="8" w:space="0" w:color="E0E0E0"/>
              <w:bottom w:val="nil"/>
              <w:right w:val="nil"/>
            </w:tcBorders>
            <w:shd w:val="clear" w:color="auto" w:fill="FFFFFF"/>
            <w:vAlign w:val="bottom"/>
          </w:tcPr>
          <w:p w14:paraId="5A034A2C"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Sig.</w:t>
            </w:r>
          </w:p>
        </w:tc>
      </w:tr>
      <w:tr w:rsidR="00CE2CFF" w:rsidRPr="008C46F1" w14:paraId="5F8B81A4" w14:textId="77777777" w:rsidTr="00C32B96">
        <w:trPr>
          <w:cantSplit/>
        </w:trPr>
        <w:tc>
          <w:tcPr>
            <w:tcW w:w="3183" w:type="dxa"/>
            <w:gridSpan w:val="2"/>
            <w:vMerge/>
            <w:tcBorders>
              <w:top w:val="nil"/>
              <w:left w:val="nil"/>
              <w:bottom w:val="nil"/>
              <w:right w:val="nil"/>
            </w:tcBorders>
            <w:shd w:val="clear" w:color="auto" w:fill="FFFFFF"/>
            <w:vAlign w:val="bottom"/>
          </w:tcPr>
          <w:p w14:paraId="280DCB3A" w14:textId="77777777" w:rsidR="00CE2CFF" w:rsidRPr="008C46F1" w:rsidRDefault="00CE2CFF" w:rsidP="00C32B96">
            <w:pPr>
              <w:spacing w:line="360" w:lineRule="auto"/>
              <w:jc w:val="both"/>
              <w:rPr>
                <w:rFonts w:ascii="Times New Roman" w:eastAsiaTheme="minorEastAsia" w:hAnsi="Times New Roman" w:cs="Times New Roman"/>
              </w:rPr>
            </w:pPr>
          </w:p>
        </w:tc>
        <w:tc>
          <w:tcPr>
            <w:tcW w:w="1332" w:type="dxa"/>
            <w:tcBorders>
              <w:top w:val="nil"/>
              <w:left w:val="nil"/>
              <w:bottom w:val="single" w:sz="8" w:space="0" w:color="152935"/>
              <w:right w:val="single" w:sz="8" w:space="0" w:color="E0E0E0"/>
            </w:tcBorders>
            <w:shd w:val="clear" w:color="auto" w:fill="FFFFFF"/>
            <w:vAlign w:val="bottom"/>
          </w:tcPr>
          <w:p w14:paraId="343A3142"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B</w:t>
            </w:r>
          </w:p>
        </w:tc>
        <w:tc>
          <w:tcPr>
            <w:tcW w:w="1332" w:type="dxa"/>
            <w:tcBorders>
              <w:top w:val="nil"/>
              <w:left w:val="single" w:sz="8" w:space="0" w:color="E0E0E0"/>
              <w:bottom w:val="single" w:sz="8" w:space="0" w:color="152935"/>
              <w:right w:val="single" w:sz="8" w:space="0" w:color="E0E0E0"/>
            </w:tcBorders>
            <w:shd w:val="clear" w:color="auto" w:fill="FFFFFF"/>
            <w:vAlign w:val="bottom"/>
          </w:tcPr>
          <w:p w14:paraId="37808BDE"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Std. Error</w:t>
            </w:r>
          </w:p>
        </w:tc>
        <w:tc>
          <w:tcPr>
            <w:tcW w:w="1470" w:type="dxa"/>
            <w:tcBorders>
              <w:top w:val="nil"/>
              <w:left w:val="single" w:sz="8" w:space="0" w:color="E0E0E0"/>
              <w:bottom w:val="single" w:sz="8" w:space="0" w:color="152935"/>
              <w:right w:val="single" w:sz="8" w:space="0" w:color="E0E0E0"/>
            </w:tcBorders>
            <w:shd w:val="clear" w:color="auto" w:fill="FFFFFF"/>
            <w:vAlign w:val="bottom"/>
          </w:tcPr>
          <w:p w14:paraId="598283C9"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Beta</w:t>
            </w:r>
          </w:p>
        </w:tc>
        <w:tc>
          <w:tcPr>
            <w:tcW w:w="1025" w:type="dxa"/>
            <w:vMerge/>
            <w:tcBorders>
              <w:top w:val="nil"/>
              <w:left w:val="single" w:sz="8" w:space="0" w:color="E0E0E0"/>
              <w:bottom w:val="nil"/>
              <w:right w:val="single" w:sz="8" w:space="0" w:color="E0E0E0"/>
            </w:tcBorders>
            <w:shd w:val="clear" w:color="auto" w:fill="FFFFFF"/>
            <w:vAlign w:val="bottom"/>
          </w:tcPr>
          <w:p w14:paraId="7F06A270" w14:textId="77777777" w:rsidR="00CE2CFF" w:rsidRPr="008C46F1" w:rsidRDefault="00CE2CFF" w:rsidP="00C32B96">
            <w:pPr>
              <w:spacing w:line="360" w:lineRule="auto"/>
              <w:jc w:val="both"/>
              <w:rPr>
                <w:rFonts w:ascii="Times New Roman" w:eastAsiaTheme="minorEastAsia" w:hAnsi="Times New Roman" w:cs="Times New Roman"/>
              </w:rPr>
            </w:pPr>
          </w:p>
        </w:tc>
        <w:tc>
          <w:tcPr>
            <w:tcW w:w="1025" w:type="dxa"/>
            <w:vMerge/>
            <w:tcBorders>
              <w:top w:val="nil"/>
              <w:left w:val="single" w:sz="8" w:space="0" w:color="E0E0E0"/>
              <w:bottom w:val="nil"/>
              <w:right w:val="nil"/>
            </w:tcBorders>
            <w:shd w:val="clear" w:color="auto" w:fill="FFFFFF"/>
            <w:vAlign w:val="bottom"/>
          </w:tcPr>
          <w:p w14:paraId="3C929C85" w14:textId="77777777" w:rsidR="00CE2CFF" w:rsidRPr="008C46F1" w:rsidRDefault="00CE2CFF" w:rsidP="00C32B96">
            <w:pPr>
              <w:spacing w:line="360" w:lineRule="auto"/>
              <w:jc w:val="both"/>
              <w:rPr>
                <w:rFonts w:ascii="Times New Roman" w:eastAsiaTheme="minorEastAsia" w:hAnsi="Times New Roman" w:cs="Times New Roman"/>
              </w:rPr>
            </w:pPr>
          </w:p>
        </w:tc>
      </w:tr>
      <w:tr w:rsidR="00CE2CFF" w:rsidRPr="008C46F1" w14:paraId="09FA2531" w14:textId="77777777" w:rsidTr="00C32B96">
        <w:trPr>
          <w:cantSplit/>
        </w:trPr>
        <w:tc>
          <w:tcPr>
            <w:tcW w:w="734" w:type="dxa"/>
            <w:vMerge w:val="restart"/>
            <w:tcBorders>
              <w:top w:val="single" w:sz="8" w:space="0" w:color="152935"/>
              <w:left w:val="nil"/>
              <w:bottom w:val="single" w:sz="8" w:space="0" w:color="152935"/>
              <w:right w:val="nil"/>
            </w:tcBorders>
            <w:shd w:val="clear" w:color="auto" w:fill="E0E0E0"/>
          </w:tcPr>
          <w:p w14:paraId="05F95CEE"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w:t>
            </w:r>
          </w:p>
        </w:tc>
        <w:tc>
          <w:tcPr>
            <w:tcW w:w="2449" w:type="dxa"/>
            <w:tcBorders>
              <w:top w:val="single" w:sz="8" w:space="0" w:color="152935"/>
              <w:left w:val="nil"/>
              <w:bottom w:val="single" w:sz="8" w:space="0" w:color="AEAEAE"/>
              <w:right w:val="nil"/>
            </w:tcBorders>
            <w:shd w:val="clear" w:color="auto" w:fill="E0E0E0"/>
          </w:tcPr>
          <w:p w14:paraId="4A6EBC99"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(Constant)</w:t>
            </w:r>
          </w:p>
        </w:tc>
        <w:tc>
          <w:tcPr>
            <w:tcW w:w="1332" w:type="dxa"/>
            <w:tcBorders>
              <w:top w:val="single" w:sz="8" w:space="0" w:color="152935"/>
              <w:left w:val="nil"/>
              <w:bottom w:val="single" w:sz="8" w:space="0" w:color="AEAEAE"/>
              <w:right w:val="single" w:sz="8" w:space="0" w:color="E0E0E0"/>
            </w:tcBorders>
            <w:shd w:val="clear" w:color="auto" w:fill="F9F9FB"/>
          </w:tcPr>
          <w:p w14:paraId="154624E2"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1.764</w:t>
            </w:r>
          </w:p>
        </w:tc>
        <w:tc>
          <w:tcPr>
            <w:tcW w:w="1332" w:type="dxa"/>
            <w:tcBorders>
              <w:top w:val="single" w:sz="8" w:space="0" w:color="152935"/>
              <w:left w:val="single" w:sz="8" w:space="0" w:color="E0E0E0"/>
              <w:bottom w:val="single" w:sz="8" w:space="0" w:color="AEAEAE"/>
              <w:right w:val="single" w:sz="8" w:space="0" w:color="E0E0E0"/>
            </w:tcBorders>
            <w:shd w:val="clear" w:color="auto" w:fill="F9F9FB"/>
          </w:tcPr>
          <w:p w14:paraId="3F01A9C6"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.128</w:t>
            </w:r>
          </w:p>
        </w:tc>
        <w:tc>
          <w:tcPr>
            <w:tcW w:w="1470"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3DDAE932" w14:textId="77777777" w:rsidR="00CE2CFF" w:rsidRPr="008C46F1" w:rsidRDefault="00CE2CFF" w:rsidP="00C32B96">
            <w:pPr>
              <w:spacing w:line="360" w:lineRule="auto"/>
              <w:jc w:val="both"/>
              <w:rPr>
                <w:rFonts w:ascii="Times New Roman" w:eastAsiaTheme="minorEastAsia" w:hAnsi="Times New Roman" w:cs="Times New Roman"/>
              </w:rPr>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1230FBF5"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13.785</w:t>
            </w:r>
          </w:p>
        </w:tc>
        <w:tc>
          <w:tcPr>
            <w:tcW w:w="1025" w:type="dxa"/>
            <w:tcBorders>
              <w:top w:val="single" w:sz="8" w:space="0" w:color="152935"/>
              <w:left w:val="single" w:sz="8" w:space="0" w:color="E0E0E0"/>
              <w:bottom w:val="single" w:sz="8" w:space="0" w:color="AEAEAE"/>
              <w:right w:val="nil"/>
            </w:tcBorders>
            <w:shd w:val="clear" w:color="auto" w:fill="F9F9FB"/>
          </w:tcPr>
          <w:p w14:paraId="7C3EA2D8"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.000</w:t>
            </w:r>
          </w:p>
        </w:tc>
      </w:tr>
      <w:tr w:rsidR="00CE2CFF" w:rsidRPr="008C46F1" w14:paraId="68BBD215" w14:textId="77777777" w:rsidTr="00C32B96">
        <w:trPr>
          <w:cantSplit/>
        </w:trPr>
        <w:tc>
          <w:tcPr>
            <w:tcW w:w="734" w:type="dxa"/>
            <w:vMerge/>
            <w:tcBorders>
              <w:top w:val="single" w:sz="8" w:space="0" w:color="152935"/>
              <w:left w:val="nil"/>
              <w:bottom w:val="single" w:sz="8" w:space="0" w:color="152935"/>
              <w:right w:val="nil"/>
            </w:tcBorders>
            <w:shd w:val="clear" w:color="auto" w:fill="E0E0E0"/>
          </w:tcPr>
          <w:p w14:paraId="5C7191DB" w14:textId="77777777" w:rsidR="00CE2CFF" w:rsidRPr="008C46F1" w:rsidRDefault="00CE2CFF" w:rsidP="00C32B96">
            <w:pPr>
              <w:spacing w:line="360" w:lineRule="auto"/>
              <w:jc w:val="both"/>
              <w:rPr>
                <w:rFonts w:ascii="Times New Roman" w:eastAsiaTheme="minorEastAsia" w:hAnsi="Times New Roman" w:cs="Times New Roman"/>
              </w:rPr>
            </w:pPr>
          </w:p>
        </w:tc>
        <w:tc>
          <w:tcPr>
            <w:tcW w:w="2449" w:type="dxa"/>
            <w:tcBorders>
              <w:top w:val="single" w:sz="8" w:space="0" w:color="AEAEAE"/>
              <w:left w:val="nil"/>
              <w:bottom w:val="single" w:sz="8" w:space="0" w:color="AEAEAE"/>
              <w:right w:val="nil"/>
            </w:tcBorders>
            <w:shd w:val="clear" w:color="auto" w:fill="E0E0E0"/>
          </w:tcPr>
          <w:p w14:paraId="0BF55C39"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Did the color scheme influence your perception of the product?</w:t>
            </w:r>
          </w:p>
        </w:tc>
        <w:tc>
          <w:tcPr>
            <w:tcW w:w="1332" w:type="dxa"/>
            <w:tcBorders>
              <w:top w:val="single" w:sz="8" w:space="0" w:color="AEAEAE"/>
              <w:left w:val="nil"/>
              <w:bottom w:val="single" w:sz="8" w:space="0" w:color="AEAEAE"/>
              <w:right w:val="single" w:sz="8" w:space="0" w:color="E0E0E0"/>
            </w:tcBorders>
            <w:shd w:val="clear" w:color="auto" w:fill="F9F9FB"/>
          </w:tcPr>
          <w:p w14:paraId="5EDFAC21" w14:textId="77777777" w:rsidR="00CE2CFF" w:rsidRPr="008C46F1" w:rsidRDefault="00CE2CFF" w:rsidP="00C32B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w:r w:rsidRPr="008C46F1">
              <w:rPr>
                <w:rFonts w:ascii="Times New Roman" w:eastAsiaTheme="minorEastAsia" w:hAnsi="Times New Roman" w:cs="Times New Roman"/>
              </w:rPr>
              <w:t>.352</w:t>
            </w:r>
          </w:p>
        </w:tc>
        <w:tc>
          <w:tcPr>
            <w:tcW w:w="1332" w:type="dxa"/>
            <w:tcBorders>
              <w:top w:val="single" w:sz="8" w:space="0" w:color="AEAEAE"/>
              <w:left w:val="single" w:sz="8" w:space="0" w:color="E0E0E0"/>
              <w:bottom w:val="single" w:sz="8" w:space="0" w:color="AEAEAE"/>
              <w:right w:val="single" w:sz="8" w:space="0" w:color="E0E0E0"/>
            </w:tcBorders>
            <w:shd w:val="clear" w:color="auto" w:fill="F9F9FB"/>
          </w:tcPr>
          <w:p w14:paraId="45DB5B62"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.121</w:t>
            </w:r>
          </w:p>
        </w:tc>
        <w:tc>
          <w:tcPr>
            <w:tcW w:w="1470" w:type="dxa"/>
            <w:tcBorders>
              <w:top w:val="single" w:sz="8" w:space="0" w:color="AEAEAE"/>
              <w:left w:val="single" w:sz="8" w:space="0" w:color="E0E0E0"/>
              <w:bottom w:val="single" w:sz="8" w:space="0" w:color="AEAEAE"/>
              <w:right w:val="single" w:sz="8" w:space="0" w:color="E0E0E0"/>
            </w:tcBorders>
            <w:shd w:val="clear" w:color="auto" w:fill="F9F9FB"/>
          </w:tcPr>
          <w:p w14:paraId="0B4D9FF0"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.182</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BFD6BCA"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2.913</w:t>
            </w:r>
          </w:p>
        </w:tc>
        <w:tc>
          <w:tcPr>
            <w:tcW w:w="1025" w:type="dxa"/>
            <w:tcBorders>
              <w:top w:val="single" w:sz="8" w:space="0" w:color="AEAEAE"/>
              <w:left w:val="single" w:sz="8" w:space="0" w:color="E0E0E0"/>
              <w:bottom w:val="single" w:sz="8" w:space="0" w:color="AEAEAE"/>
              <w:right w:val="nil"/>
            </w:tcBorders>
            <w:shd w:val="clear" w:color="auto" w:fill="F9F9FB"/>
          </w:tcPr>
          <w:p w14:paraId="041D07AB"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.004</w:t>
            </w:r>
          </w:p>
        </w:tc>
      </w:tr>
      <w:tr w:rsidR="00CE2CFF" w:rsidRPr="008C46F1" w14:paraId="5599F269" w14:textId="77777777" w:rsidTr="00C32B96">
        <w:trPr>
          <w:cantSplit/>
        </w:trPr>
        <w:tc>
          <w:tcPr>
            <w:tcW w:w="734" w:type="dxa"/>
            <w:vMerge/>
            <w:tcBorders>
              <w:top w:val="single" w:sz="8" w:space="0" w:color="152935"/>
              <w:left w:val="nil"/>
              <w:bottom w:val="single" w:sz="8" w:space="0" w:color="152935"/>
              <w:right w:val="nil"/>
            </w:tcBorders>
            <w:shd w:val="clear" w:color="auto" w:fill="E0E0E0"/>
          </w:tcPr>
          <w:p w14:paraId="08775ADB" w14:textId="77777777" w:rsidR="00CE2CFF" w:rsidRPr="008C46F1" w:rsidRDefault="00CE2CFF" w:rsidP="00C32B96">
            <w:pPr>
              <w:spacing w:line="360" w:lineRule="auto"/>
              <w:jc w:val="both"/>
              <w:rPr>
                <w:rFonts w:ascii="Times New Roman" w:eastAsiaTheme="minorEastAsia" w:hAnsi="Times New Roman" w:cs="Times New Roman"/>
              </w:rPr>
            </w:pPr>
          </w:p>
        </w:tc>
        <w:tc>
          <w:tcPr>
            <w:tcW w:w="2449" w:type="dxa"/>
            <w:tcBorders>
              <w:top w:val="single" w:sz="8" w:space="0" w:color="AEAEAE"/>
              <w:left w:val="nil"/>
              <w:bottom w:val="single" w:sz="8" w:space="0" w:color="AEAEAE"/>
              <w:right w:val="nil"/>
            </w:tcBorders>
            <w:shd w:val="clear" w:color="auto" w:fill="E0E0E0"/>
          </w:tcPr>
          <w:p w14:paraId="65E53443"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How would you describe the design of this ad?</w:t>
            </w:r>
          </w:p>
        </w:tc>
        <w:tc>
          <w:tcPr>
            <w:tcW w:w="1332" w:type="dxa"/>
            <w:tcBorders>
              <w:top w:val="single" w:sz="8" w:space="0" w:color="AEAEAE"/>
              <w:left w:val="nil"/>
              <w:bottom w:val="single" w:sz="8" w:space="0" w:color="AEAEAE"/>
              <w:right w:val="single" w:sz="8" w:space="0" w:color="E0E0E0"/>
            </w:tcBorders>
            <w:shd w:val="clear" w:color="auto" w:fill="F9F9FB"/>
          </w:tcPr>
          <w:p w14:paraId="2512CABA" w14:textId="77777777" w:rsidR="00CE2CFF" w:rsidRPr="008C46F1" w:rsidRDefault="00CE2CFF" w:rsidP="00C32B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w:r w:rsidRPr="008C46F1">
              <w:rPr>
                <w:rFonts w:ascii="Times New Roman" w:eastAsiaTheme="minorEastAsia" w:hAnsi="Times New Roman" w:cs="Times New Roman"/>
              </w:rPr>
              <w:t>.294</w:t>
            </w:r>
          </w:p>
        </w:tc>
        <w:tc>
          <w:tcPr>
            <w:tcW w:w="1332" w:type="dxa"/>
            <w:tcBorders>
              <w:top w:val="single" w:sz="8" w:space="0" w:color="AEAEAE"/>
              <w:left w:val="single" w:sz="8" w:space="0" w:color="E0E0E0"/>
              <w:bottom w:val="single" w:sz="8" w:space="0" w:color="AEAEAE"/>
              <w:right w:val="single" w:sz="8" w:space="0" w:color="E0E0E0"/>
            </w:tcBorders>
            <w:shd w:val="clear" w:color="auto" w:fill="F9F9FB"/>
          </w:tcPr>
          <w:p w14:paraId="5CF819FC"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.211</w:t>
            </w:r>
          </w:p>
        </w:tc>
        <w:tc>
          <w:tcPr>
            <w:tcW w:w="1470" w:type="dxa"/>
            <w:tcBorders>
              <w:top w:val="single" w:sz="8" w:space="0" w:color="AEAEAE"/>
              <w:left w:val="single" w:sz="8" w:space="0" w:color="E0E0E0"/>
              <w:bottom w:val="single" w:sz="8" w:space="0" w:color="AEAEAE"/>
              <w:right w:val="single" w:sz="8" w:space="0" w:color="E0E0E0"/>
            </w:tcBorders>
            <w:shd w:val="clear" w:color="auto" w:fill="F9F9FB"/>
          </w:tcPr>
          <w:p w14:paraId="3509BF46"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-.087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1FBBB64"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-1.397</w:t>
            </w:r>
          </w:p>
        </w:tc>
        <w:tc>
          <w:tcPr>
            <w:tcW w:w="1025" w:type="dxa"/>
            <w:tcBorders>
              <w:top w:val="single" w:sz="8" w:space="0" w:color="AEAEAE"/>
              <w:left w:val="single" w:sz="8" w:space="0" w:color="E0E0E0"/>
              <w:bottom w:val="single" w:sz="8" w:space="0" w:color="AEAEAE"/>
              <w:right w:val="nil"/>
            </w:tcBorders>
            <w:shd w:val="clear" w:color="auto" w:fill="F9F9FB"/>
          </w:tcPr>
          <w:p w14:paraId="4150D8CC"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.164</w:t>
            </w:r>
          </w:p>
        </w:tc>
      </w:tr>
      <w:tr w:rsidR="00CE2CFF" w:rsidRPr="008C46F1" w14:paraId="26AC674E" w14:textId="77777777" w:rsidTr="00C32B96">
        <w:trPr>
          <w:cantSplit/>
        </w:trPr>
        <w:tc>
          <w:tcPr>
            <w:tcW w:w="734" w:type="dxa"/>
            <w:vMerge/>
            <w:tcBorders>
              <w:top w:val="single" w:sz="8" w:space="0" w:color="152935"/>
              <w:left w:val="nil"/>
              <w:bottom w:val="single" w:sz="8" w:space="0" w:color="152935"/>
              <w:right w:val="nil"/>
            </w:tcBorders>
            <w:shd w:val="clear" w:color="auto" w:fill="E0E0E0"/>
          </w:tcPr>
          <w:p w14:paraId="0DF579FE" w14:textId="77777777" w:rsidR="00CE2CFF" w:rsidRPr="008C46F1" w:rsidRDefault="00CE2CFF" w:rsidP="00C32B96">
            <w:pPr>
              <w:spacing w:line="360" w:lineRule="auto"/>
              <w:jc w:val="both"/>
              <w:rPr>
                <w:rFonts w:ascii="Times New Roman" w:eastAsiaTheme="minorEastAsia" w:hAnsi="Times New Roman" w:cs="Times New Roman"/>
              </w:rPr>
            </w:pPr>
          </w:p>
        </w:tc>
        <w:tc>
          <w:tcPr>
            <w:tcW w:w="2449" w:type="dxa"/>
            <w:tcBorders>
              <w:top w:val="single" w:sz="8" w:space="0" w:color="AEAEAE"/>
              <w:left w:val="nil"/>
              <w:bottom w:val="single" w:sz="8" w:space="0" w:color="AEAEAE"/>
              <w:right w:val="nil"/>
            </w:tcBorders>
            <w:shd w:val="clear" w:color="auto" w:fill="E0E0E0"/>
          </w:tcPr>
          <w:p w14:paraId="1D55C291"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How intense was the emotion you felt while viewing the ad?</w:t>
            </w:r>
          </w:p>
        </w:tc>
        <w:tc>
          <w:tcPr>
            <w:tcW w:w="1332" w:type="dxa"/>
            <w:tcBorders>
              <w:top w:val="single" w:sz="8" w:space="0" w:color="AEAEAE"/>
              <w:left w:val="nil"/>
              <w:bottom w:val="single" w:sz="8" w:space="0" w:color="AEAEAE"/>
              <w:right w:val="single" w:sz="8" w:space="0" w:color="E0E0E0"/>
            </w:tcBorders>
            <w:shd w:val="clear" w:color="auto" w:fill="F9F9FB"/>
          </w:tcPr>
          <w:p w14:paraId="7E15FE7A" w14:textId="77777777" w:rsidR="00CE2CFF" w:rsidRPr="008C46F1" w:rsidRDefault="00CE2CFF" w:rsidP="00C32B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w:r w:rsidRPr="008C46F1">
              <w:rPr>
                <w:rFonts w:ascii="Times New Roman" w:eastAsiaTheme="minorEastAsia" w:hAnsi="Times New Roman" w:cs="Times New Roman"/>
              </w:rPr>
              <w:t>.085</w:t>
            </w:r>
          </w:p>
        </w:tc>
        <w:tc>
          <w:tcPr>
            <w:tcW w:w="1332" w:type="dxa"/>
            <w:tcBorders>
              <w:top w:val="single" w:sz="8" w:space="0" w:color="AEAEAE"/>
              <w:left w:val="single" w:sz="8" w:space="0" w:color="E0E0E0"/>
              <w:bottom w:val="single" w:sz="8" w:space="0" w:color="AEAEAE"/>
              <w:right w:val="single" w:sz="8" w:space="0" w:color="E0E0E0"/>
            </w:tcBorders>
            <w:shd w:val="clear" w:color="auto" w:fill="F9F9FB"/>
          </w:tcPr>
          <w:p w14:paraId="2CD08B4D"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.052</w:t>
            </w:r>
          </w:p>
        </w:tc>
        <w:tc>
          <w:tcPr>
            <w:tcW w:w="1470" w:type="dxa"/>
            <w:tcBorders>
              <w:top w:val="single" w:sz="8" w:space="0" w:color="AEAEAE"/>
              <w:left w:val="single" w:sz="8" w:space="0" w:color="E0E0E0"/>
              <w:bottom w:val="single" w:sz="8" w:space="0" w:color="AEAEAE"/>
              <w:right w:val="single" w:sz="8" w:space="0" w:color="E0E0E0"/>
            </w:tcBorders>
            <w:shd w:val="clear" w:color="auto" w:fill="F9F9FB"/>
          </w:tcPr>
          <w:p w14:paraId="577CE1E9"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.101</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CF398C9"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1.631</w:t>
            </w:r>
          </w:p>
        </w:tc>
        <w:tc>
          <w:tcPr>
            <w:tcW w:w="1025" w:type="dxa"/>
            <w:tcBorders>
              <w:top w:val="single" w:sz="8" w:space="0" w:color="AEAEAE"/>
              <w:left w:val="single" w:sz="8" w:space="0" w:color="E0E0E0"/>
              <w:bottom w:val="single" w:sz="8" w:space="0" w:color="AEAEAE"/>
              <w:right w:val="nil"/>
            </w:tcBorders>
            <w:shd w:val="clear" w:color="auto" w:fill="F9F9FB"/>
          </w:tcPr>
          <w:p w14:paraId="58393B7F"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.104</w:t>
            </w:r>
          </w:p>
        </w:tc>
      </w:tr>
      <w:tr w:rsidR="00CE2CFF" w:rsidRPr="008C46F1" w14:paraId="6DCA2CE6" w14:textId="77777777" w:rsidTr="00C32B96">
        <w:trPr>
          <w:cantSplit/>
        </w:trPr>
        <w:tc>
          <w:tcPr>
            <w:tcW w:w="734" w:type="dxa"/>
            <w:vMerge/>
            <w:tcBorders>
              <w:top w:val="single" w:sz="8" w:space="0" w:color="152935"/>
              <w:left w:val="nil"/>
              <w:bottom w:val="single" w:sz="8" w:space="0" w:color="152935"/>
              <w:right w:val="nil"/>
            </w:tcBorders>
            <w:shd w:val="clear" w:color="auto" w:fill="E0E0E0"/>
          </w:tcPr>
          <w:p w14:paraId="3F03F1F4" w14:textId="77777777" w:rsidR="00CE2CFF" w:rsidRPr="008C46F1" w:rsidRDefault="00CE2CFF" w:rsidP="00C32B96">
            <w:pPr>
              <w:spacing w:line="360" w:lineRule="auto"/>
              <w:jc w:val="both"/>
              <w:rPr>
                <w:rFonts w:ascii="Times New Roman" w:eastAsiaTheme="minorEastAsia" w:hAnsi="Times New Roman" w:cs="Times New Roman"/>
              </w:rPr>
            </w:pPr>
          </w:p>
        </w:tc>
        <w:tc>
          <w:tcPr>
            <w:tcW w:w="2449" w:type="dxa"/>
            <w:tcBorders>
              <w:top w:val="single" w:sz="8" w:space="0" w:color="AEAEAE"/>
              <w:left w:val="nil"/>
              <w:bottom w:val="single" w:sz="8" w:space="0" w:color="152935"/>
              <w:right w:val="nil"/>
            </w:tcBorders>
            <w:shd w:val="clear" w:color="auto" w:fill="E0E0E0"/>
          </w:tcPr>
          <w:p w14:paraId="1565F695"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Gender</w:t>
            </w:r>
          </w:p>
        </w:tc>
        <w:tc>
          <w:tcPr>
            <w:tcW w:w="1332" w:type="dxa"/>
            <w:tcBorders>
              <w:top w:val="single" w:sz="8" w:space="0" w:color="AEAEAE"/>
              <w:left w:val="nil"/>
              <w:bottom w:val="single" w:sz="8" w:space="0" w:color="152935"/>
              <w:right w:val="single" w:sz="8" w:space="0" w:color="E0E0E0"/>
            </w:tcBorders>
            <w:shd w:val="clear" w:color="auto" w:fill="F9F9FB"/>
          </w:tcPr>
          <w:p w14:paraId="03B17CE9" w14:textId="77777777" w:rsidR="00CE2CFF" w:rsidRPr="008C46F1" w:rsidRDefault="00CE2CFF" w:rsidP="00C32B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w:r w:rsidRPr="008C46F1">
              <w:rPr>
                <w:rFonts w:ascii="Times New Roman" w:eastAsiaTheme="minorEastAsia" w:hAnsi="Times New Roman" w:cs="Times New Roman"/>
              </w:rPr>
              <w:t>.040</w:t>
            </w:r>
          </w:p>
        </w:tc>
        <w:tc>
          <w:tcPr>
            <w:tcW w:w="1332" w:type="dxa"/>
            <w:tcBorders>
              <w:top w:val="single" w:sz="8" w:space="0" w:color="AEAEAE"/>
              <w:left w:val="single" w:sz="8" w:space="0" w:color="E0E0E0"/>
              <w:bottom w:val="single" w:sz="8" w:space="0" w:color="152935"/>
              <w:right w:val="single" w:sz="8" w:space="0" w:color="E0E0E0"/>
            </w:tcBorders>
            <w:shd w:val="clear" w:color="auto" w:fill="F9F9FB"/>
          </w:tcPr>
          <w:p w14:paraId="4B11B4C2"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.134</w:t>
            </w:r>
          </w:p>
        </w:tc>
        <w:tc>
          <w:tcPr>
            <w:tcW w:w="1470" w:type="dxa"/>
            <w:tcBorders>
              <w:top w:val="single" w:sz="8" w:space="0" w:color="AEAEAE"/>
              <w:left w:val="single" w:sz="8" w:space="0" w:color="E0E0E0"/>
              <w:bottom w:val="single" w:sz="8" w:space="0" w:color="152935"/>
              <w:right w:val="single" w:sz="8" w:space="0" w:color="E0E0E0"/>
            </w:tcBorders>
            <w:shd w:val="clear" w:color="auto" w:fill="F9F9FB"/>
          </w:tcPr>
          <w:p w14:paraId="01506693"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.019</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047BBEB1"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.298</w:t>
            </w:r>
          </w:p>
        </w:tc>
        <w:tc>
          <w:tcPr>
            <w:tcW w:w="1025" w:type="dxa"/>
            <w:tcBorders>
              <w:top w:val="single" w:sz="8" w:space="0" w:color="AEAEAE"/>
              <w:left w:val="single" w:sz="8" w:space="0" w:color="E0E0E0"/>
              <w:bottom w:val="single" w:sz="8" w:space="0" w:color="152935"/>
              <w:right w:val="nil"/>
            </w:tcBorders>
            <w:shd w:val="clear" w:color="auto" w:fill="F9F9FB"/>
          </w:tcPr>
          <w:p w14:paraId="1A4F4301" w14:textId="77777777" w:rsidR="00CE2CFF" w:rsidRPr="008C46F1" w:rsidRDefault="00CE2CFF" w:rsidP="00C32B96">
            <w:pPr>
              <w:spacing w:line="360" w:lineRule="auto"/>
              <w:jc w:val="both"/>
              <w:rPr>
                <w:rFonts w:ascii="Times New Roman" w:eastAsiaTheme="minorEastAsia" w:hAnsi="Times New Roman" w:cs="Times New Roman"/>
              </w:rPr>
            </w:pPr>
            <w:r w:rsidRPr="008C46F1">
              <w:rPr>
                <w:rFonts w:ascii="Times New Roman" w:eastAsiaTheme="minorEastAsia" w:hAnsi="Times New Roman" w:cs="Times New Roman"/>
              </w:rPr>
              <w:t>.766</w:t>
            </w:r>
          </w:p>
        </w:tc>
      </w:tr>
    </w:tbl>
    <w:p w14:paraId="00296295" w14:textId="77777777" w:rsidR="00CE2CFF" w:rsidRPr="00AE076B" w:rsidRDefault="00CE2CFF" w:rsidP="00CE2CFF">
      <w:pPr>
        <w:tabs>
          <w:tab w:val="left" w:pos="1875"/>
        </w:tabs>
        <w:spacing w:line="360" w:lineRule="auto"/>
        <w:jc w:val="center"/>
        <w:rPr>
          <w:rFonts w:ascii="Times New Roman" w:hAnsi="Times New Roman" w:cs="Times New Roman"/>
          <w:b/>
          <w:bCs/>
          <w:sz w:val="32"/>
          <w:szCs w:val="32"/>
        </w:rPr>
      </w:pPr>
      <w:r w:rsidRPr="00AE076B">
        <w:rPr>
          <w:rFonts w:ascii="Times New Roman" w:hAnsi="Times New Roman" w:cs="Times New Roman"/>
          <w:b/>
          <w:bCs/>
          <w:sz w:val="32"/>
          <w:szCs w:val="32"/>
        </w:rPr>
        <w:lastRenderedPageBreak/>
        <w:t>Chapter 6: Concluding Remarks</w:t>
      </w:r>
    </w:p>
    <w:p w14:paraId="4EB7B0E4" w14:textId="77777777" w:rsidR="00CE2CFF" w:rsidRDefault="00CE2CFF" w:rsidP="00CE2CFF">
      <w:pPr>
        <w:spacing w:line="360" w:lineRule="auto"/>
        <w:jc w:val="both"/>
        <w:rPr>
          <w:rFonts w:ascii="Times New Roman" w:eastAsiaTheme="minorEastAsia" w:hAnsi="Times New Roman" w:cs="Times New Roman"/>
          <w:b/>
          <w:bCs/>
        </w:rPr>
      </w:pPr>
    </w:p>
    <w:p w14:paraId="7809EE99"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t>5.1 Introduction and Overview of Research Aim</w:t>
      </w:r>
    </w:p>
    <w:p w14:paraId="30134EA8"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This study was undertaken to rigorously investigate and quantify the individual predictive strength of three fundamental advertising characteristics—Color Influence, Simplicity Perception, and Emotion Intensity—on the Purchase Intention of university students. Operating within the dynamic context of the digital attention economy, the research aimed to move beyond simple correlational analysis, utilizing Multiple Linear Regression (MLR) to statistically isolate the unique contribution of each element when they are simultaneously presented within a single advertising stimulus.</w:t>
      </w:r>
    </w:p>
    <w:p w14:paraId="6FBD4C3C"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The overarching aim was to determine and rank these elements by their impact, thereby providing empirically validated guidance for marketers and designers targeting this highly influential demographic. The findings confirm the complexity of consumer behavior but offer clear prioritization: while all three elements contribute significantly to purchase intent, their impact is neither equal nor interchangeable. This chapter synthesizes the results, discusses their implications in the context of established literature, addresses the limitations encountered, and proposes avenues for future academic exploration.</w:t>
      </w:r>
    </w:p>
    <w:p w14:paraId="4C228565" w14:textId="77777777" w:rsidR="00CE2CFF" w:rsidRDefault="00CE2CFF" w:rsidP="00CE2CFF">
      <w:pPr>
        <w:spacing w:line="360" w:lineRule="auto"/>
        <w:jc w:val="both"/>
        <w:rPr>
          <w:rFonts w:ascii="Times New Roman" w:eastAsiaTheme="minorEastAsia" w:hAnsi="Times New Roman" w:cs="Times New Roman"/>
          <w:b/>
          <w:bCs/>
        </w:rPr>
      </w:pPr>
    </w:p>
    <w:p w14:paraId="6364473C"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t>5.2 Discussion and Interpretation of Findings</w:t>
      </w:r>
    </w:p>
    <w:p w14:paraId="190DB6F2"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The analytical foundation of this study, anchored by a statistically highly significant MLR model, successfully explained</w:t>
      </w:r>
      <w:r>
        <w:rPr>
          <w:rFonts w:ascii="Times New Roman" w:eastAsiaTheme="minorEastAsia" w:hAnsi="Times New Roman" w:cs="Times New Roman"/>
        </w:rPr>
        <w:t xml:space="preserve"> </w:t>
      </w:r>
      <w:r w:rsidRPr="009C68CD">
        <w:rPr>
          <w:rFonts w:ascii="Times New Roman" w:eastAsiaTheme="minorEastAsia" w:hAnsi="Times New Roman" w:cs="Times New Roman"/>
        </w:rPr>
        <w:t>38.8%</w:t>
      </w:r>
      <w:r w:rsidRPr="009C68CD">
        <w:rPr>
          <w:rFonts w:ascii="Times New Roman" w:eastAsiaTheme="minorEastAsia" w:hAnsi="Times New Roman" w:cs="Times New Roman"/>
          <w:b/>
          <w:bCs/>
        </w:rPr>
        <w:t xml:space="preserve"> </w:t>
      </w:r>
      <w:r w:rsidRPr="009C68CD">
        <w:rPr>
          <w:rFonts w:ascii="Times New Roman" w:eastAsiaTheme="minorEastAsia" w:hAnsi="Times New Roman" w:cs="Times New Roman"/>
        </w:rPr>
        <w:t>of the variance in Purchase Intention. This demonstrates a robust fit and validates the collective explanatory power of the three chosen advertising factors. The interpretation of the Coefficients Table forms the core of the discussion, as it systematically addresses the central research hypotheses.</w:t>
      </w:r>
    </w:p>
    <w:p w14:paraId="3E3015D7" w14:textId="77777777" w:rsidR="00CE2CFF" w:rsidRDefault="00CE2CFF" w:rsidP="00CE2CFF">
      <w:pPr>
        <w:spacing w:line="360" w:lineRule="auto"/>
        <w:jc w:val="both"/>
        <w:rPr>
          <w:rFonts w:ascii="Times New Roman" w:eastAsiaTheme="minorEastAsia" w:hAnsi="Times New Roman" w:cs="Times New Roman"/>
          <w:b/>
          <w:bCs/>
        </w:rPr>
      </w:pPr>
    </w:p>
    <w:p w14:paraId="55C2AE39" w14:textId="77777777" w:rsidR="00CE2CFF" w:rsidRDefault="00CE2CFF" w:rsidP="00CE2CFF">
      <w:pPr>
        <w:spacing w:line="360" w:lineRule="auto"/>
        <w:jc w:val="both"/>
        <w:rPr>
          <w:rFonts w:ascii="Times New Roman" w:eastAsiaTheme="minorEastAsia" w:hAnsi="Times New Roman" w:cs="Times New Roman"/>
          <w:b/>
          <w:bCs/>
        </w:rPr>
      </w:pPr>
    </w:p>
    <w:p w14:paraId="28A2A7BC" w14:textId="77777777" w:rsidR="00CE2CFF" w:rsidRDefault="00CE2CFF" w:rsidP="00CE2CFF">
      <w:pPr>
        <w:spacing w:line="360" w:lineRule="auto"/>
        <w:jc w:val="both"/>
        <w:rPr>
          <w:rFonts w:ascii="Times New Roman" w:eastAsiaTheme="minorEastAsia" w:hAnsi="Times New Roman" w:cs="Times New Roman"/>
          <w:b/>
          <w:bCs/>
        </w:rPr>
      </w:pPr>
    </w:p>
    <w:p w14:paraId="0309A7C6"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lastRenderedPageBreak/>
        <w:t>5.2.1 The Dominance of Color Influence</w:t>
      </w:r>
    </w:p>
    <w:p w14:paraId="24760D8E"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Finding:</w:t>
      </w:r>
      <w:r w:rsidRPr="009C68CD">
        <w:rPr>
          <w:rFonts w:ascii="Times New Roman" w:eastAsiaTheme="minorEastAsia" w:hAnsi="Times New Roman" w:cs="Times New Roman"/>
        </w:rPr>
        <w:t xml:space="preserve"> Color Influence emerged as the </w:t>
      </w:r>
      <w:r w:rsidRPr="009C68CD">
        <w:rPr>
          <w:rFonts w:ascii="Times New Roman" w:eastAsiaTheme="minorEastAsia" w:hAnsi="Times New Roman" w:cs="Times New Roman"/>
          <w:b/>
          <w:bCs/>
        </w:rPr>
        <w:t>strongest and most critical predictor</w:t>
      </w:r>
      <w:r w:rsidRPr="009C68CD">
        <w:rPr>
          <w:rFonts w:ascii="Times New Roman" w:eastAsiaTheme="minorEastAsia" w:hAnsi="Times New Roman" w:cs="Times New Roman"/>
        </w:rPr>
        <w:t xml:space="preserve"> of Purchase Intention</w:t>
      </w:r>
      <w:r>
        <w:rPr>
          <w:rFonts w:ascii="Times New Roman" w:eastAsiaTheme="minorEastAsia" w:hAnsi="Times New Roman" w:cs="Times New Roman"/>
        </w:rPr>
        <w:t>.</w:t>
      </w:r>
    </w:p>
    <w:p w14:paraId="5FF2C406"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Discussion:</w:t>
      </w:r>
      <w:r w:rsidRPr="009C68CD">
        <w:rPr>
          <w:rFonts w:ascii="Times New Roman" w:eastAsiaTheme="minorEastAsia" w:hAnsi="Times New Roman" w:cs="Times New Roman"/>
        </w:rPr>
        <w:t xml:space="preserve"> This finding strongly corroborates existing literature in the visual and perceptual domains, which posits that color is the most immediate and influential element in snap consumer judgments. The large unstandardized coefficient</w:t>
      </w:r>
      <w:r>
        <w:rPr>
          <w:rFonts w:ascii="Times New Roman" w:eastAsiaTheme="minorEastAsia" w:hAnsi="Times New Roman" w:cs="Times New Roman"/>
        </w:rPr>
        <w:t xml:space="preserve"> </w:t>
      </w:r>
      <w:r w:rsidRPr="009C68CD">
        <w:rPr>
          <w:rFonts w:ascii="Times New Roman" w:eastAsiaTheme="minorEastAsia" w:hAnsi="Times New Roman" w:cs="Times New Roman"/>
        </w:rPr>
        <w:t>suggests that for every one-unit increase in a student's perception of color influence, their Purchase Intention increases by more than half a point on the five-point Likert scale, holding all other factors constant. This establishes color not merely as an aesthetic choice, but as a potent perceptual trigger essential for advancing the consumer from passive viewing to active consideration.</w:t>
      </w:r>
    </w:p>
    <w:p w14:paraId="7F56F6F0"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The descriptive data further supported this. The Crosstabulation analysis showed a highly significant association between acknowledged color influence and higher Purchase Intention. Crucially, students who denied color influence rarely moved past the "Neutral" stage in their purchase likelihood, confirming that color must be successful for the persuasive process to even begin. Furthermore, the high percentage of students who rated the color scheme match as "Well" or "Very Well" suggests that this predictive power is rooted in the appropriate, non-distracting use of color relevant to the product. The key insight is that color works because it is both noticeable and appropriate.</w:t>
      </w:r>
    </w:p>
    <w:p w14:paraId="464C5072" w14:textId="77777777" w:rsidR="00CE2CFF" w:rsidRDefault="00CE2CFF" w:rsidP="00CE2CFF">
      <w:pPr>
        <w:spacing w:line="360" w:lineRule="auto"/>
        <w:jc w:val="both"/>
        <w:rPr>
          <w:rFonts w:ascii="Times New Roman" w:eastAsiaTheme="minorEastAsia" w:hAnsi="Times New Roman" w:cs="Times New Roman"/>
          <w:b/>
          <w:bCs/>
        </w:rPr>
      </w:pPr>
    </w:p>
    <w:p w14:paraId="78B6F79B"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t>5.2.2 The Significance of Simplicity Perception</w:t>
      </w:r>
    </w:p>
    <w:p w14:paraId="1E45FF7B"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Finding:</w:t>
      </w:r>
      <w:r w:rsidRPr="009C68CD">
        <w:rPr>
          <w:rFonts w:ascii="Times New Roman" w:eastAsiaTheme="minorEastAsia" w:hAnsi="Times New Roman" w:cs="Times New Roman"/>
        </w:rPr>
        <w:t xml:space="preserve"> Simplicity Perception was identified as the second most powerful predictor of Purchase Intention</w:t>
      </w:r>
      <w:r>
        <w:rPr>
          <w:rFonts w:ascii="Times New Roman" w:eastAsiaTheme="minorEastAsia" w:hAnsi="Times New Roman" w:cs="Times New Roman"/>
        </w:rPr>
        <w:t>.</w:t>
      </w:r>
    </w:p>
    <w:p w14:paraId="7E66C30F"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Discussion:</w:t>
      </w:r>
      <w:r w:rsidRPr="009C68CD">
        <w:rPr>
          <w:rFonts w:ascii="Times New Roman" w:eastAsiaTheme="minorEastAsia" w:hAnsi="Times New Roman" w:cs="Times New Roman"/>
        </w:rPr>
        <w:t xml:space="preserve"> This result offers compelling support for the principles of Cognitive Load Theory and Processing Fluency within advertising. The strong predictive ability of simplicity is reflective of the digital environment where attention spans are limited. The 73.1% descriptive preference for simple designs confirms that clarity and ease of processing are highly valued by the student demographic.</w:t>
      </w:r>
    </w:p>
    <w:p w14:paraId="47560B30"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lastRenderedPageBreak/>
        <w:t>In the context of the model, simplicity acts as a crucial cognitive facilitator. While color may grab attention, simplicity ensures that the message is quickly and effortlessly registered, thus reducing the cognitive friction that often leads to ad avoidance. The ranking (second only to color) suggests that the visual attractiveness provided by color must be paired with the functional efficiency of simplicity for maximum effect. An ad can have the perfect color, but if the design is cluttered, the benefit gained from the color influence is diminished by cognitive struggle. This finding bridges the gap between the purely aesthetic and the functional success of an advertisement.</w:t>
      </w:r>
    </w:p>
    <w:p w14:paraId="4AF80A47" w14:textId="77777777" w:rsidR="00CE2CFF" w:rsidRDefault="00CE2CFF" w:rsidP="00CE2CFF">
      <w:pPr>
        <w:spacing w:line="360" w:lineRule="auto"/>
        <w:jc w:val="both"/>
        <w:rPr>
          <w:rFonts w:ascii="Times New Roman" w:eastAsiaTheme="minorEastAsia" w:hAnsi="Times New Roman" w:cs="Times New Roman"/>
          <w:b/>
          <w:bCs/>
        </w:rPr>
      </w:pPr>
    </w:p>
    <w:p w14:paraId="28AF1777"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t>5.2.3 The Role of Emotion Intensity as a Subtle Persuader</w:t>
      </w:r>
    </w:p>
    <w:p w14:paraId="6024099E"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Finding:</w:t>
      </w:r>
      <w:r w:rsidRPr="009C68CD">
        <w:rPr>
          <w:rFonts w:ascii="Times New Roman" w:eastAsiaTheme="minorEastAsia" w:hAnsi="Times New Roman" w:cs="Times New Roman"/>
        </w:rPr>
        <w:t xml:space="preserve"> Emotion Intensity was a statistically significant positive predictor of Purchase Intention</w:t>
      </w:r>
      <w:r>
        <w:rPr>
          <w:rFonts w:ascii="Times New Roman" w:eastAsiaTheme="minorEastAsia" w:hAnsi="Times New Roman" w:cs="Times New Roman"/>
        </w:rPr>
        <w:t xml:space="preserve">, </w:t>
      </w:r>
      <w:r w:rsidRPr="009C68CD">
        <w:rPr>
          <w:rFonts w:ascii="Times New Roman" w:eastAsiaTheme="minorEastAsia" w:hAnsi="Times New Roman" w:cs="Times New Roman"/>
        </w:rPr>
        <w:t>but it was the weakest of the three core factors.</w:t>
      </w:r>
    </w:p>
    <w:p w14:paraId="6191E6FC"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Discussion:</w:t>
      </w:r>
      <w:r w:rsidRPr="009C68CD">
        <w:rPr>
          <w:rFonts w:ascii="Times New Roman" w:eastAsiaTheme="minorEastAsia" w:hAnsi="Times New Roman" w:cs="Times New Roman"/>
        </w:rPr>
        <w:t xml:space="preserve"> The significance of this finding must be interpreted against the backdrop of the descriptive data, which showed that most students experienced only low to moderate emotional intensity (67.6% selecting "Slightly" or "A little"). This apparent contradiction—a weak input having a significant output—is the most nuanced insight of the study.</w:t>
      </w:r>
    </w:p>
    <w:p w14:paraId="355743AA"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The result suggests that emotional content, for this demographic, operates not as an explosive, attention-grabbing force, but as a subtle persuasive uplift. The regression confirms that even marginal, incremental increases in a student's emotional connection are reliable for raising Purchase Intention. This contrasts with traditional advertising models that often chase high-arousal emotional responses. For marketers, the implication is strategic: subtle emotional cues are more efficient than grand emotional narratives. Emotion functions best as a rewarding layer that validates the consumer's decision to continue engaging with the ad (cognitive reward) rather than as the primary means of initial attraction.</w:t>
      </w:r>
    </w:p>
    <w:p w14:paraId="6FCB9CBC" w14:textId="77777777" w:rsidR="00CE2CFF" w:rsidRDefault="00CE2CFF" w:rsidP="00CE2CFF">
      <w:pPr>
        <w:spacing w:line="360" w:lineRule="auto"/>
        <w:jc w:val="both"/>
        <w:rPr>
          <w:rFonts w:ascii="Times New Roman" w:eastAsiaTheme="minorEastAsia" w:hAnsi="Times New Roman" w:cs="Times New Roman"/>
          <w:b/>
          <w:bCs/>
        </w:rPr>
      </w:pPr>
    </w:p>
    <w:p w14:paraId="7148B92D"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t>5.2.4 Interpretation of the Control Variable</w:t>
      </w:r>
    </w:p>
    <w:p w14:paraId="0DF4EE4F"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Finding:</w:t>
      </w:r>
      <w:r w:rsidRPr="009C68CD">
        <w:rPr>
          <w:rFonts w:ascii="Times New Roman" w:eastAsiaTheme="minorEastAsia" w:hAnsi="Times New Roman" w:cs="Times New Roman"/>
        </w:rPr>
        <w:t xml:space="preserve"> The control variable Gender was found to be not statistically significant.</w:t>
      </w:r>
    </w:p>
    <w:p w14:paraId="08670307"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Discussion:</w:t>
      </w:r>
      <w:r w:rsidRPr="009C68CD">
        <w:rPr>
          <w:rFonts w:ascii="Times New Roman" w:eastAsiaTheme="minorEastAsia" w:hAnsi="Times New Roman" w:cs="Times New Roman"/>
        </w:rPr>
        <w:t xml:space="preserve"> The non-significance of Gender is a critical positive result for the generalizability of the findings. It assures advertisers that the hierarchy of influence found—Color &gt; Simplicity &gt; </w:t>
      </w:r>
      <w:r w:rsidRPr="009C68CD">
        <w:rPr>
          <w:rFonts w:ascii="Times New Roman" w:eastAsiaTheme="minorEastAsia" w:hAnsi="Times New Roman" w:cs="Times New Roman"/>
        </w:rPr>
        <w:lastRenderedPageBreak/>
        <w:t>Emotion—is consistent across both male and female students in the sample. The advertising strategies derived from this research are robust and do not require segmentation based on gender.</w:t>
      </w:r>
    </w:p>
    <w:p w14:paraId="72EBCB1A" w14:textId="77777777" w:rsidR="00CE2CFF" w:rsidRDefault="00CE2CFF" w:rsidP="00CE2CFF">
      <w:pPr>
        <w:spacing w:line="360" w:lineRule="auto"/>
        <w:jc w:val="both"/>
        <w:rPr>
          <w:rFonts w:ascii="Times New Roman" w:eastAsiaTheme="minorEastAsia" w:hAnsi="Times New Roman" w:cs="Times New Roman"/>
          <w:b/>
          <w:bCs/>
        </w:rPr>
      </w:pPr>
    </w:p>
    <w:p w14:paraId="5ADBA10D"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t>5.</w:t>
      </w:r>
      <w:r>
        <w:rPr>
          <w:rFonts w:ascii="Times New Roman" w:eastAsiaTheme="minorEastAsia" w:hAnsi="Times New Roman" w:cs="Times New Roman"/>
          <w:b/>
          <w:bCs/>
        </w:rPr>
        <w:t>3</w:t>
      </w:r>
      <w:r w:rsidRPr="009C68CD">
        <w:rPr>
          <w:rFonts w:ascii="Times New Roman" w:eastAsiaTheme="minorEastAsia" w:hAnsi="Times New Roman" w:cs="Times New Roman"/>
          <w:b/>
          <w:bCs/>
        </w:rPr>
        <w:t xml:space="preserve"> Limitations of the Study</w:t>
      </w:r>
    </w:p>
    <w:p w14:paraId="36BE4C43"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While this study offers robust statistical evidence, the following limitations must be acknowledged, which constrain the immediate generalizability of the findings:</w:t>
      </w:r>
    </w:p>
    <w:p w14:paraId="3D806654" w14:textId="77777777" w:rsidR="00CE2CFF" w:rsidRPr="009C68CD" w:rsidRDefault="00CE2CFF" w:rsidP="00CE2CFF">
      <w:pPr>
        <w:numPr>
          <w:ilvl w:val="0"/>
          <w:numId w:val="1"/>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Sample Specificity:</w:t>
      </w:r>
      <w:r w:rsidRPr="009C68CD">
        <w:rPr>
          <w:rFonts w:ascii="Times New Roman" w:eastAsiaTheme="minorEastAsia" w:hAnsi="Times New Roman" w:cs="Times New Roman"/>
        </w:rPr>
        <w:t xml:space="preserve"> The study exclusively utilized a convenience sample of university students. While this demographic is valuable for predicting digital market trends, the findings may not directly translate to older, non-student, or more diverse consumer populations who possess different digital literacy and shopping habits.</w:t>
      </w:r>
    </w:p>
    <w:p w14:paraId="01E28301" w14:textId="77777777" w:rsidR="00CE2CFF" w:rsidRPr="009C68CD" w:rsidRDefault="00CE2CFF" w:rsidP="00CE2CFF">
      <w:pPr>
        <w:numPr>
          <w:ilvl w:val="0"/>
          <w:numId w:val="1"/>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Cross-Sectional Design:</w:t>
      </w:r>
      <w:r w:rsidRPr="009C68CD">
        <w:rPr>
          <w:rFonts w:ascii="Times New Roman" w:eastAsiaTheme="minorEastAsia" w:hAnsi="Times New Roman" w:cs="Times New Roman"/>
        </w:rPr>
        <w:t xml:space="preserve"> The use of a cross-sectional survey captures perceptions at a single point in time. It cannot establish a true cause-and-effect relationship, nor can it track how perceptions or purchase intentions might evolve over repeated exposure (wear-out effect) or extended time periods.</w:t>
      </w:r>
    </w:p>
    <w:p w14:paraId="69C872B6" w14:textId="77777777" w:rsidR="00CE2CFF" w:rsidRPr="009C68CD" w:rsidRDefault="00CE2CFF" w:rsidP="00CE2CFF">
      <w:pPr>
        <w:numPr>
          <w:ilvl w:val="0"/>
          <w:numId w:val="1"/>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Reliance on Self-Reported Data:</w:t>
      </w:r>
      <w:r w:rsidRPr="009C68CD">
        <w:rPr>
          <w:rFonts w:ascii="Times New Roman" w:eastAsiaTheme="minorEastAsia" w:hAnsi="Times New Roman" w:cs="Times New Roman"/>
        </w:rPr>
        <w:t xml:space="preserve"> The dependent variable (Purchase Intention) relies on </w:t>
      </w:r>
      <w:r w:rsidRPr="009C68CD">
        <w:rPr>
          <w:rFonts w:ascii="Times New Roman" w:eastAsiaTheme="minorEastAsia" w:hAnsi="Times New Roman" w:cs="Times New Roman"/>
          <w:b/>
          <w:bCs/>
        </w:rPr>
        <w:t>self-reported data</w:t>
      </w:r>
      <w:r w:rsidRPr="009C68CD">
        <w:rPr>
          <w:rFonts w:ascii="Times New Roman" w:eastAsiaTheme="minorEastAsia" w:hAnsi="Times New Roman" w:cs="Times New Roman"/>
        </w:rPr>
        <w:t xml:space="preserve"> (Likert scales). While this is standard practice, there is a risk of social desirability bias or a gap between stated intention and actual purchasing behavior.</w:t>
      </w:r>
    </w:p>
    <w:p w14:paraId="49E5968C" w14:textId="77777777" w:rsidR="00CE2CFF" w:rsidRPr="009C68CD" w:rsidRDefault="00CE2CFF" w:rsidP="00CE2CFF">
      <w:pPr>
        <w:numPr>
          <w:ilvl w:val="0"/>
          <w:numId w:val="1"/>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Stimulus Specificity:</w:t>
      </w:r>
      <w:r w:rsidRPr="009C68CD">
        <w:rPr>
          <w:rFonts w:ascii="Times New Roman" w:eastAsiaTheme="minorEastAsia" w:hAnsi="Times New Roman" w:cs="Times New Roman"/>
        </w:rPr>
        <w:t xml:space="preserve"> The research used a limited set of advertising stimuli. While efforts were made to isolate the variables, the findings are technically constrained to the type of advertisements and products presented.</w:t>
      </w:r>
    </w:p>
    <w:p w14:paraId="07CD4EF5" w14:textId="77777777" w:rsidR="00CE2CFF" w:rsidRPr="009C68CD" w:rsidRDefault="00CE2CFF" w:rsidP="00CE2CFF">
      <w:pPr>
        <w:numPr>
          <w:ilvl w:val="0"/>
          <w:numId w:val="1"/>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Questionnaire Structure:</w:t>
      </w:r>
      <w:r w:rsidRPr="009C68CD">
        <w:rPr>
          <w:rFonts w:ascii="Times New Roman" w:eastAsiaTheme="minorEastAsia" w:hAnsi="Times New Roman" w:cs="Times New Roman"/>
        </w:rPr>
        <w:t xml:space="preserve"> A methodological limitation was identified in the questionnaire's structure, where the generalized </w:t>
      </w:r>
      <w:r w:rsidRPr="009C68CD">
        <w:rPr>
          <w:rFonts w:ascii="Times New Roman" w:eastAsiaTheme="minorEastAsia" w:hAnsi="Times New Roman" w:cs="Times New Roman"/>
          <w:b/>
          <w:bCs/>
        </w:rPr>
        <w:t>Emotion Intensity</w:t>
      </w:r>
      <w:r w:rsidRPr="009C68CD">
        <w:rPr>
          <w:rFonts w:ascii="Times New Roman" w:eastAsiaTheme="minorEastAsia" w:hAnsi="Times New Roman" w:cs="Times New Roman"/>
        </w:rPr>
        <w:t xml:space="preserve"> question was positioned outside the primary stimulus (Ad-1) used for the model. This required treating the emotion response as a proxy for general affective state during the session, which, while statistically necessary for the MLR, introduces a minor structural compromise.</w:t>
      </w:r>
    </w:p>
    <w:p w14:paraId="6A5AB52A" w14:textId="77777777" w:rsidR="00CE2CFF" w:rsidRDefault="00CE2CFF" w:rsidP="00CE2CFF">
      <w:pPr>
        <w:spacing w:line="360" w:lineRule="auto"/>
        <w:jc w:val="both"/>
        <w:rPr>
          <w:rFonts w:ascii="Times New Roman" w:eastAsiaTheme="minorEastAsia" w:hAnsi="Times New Roman" w:cs="Times New Roman"/>
          <w:b/>
          <w:bCs/>
        </w:rPr>
      </w:pPr>
    </w:p>
    <w:p w14:paraId="34E4F3E2" w14:textId="77777777" w:rsidR="00CE2CFF" w:rsidRDefault="00CE2CFF" w:rsidP="00CE2CFF">
      <w:pPr>
        <w:spacing w:line="360" w:lineRule="auto"/>
        <w:jc w:val="both"/>
        <w:rPr>
          <w:rFonts w:ascii="Times New Roman" w:eastAsiaTheme="minorEastAsia" w:hAnsi="Times New Roman" w:cs="Times New Roman"/>
          <w:b/>
          <w:bCs/>
        </w:rPr>
      </w:pPr>
    </w:p>
    <w:p w14:paraId="4E6D06F5" w14:textId="77777777" w:rsidR="00CE2CFF" w:rsidRPr="009C68CD" w:rsidRDefault="00CE2CFF" w:rsidP="00CE2CFF">
      <w:pPr>
        <w:spacing w:line="360" w:lineRule="auto"/>
        <w:jc w:val="both"/>
        <w:rPr>
          <w:rFonts w:ascii="Times New Roman" w:eastAsiaTheme="minorEastAsia" w:hAnsi="Times New Roman" w:cs="Times New Roman"/>
          <w:b/>
          <w:bCs/>
        </w:rPr>
      </w:pPr>
      <w:r w:rsidRPr="009C68CD">
        <w:rPr>
          <w:rFonts w:ascii="Times New Roman" w:eastAsiaTheme="minorEastAsia" w:hAnsi="Times New Roman" w:cs="Times New Roman"/>
          <w:b/>
          <w:bCs/>
        </w:rPr>
        <w:lastRenderedPageBreak/>
        <w:t>5.</w:t>
      </w:r>
      <w:r>
        <w:rPr>
          <w:rFonts w:ascii="Times New Roman" w:eastAsiaTheme="minorEastAsia" w:hAnsi="Times New Roman" w:cs="Times New Roman"/>
          <w:b/>
          <w:bCs/>
        </w:rPr>
        <w:t>4</w:t>
      </w:r>
      <w:r w:rsidRPr="009C68CD">
        <w:rPr>
          <w:rFonts w:ascii="Times New Roman" w:eastAsiaTheme="minorEastAsia" w:hAnsi="Times New Roman" w:cs="Times New Roman"/>
          <w:b/>
          <w:bCs/>
        </w:rPr>
        <w:t xml:space="preserve"> Conclusion and Future Research</w:t>
      </w:r>
    </w:p>
    <w:p w14:paraId="47B0C762"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This research successfully met its aim, establishing a clear hierarchy of influence among concurrent advertising elements on student Purchase Intention. The findings definitively state that the Visual Aesthetic (Color) is the most critical element, followed closely by Cognitive Ease (Simplicity), with Affective Response (Emotion) providing a measurable, yet weaker, persuasive effect.</w:t>
      </w:r>
    </w:p>
    <w:p w14:paraId="63DDE765"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The central conclusion for marketers is that design purity dictates success: if the visual elements (color and simplicity) are not optimized first, the potential persuasive power of the emotional content is largely wasted.</w:t>
      </w:r>
    </w:p>
    <w:p w14:paraId="53030401" w14:textId="77777777" w:rsidR="00CE2CFF" w:rsidRPr="009C68CD" w:rsidRDefault="00CE2CFF" w:rsidP="00CE2CFF">
      <w:p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rPr>
        <w:t>Based on these limitations and conclusions, the following avenues for future research are recommended:</w:t>
      </w:r>
    </w:p>
    <w:p w14:paraId="35BD6CEF" w14:textId="77777777" w:rsidR="00CE2CFF" w:rsidRPr="009C68CD" w:rsidRDefault="00CE2CFF" w:rsidP="00CE2CFF">
      <w:pPr>
        <w:numPr>
          <w:ilvl w:val="0"/>
          <w:numId w:val="2"/>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Longitudinal Design:</w:t>
      </w:r>
      <w:r w:rsidRPr="009C68CD">
        <w:rPr>
          <w:rFonts w:ascii="Times New Roman" w:eastAsiaTheme="minorEastAsia" w:hAnsi="Times New Roman" w:cs="Times New Roman"/>
        </w:rPr>
        <w:t xml:space="preserve"> Future studies should employ a longitudinal design to track the stability of these perceptual drivers over time and repeated ad exposures.</w:t>
      </w:r>
    </w:p>
    <w:p w14:paraId="3F08ED1C" w14:textId="77777777" w:rsidR="00CE2CFF" w:rsidRPr="009C68CD" w:rsidRDefault="00CE2CFF" w:rsidP="00CE2CFF">
      <w:pPr>
        <w:numPr>
          <w:ilvl w:val="0"/>
          <w:numId w:val="2"/>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Diverse and Larger Samples:</w:t>
      </w:r>
      <w:r w:rsidRPr="009C68CD">
        <w:rPr>
          <w:rFonts w:ascii="Times New Roman" w:eastAsiaTheme="minorEastAsia" w:hAnsi="Times New Roman" w:cs="Times New Roman"/>
        </w:rPr>
        <w:t xml:space="preserve"> Replication of this MLR model with a larger and more geographically and demographically diverse consumer sample would enhance the generalizability of the findings.</w:t>
      </w:r>
    </w:p>
    <w:p w14:paraId="547D0E4F" w14:textId="77777777" w:rsidR="00CE2CFF" w:rsidRPr="009C68CD" w:rsidRDefault="00CE2CFF" w:rsidP="00CE2CFF">
      <w:pPr>
        <w:numPr>
          <w:ilvl w:val="0"/>
          <w:numId w:val="2"/>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Behavioral Measures:</w:t>
      </w:r>
      <w:r w:rsidRPr="009C68CD">
        <w:rPr>
          <w:rFonts w:ascii="Times New Roman" w:eastAsiaTheme="minorEastAsia" w:hAnsi="Times New Roman" w:cs="Times New Roman"/>
        </w:rPr>
        <w:t xml:space="preserve"> Future research should integrate behavioral measures (e.g., actual click-through rates, add-to-cart metrics) rather than solely relying on self-reported intent to strengthen the findings' external validity.</w:t>
      </w:r>
    </w:p>
    <w:p w14:paraId="5C9ABCF2" w14:textId="77777777" w:rsidR="00CE2CFF" w:rsidRPr="009C68CD" w:rsidRDefault="00CE2CFF" w:rsidP="00CE2CFF">
      <w:pPr>
        <w:numPr>
          <w:ilvl w:val="0"/>
          <w:numId w:val="2"/>
        </w:numPr>
        <w:spacing w:line="360" w:lineRule="auto"/>
        <w:jc w:val="both"/>
        <w:rPr>
          <w:rFonts w:ascii="Times New Roman" w:eastAsiaTheme="minorEastAsia" w:hAnsi="Times New Roman" w:cs="Times New Roman"/>
        </w:rPr>
      </w:pPr>
      <w:r w:rsidRPr="009C68CD">
        <w:rPr>
          <w:rFonts w:ascii="Times New Roman" w:eastAsiaTheme="minorEastAsia" w:hAnsi="Times New Roman" w:cs="Times New Roman"/>
          <w:b/>
          <w:bCs/>
        </w:rPr>
        <w:t>Interaction Effects:</w:t>
      </w:r>
      <w:r w:rsidRPr="009C68CD">
        <w:rPr>
          <w:rFonts w:ascii="Times New Roman" w:eastAsiaTheme="minorEastAsia" w:hAnsi="Times New Roman" w:cs="Times New Roman"/>
        </w:rPr>
        <w:t xml:space="preserve"> Further MLR models should be run to specifically test for interaction effects (e.g., does the effectiveness of Simplicity significantly increase </w:t>
      </w:r>
      <w:r w:rsidRPr="009C68CD">
        <w:rPr>
          <w:rFonts w:ascii="Times New Roman" w:eastAsiaTheme="minorEastAsia" w:hAnsi="Times New Roman" w:cs="Times New Roman"/>
          <w:i/>
          <w:iCs/>
        </w:rPr>
        <w:t>only</w:t>
      </w:r>
      <w:r w:rsidRPr="009C68CD">
        <w:rPr>
          <w:rFonts w:ascii="Times New Roman" w:eastAsiaTheme="minorEastAsia" w:hAnsi="Times New Roman" w:cs="Times New Roman"/>
        </w:rPr>
        <w:t xml:space="preserve"> when Color Influence is rated highly?)</w:t>
      </w:r>
    </w:p>
    <w:p w14:paraId="6138BE85" w14:textId="77777777" w:rsidR="00CE2CFF" w:rsidRPr="00CE2CFF" w:rsidRDefault="00CE2CFF" w:rsidP="00CE2CFF"/>
    <w:sectPr w:rsidR="00CE2CFF" w:rsidRPr="00CE2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04CA2"/>
    <w:multiLevelType w:val="multilevel"/>
    <w:tmpl w:val="44BE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E179EF"/>
    <w:multiLevelType w:val="multilevel"/>
    <w:tmpl w:val="371C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92588">
    <w:abstractNumId w:val="1"/>
  </w:num>
  <w:num w:numId="2" w16cid:durableId="60164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CFF"/>
    <w:rsid w:val="00417785"/>
    <w:rsid w:val="00CE2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BA4A"/>
  <w15:chartTrackingRefBased/>
  <w15:docId w15:val="{4644DF80-CB07-4A0D-B89A-C78B9D27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CFF"/>
  </w:style>
  <w:style w:type="paragraph" w:styleId="Heading1">
    <w:name w:val="heading 1"/>
    <w:basedOn w:val="Normal"/>
    <w:next w:val="Normal"/>
    <w:link w:val="Heading1Char"/>
    <w:uiPriority w:val="9"/>
    <w:qFormat/>
    <w:rsid w:val="00CE2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CFF"/>
    <w:rPr>
      <w:rFonts w:eastAsiaTheme="majorEastAsia" w:cstheme="majorBidi"/>
      <w:color w:val="272727" w:themeColor="text1" w:themeTint="D8"/>
    </w:rPr>
  </w:style>
  <w:style w:type="paragraph" w:styleId="Title">
    <w:name w:val="Title"/>
    <w:basedOn w:val="Normal"/>
    <w:next w:val="Normal"/>
    <w:link w:val="TitleChar"/>
    <w:uiPriority w:val="10"/>
    <w:qFormat/>
    <w:rsid w:val="00CE2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CFF"/>
    <w:pPr>
      <w:spacing w:before="160"/>
      <w:jc w:val="center"/>
    </w:pPr>
    <w:rPr>
      <w:i/>
      <w:iCs/>
      <w:color w:val="404040" w:themeColor="text1" w:themeTint="BF"/>
    </w:rPr>
  </w:style>
  <w:style w:type="character" w:customStyle="1" w:styleId="QuoteChar">
    <w:name w:val="Quote Char"/>
    <w:basedOn w:val="DefaultParagraphFont"/>
    <w:link w:val="Quote"/>
    <w:uiPriority w:val="29"/>
    <w:rsid w:val="00CE2CFF"/>
    <w:rPr>
      <w:i/>
      <w:iCs/>
      <w:color w:val="404040" w:themeColor="text1" w:themeTint="BF"/>
    </w:rPr>
  </w:style>
  <w:style w:type="paragraph" w:styleId="ListParagraph">
    <w:name w:val="List Paragraph"/>
    <w:basedOn w:val="Normal"/>
    <w:uiPriority w:val="34"/>
    <w:qFormat/>
    <w:rsid w:val="00CE2CFF"/>
    <w:pPr>
      <w:ind w:left="720"/>
      <w:contextualSpacing/>
    </w:pPr>
  </w:style>
  <w:style w:type="character" w:styleId="IntenseEmphasis">
    <w:name w:val="Intense Emphasis"/>
    <w:basedOn w:val="DefaultParagraphFont"/>
    <w:uiPriority w:val="21"/>
    <w:qFormat/>
    <w:rsid w:val="00CE2CFF"/>
    <w:rPr>
      <w:i/>
      <w:iCs/>
      <w:color w:val="0F4761" w:themeColor="accent1" w:themeShade="BF"/>
    </w:rPr>
  </w:style>
  <w:style w:type="paragraph" w:styleId="IntenseQuote">
    <w:name w:val="Intense Quote"/>
    <w:basedOn w:val="Normal"/>
    <w:next w:val="Normal"/>
    <w:link w:val="IntenseQuoteChar"/>
    <w:uiPriority w:val="30"/>
    <w:qFormat/>
    <w:rsid w:val="00CE2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CFF"/>
    <w:rPr>
      <w:i/>
      <w:iCs/>
      <w:color w:val="0F4761" w:themeColor="accent1" w:themeShade="BF"/>
    </w:rPr>
  </w:style>
  <w:style w:type="character" w:styleId="IntenseReference">
    <w:name w:val="Intense Reference"/>
    <w:basedOn w:val="DefaultParagraphFont"/>
    <w:uiPriority w:val="32"/>
    <w:qFormat/>
    <w:rsid w:val="00CE2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2284</Words>
  <Characters>13024</Characters>
  <Application>Microsoft Office Word</Application>
  <DocSecurity>0</DocSecurity>
  <Lines>108</Lines>
  <Paragraphs>30</Paragraphs>
  <ScaleCrop>false</ScaleCrop>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Nayeem Hasan</dc:creator>
  <cp:keywords/>
  <dc:description/>
  <cp:lastModifiedBy>Nayeem Hasan</cp:lastModifiedBy>
  <cp:revision>1</cp:revision>
  <dcterms:created xsi:type="dcterms:W3CDTF">2025-10-22T16:18:00Z</dcterms:created>
  <dcterms:modified xsi:type="dcterms:W3CDTF">2025-10-22T16:18:00Z</dcterms:modified>
</cp:coreProperties>
</file>