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80"/>
        <w:jc w:val="center"/>
      </w:pPr>
      <w:r>
        <w:rPr>
          <w:rFonts w:ascii="Times New Roman" w:hAnsi="Times New Roman"/>
          <w:b/>
          <w:color w:val="003366"/>
          <w:sz w:val="36"/>
        </w:rPr>
        <w:t>Deciphering Non-linear and Dynamic Valuation of Hotel Attributes: An Explainable Machine Learning (XAI) Framework for Online Travel Agencies</w:t>
      </w:r>
    </w:p>
    <w:p>
      <w:r>
        <w:rPr>
          <w:b/>
        </w:rPr>
        <w:t>Target Journal:</w:t>
      </w:r>
      <w:r>
        <w:t xml:space="preserve"> </w:t>
      </w:r>
      <w:r>
        <w:rPr>
          <w:i/>
        </w:rPr>
        <w:t>Tourism Management</w:t>
      </w:r>
      <w:r>
        <w:t xml:space="preserve"> / </w:t>
      </w:r>
      <w:r>
        <w:rPr>
          <w:i/>
        </w:rPr>
        <w:t>International Journal of Hospitality Management</w:t>
      </w:r>
      <w:r>
        <w:t xml:space="preserve"> / </w:t>
      </w:r>
      <w:r>
        <w:rPr>
          <w:i/>
        </w:rPr>
        <w:t>Expert Systems with Applications</w:t>
      </w:r>
    </w:p>
    <w:p>
      <w:r>
        <w:rPr>
          <w:b/>
        </w:rPr>
        <w:t>Article Type:</w:t>
      </w:r>
      <w:r>
        <w:t xml:space="preserve"> Original Research Article</w:t>
      </w:r>
    </w:p>
    <w:p>
      <w:r>
        <w:rPr>
          <w:b/>
        </w:rPr>
        <w:t>Word Count:</w:t>
      </w:r>
      <w:r>
        <w:t xml:space="preserve"> ~8,500 words</w:t>
      </w:r>
    </w:p>
    <w:p>
      <w:pPr>
        <w:keepNext/>
        <w:spacing w:before="320" w:after="120"/>
      </w:pPr>
      <w:r>
        <w:rPr>
          <w:rFonts w:ascii="Times New Roman" w:hAnsi="Times New Roman"/>
          <w:b/>
          <w:color w:val="003366"/>
          <w:sz w:val="28"/>
        </w:rPr>
        <w:t>Abstract</w:t>
      </w:r>
    </w:p>
    <w:p>
      <w:r>
        <w:t>Traditional hedonic pricing models in hospitality economics rely predominantly on linear or log-linear econometric regressions, which inherently constrain their ability to capture complex feature interactions, asymmetric price elasticities, and non-linear threshold effects. Conversely, modern machine learning algorithms offer superior predictive performance but have historically functioned as uninterpretable "black boxes," limiting their utility for economic theory and policy formulation.</w:t>
      </w:r>
    </w:p>
    <w:p>
      <w:r>
        <w:t xml:space="preserve">To bridge this methodological gap, this study develops an </w:t>
      </w:r>
      <w:r>
        <w:rPr>
          <w:b/>
        </w:rPr>
        <w:t>Explainable Machine Learning (XAI)</w:t>
      </w:r>
      <w:r>
        <w:t xml:space="preserve"> framework using </w:t>
      </w:r>
      <w:r>
        <w:rPr>
          <w:b/>
        </w:rPr>
        <w:t>Tree-SHAP (Shapley Additive exPlanations)</w:t>
      </w:r>
      <w:r>
        <w:t xml:space="preserve"> grounded in game theory to unpack the implicit attribute valuations of hotel accommodations. Using a large-scale panel dataset of </w:t>
      </w:r>
      <w:r>
        <w:rPr>
          <w:b/>
        </w:rPr>
        <w:t>4,426 verified hotel observations</w:t>
      </w:r>
      <w:r>
        <w:t xml:space="preserve"> collected across </w:t>
      </w:r>
      <w:r>
        <w:rPr>
          <w:b/>
        </w:rPr>
        <w:t>34 global destinations</w:t>
      </w:r>
      <w:r>
        <w:t xml:space="preserve"> spanning four distinct market typologies (</w:t>
      </w:r>
      <w:r>
        <w:rPr>
          <w:i/>
        </w:rPr>
        <w:t>Metropolitan Hubs, Luxury/Resort Markets, Regional Leisure Destinations, and Emerging Tourism Hubs</w:t>
      </w:r>
      <w:r>
        <w:t>) and three sequential booking lead-time horizons (30, 60, and 90 days), we systematically benchmark parametric econometric models against non-linear ensemble learners.</w:t>
      </w:r>
    </w:p>
    <w:p>
      <w:r>
        <w:t>Empirical results from rigorous 5-fold cross-validation reveal that tree-based ensemble architectures (</w:t>
      </w:r>
      <w:r>
        <w:rPr>
          <w:b/>
        </w:rPr>
        <w:t>Random Forest $R^2 = 0.8807$, LightGBM $R^2 = 0.8799$</w:t>
      </w:r>
      <w:r>
        <w:t>) substantially outperform the classical linear Hedonic OLS baseline ($R^2 = 0.7714$), reducing Mean Absolute Percentage Error (MAPE) from $36.37\%$ to $23.74\%$. Tree-SHAP attribution demonstrates that online reputation signals (</w:t>
      </w:r>
      <w:r>
        <w:rPr>
          <w:rFonts w:ascii="Consolas" w:hAnsi="Consolas"/>
          <w:color w:val="882222"/>
          <w:sz w:val="21"/>
        </w:rPr>
        <w:t>review_count</w:t>
      </w:r>
      <w:r>
        <w:t xml:space="preserve"> and </w:t>
      </w:r>
      <w:r>
        <w:rPr>
          <w:rFonts w:ascii="Consolas" w:hAnsi="Consolas"/>
          <w:color w:val="882222"/>
          <w:sz w:val="21"/>
        </w:rPr>
        <w:t>review_score_overall</w:t>
      </w:r>
      <w:r>
        <w:t xml:space="preserve">) exert higher marginal pricing power than conventional star-rating classifications, validating Signaling Theory in digital platforms characterized by information asymmetry. Furthermore, dynamic panel analysis reveals a steep non-linear </w:t>
      </w:r>
      <w:r>
        <w:rPr>
          <w:b/>
        </w:rPr>
        <w:t>$+37.9\%$ dynamic price surge</w:t>
      </w:r>
      <w:r>
        <w:t xml:space="preserve"> as lead time narrows from 90 to 30 days, providing empirical evidence of algorithmic revenue management. Finally, cross-market typology comparisons establish that amenity shadow prices are context-dependent: basic bundling (e.g., free breakfast at $50.6\%$) dominates emerging markets, whereas metropolitan hubs command a $+293\%$ location premium driven by spatial rent density. We conclude with actionable policy recommendations for municipal transit planning, smart tourism bed taxes, and hotel revenue management.</w:t>
      </w:r>
    </w:p>
    <w:p>
      <w:r>
        <w:rPr>
          <w:b/>
        </w:rPr>
        <w:t>Keywords:</w:t>
      </w:r>
      <w:r>
        <w:t xml:space="preserve"> Hedonic Pricing; Machine Learning; Explainable AI (XAI); Tree-SHAP; Online Travel Agencies (OTAs); Dynamic Revenue Management; Signaling Theory.</w:t>
      </w:r>
    </w:p>
    <w:p>
      <w:pPr>
        <w:keepNext/>
        <w:spacing w:before="320" w:after="120"/>
      </w:pPr>
      <w:r>
        <w:rPr>
          <w:rFonts w:ascii="Times New Roman" w:hAnsi="Times New Roman"/>
          <w:b/>
          <w:color w:val="003366"/>
          <w:sz w:val="28"/>
        </w:rPr>
        <w:t>1. Introduction</w:t>
      </w:r>
    </w:p>
    <w:p>
      <w:r>
        <w:t>The rapid digitalization of the global hospitality ecosystem, spearheaded by Online Travel Agencies (OTAs) such as Booking.com, Expedia, and Agoda, has transformed how accommodation prices are determined, displayed, and consumed (Viglia et al., 2016; Sun et al., 2022). In modern digital marketplaces, hotel room rates are no longer static seasonal quotes; rather, they function as high-frequency dynamic prices generated by algorithmic revenue management systems that react continuously to consumer search patterns, remaining inventory, competitor positioning, and multidimensional reputation signals (Li et al., 2019).</w:t>
      </w:r>
    </w:p>
    <w:p>
      <w:r>
        <w:t xml:space="preserve">For over half a century, the empirical valuation of lodging attributes has been anchored in Rosen's (1974) and Lancaster's (1966) </w:t>
      </w:r>
      <w:r>
        <w:rPr>
          <w:b/>
        </w:rPr>
        <w:t>Hedonic Pricing Theory</w:t>
      </w:r>
      <w:r>
        <w:t>. Under this paradigm, a heterogeneous commodity—such as a hotel room—is decomposed into a bundle of utility-bearing constituent attributes (e.g., star tier, spatial proximity to city centers, swimming pools, high-speed WiFi, breakfast bundling), where the market price reflects the sum of the implicit shadow prices of these characteristics (Espinet et al., 2003; Thrane, 2007).</w:t>
      </w:r>
    </w:p>
    <w:p>
      <w:r>
        <w:t xml:space="preserve">Despite its widespread adoption, classical hedonic pricing literature suffers from a fundamental </w:t>
      </w:r>
      <w:r>
        <w:rPr>
          <w:b/>
        </w:rPr>
        <w:t>methodological dilemma</w:t>
      </w:r>
      <w:r>
        <w:t>:</w:t>
      </w:r>
    </w:p>
    <w:p>
      <w:r>
        <w:t xml:space="preserve">1. </w:t>
      </w:r>
      <w:r>
        <w:rPr>
          <w:b/>
        </w:rPr>
        <w:t>Parametric Econometric Models (OLS, Box-Cox, Spatial Error Models):</w:t>
      </w:r>
      <w:r>
        <w:t xml:space="preserve"> While offering transparent coefficient interpretability, classical linear and log-linear regressions impose rigid functional forms. They assume monotonic, symmetric returns to quality improvements and fail to capture multi-way feature interactions, threshold "tipping points," and extreme multicollinearity among collinear amenities (Wang &amp; Nicolau, 2017).</w:t>
      </w:r>
    </w:p>
    <w:p>
      <w:r>
        <w:t xml:space="preserve">2. </w:t>
      </w:r>
      <w:r>
        <w:rPr>
          <w:b/>
        </w:rPr>
        <w:t>Machine Learning Ensembles (XGBoost, Random Forest, Neural Networks):</w:t>
      </w:r>
      <w:r>
        <w:t xml:space="preserve"> While machine learning algorithms excel at capturing high-order non-linearities and optimizing predictive accuracy ($R^2 &gt; 0.85$), they have historically operated as opaque "black boxes" that obscure the marginal economic willingness-to-pay (WTP) necessary for economic theory, managerial strategy, and municipal policy design (Sanchez-Perez et al., 2020; Giacalone et al., 2023).</w:t>
      </w:r>
    </w:p>
    <w:p>
      <w:r>
        <w:t>Furthermore, empirical literature in hospitality analytics remains constrained by two pervasive empirical shortcomings:</w:t>
      </w:r>
    </w:p>
    <w:p>
      <w:r>
        <w:rPr>
          <w:i/>
        </w:rPr>
        <w:t xml:space="preserve"> </w:t>
      </w:r>
      <w:r>
        <w:rPr>
          <w:i/>
        </w:rPr>
        <w:t>Single-City Bias:</w:t>
      </w:r>
      <w:r>
        <w:t>* Over $80\%$ of published studies analyze an isolated metropolitan area (e.g., only London, New York, or Madrid), ignoring whether attribute valuations remain robust across differing tourism market structures (e.g., resort destinations vs. emerging markets).</w:t>
      </w:r>
    </w:p>
    <w:p>
      <w:r>
        <w:rPr>
          <w:i/>
        </w:rPr>
        <w:t xml:space="preserve"> </w:t>
      </w:r>
      <w:r>
        <w:rPr>
          <w:i/>
        </w:rPr>
        <w:t>Static Snapshot Bias:</w:t>
      </w:r>
      <w:r>
        <w:t>* The majority of existing studies scrape data at a single static point in time, failing to capture dynamic lead-time pacing and algorithmic yield adjustments as check-in dates approach.</w:t>
      </w:r>
    </w:p>
    <w:p>
      <w:r>
        <w:t xml:space="preserve">To address these foundational gaps, this paper establishes a unified </w:t>
      </w:r>
      <w:r>
        <w:rPr>
          <w:b/>
        </w:rPr>
        <w:t>Explainable Artificial Intelligence (XAI)</w:t>
      </w:r>
      <w:r>
        <w:t xml:space="preserve"> framework for hospitality economics. Utilizing </w:t>
      </w:r>
      <w:r>
        <w:rPr>
          <w:b/>
        </w:rPr>
        <w:t>Tree-SHAP (Shapley Additive exPlanations)</w:t>
      </w:r>
      <w:r>
        <w:t xml:space="preserve"> grounded in cooperative game theory (Lundberg &amp; Lee, 2017), we reconcile predictive power with rigorous econometric interpretability.</w:t>
      </w:r>
    </w:p>
    <w:p>
      <w:r>
        <w:t>Specifically, this study answers four central research questions:</w:t>
      </w:r>
    </w:p>
    <w:p>
      <w:r>
        <w:rPr>
          <w:i/>
        </w:rPr>
        <w:t xml:space="preserve"> </w:t>
      </w:r>
      <w:r>
        <w:rPr>
          <w:i/>
        </w:rPr>
        <w:t>RQ1:</w:t>
      </w:r>
      <w:r>
        <w:t>* To what extent do non-linear machine learning ensembles outperform classical linear hedonic specifications in predicting room rates across diverse global markets?</w:t>
      </w:r>
    </w:p>
    <w:p>
      <w:r>
        <w:rPr>
          <w:i/>
        </w:rPr>
        <w:t xml:space="preserve"> </w:t>
      </w:r>
      <w:r>
        <w:rPr>
          <w:i/>
        </w:rPr>
        <w:t>RQ2:</w:t>
      </w:r>
      <w:r>
        <w:t>* When decomposed game-theoretically, what are the primary structural, reputational, spatial, and dynamic drivers of hotel pricing power on digital OTAs?</w:t>
      </w:r>
    </w:p>
    <w:p>
      <w:r>
        <w:rPr>
          <w:i/>
        </w:rPr>
        <w:t xml:space="preserve"> </w:t>
      </w:r>
      <w:r>
        <w:rPr>
          <w:i/>
        </w:rPr>
        <w:t>RQ3:</w:t>
      </w:r>
      <w:r>
        <w:rPr>
          <w:i/>
        </w:rPr>
        <w:t xml:space="preserve"> How do amenity shadow prices and bundling strategies vary across distinct tourism market typologies (</w:t>
      </w:r>
      <w:r>
        <w:t>Metropolitan Hubs, Luxury/Resort Markets, Regional Leisure Destinations, and Emerging Tourism Markets*)?</w:t>
      </w:r>
    </w:p>
    <w:p>
      <w:r>
        <w:rPr>
          <w:i/>
        </w:rPr>
        <w:t xml:space="preserve"> </w:t>
      </w:r>
      <w:r>
        <w:rPr>
          <w:i/>
        </w:rPr>
        <w:t>RQ4:</w:t>
      </w:r>
      <w:r>
        <w:t>* How does algorithmic dynamic pricing evolve across sequential booking horizons (30-day, 60-day, and 90-day lead times), and what are the implications for consumer welfare and municipal tourism policy?</w:t>
      </w:r>
    </w:p>
    <w:p>
      <w:r>
        <w:t>The remainder of this paper is structured as follows: Section 2 reviews theoretical foundations and develops research hypotheses. Section 3 details the data collection architecture, variable operationalization, and empirical modeling methodology. Section 4 presents empirical benchmark tournaments, SHAP explanations, and cross-market findings. Section 5 discusses theoretical and economic implications. Section 6 articulates actionable policy and managerial frameworks. Section 7 concludes with limitations and future research avenues.</w:t>
      </w:r>
    </w:p>
    <w:p>
      <w:pPr>
        <w:keepNext/>
        <w:spacing w:before="320" w:after="120"/>
      </w:pPr>
      <w:r>
        <w:rPr>
          <w:rFonts w:ascii="Times New Roman" w:hAnsi="Times New Roman"/>
          <w:b/>
          <w:color w:val="003366"/>
          <w:sz w:val="28"/>
        </w:rPr>
        <w:t>2. Literature Review &amp; Theoretical Framework</w:t>
      </w:r>
    </w:p>
    <w:p>
      <w:pPr>
        <w:keepNext/>
        <w:spacing w:before="240" w:after="80"/>
      </w:pPr>
      <w:r>
        <w:rPr>
          <w:rFonts w:ascii="Times New Roman" w:hAnsi="Times New Roman"/>
          <w:b/>
          <w:i/>
          <w:color w:val="222222"/>
          <w:sz w:val="25"/>
        </w:rPr>
        <w:t>2.1 Theoretical Foundations: Hedonic Valuation &amp; Lancaster's Consumer Theory</w:t>
      </w:r>
    </w:p>
    <w:p>
      <w:r>
        <w:t>Hedonic pricing theory posits that consumers derive utility not from a good itself, but from the specific characteristics embedded within that good (Lancaster, 1966; Rosen, 1974). In lodging markets, the observed equilibrium price $P_i$ of hotel property $i$ is formulated as a function of its vector of structural attributes $\mathbf{S}_i$, location and spatial characteristics $\mathbf{L}_i$, physical amenities $\mathbf{A}_i$, reputation signals $\mathbf{R}_i$, and dynamic booking terms $\mathbf{D}_i$:</w:t>
      </w:r>
    </w:p>
    <w:p>
      <w:r>
        <w:t>$$P_i = f(\mathbf{S}_i, \mathbf{L}_i, \mathbf{A}_i, \mathbf{R}_i, \mathbf{D}_i) + \varepsilon_i$$</w:t>
      </w:r>
    </w:p>
    <w:p>
      <w:r>
        <w:t>In classical econometrics, the marginal willingness-to-pay (WTP) for attribute $k$ is computed as the partial derivative $\frac{\partial P}{\partial x_k}$. However, in the presence of complex non-linearities and multi-attribute bundling (e.g., a luxury spa providing higher marginal utility when paired with a 5-star brand), classical linear models yield biased and unstable estimates (Chen &amp; Rothschild, 2010; Schamel, 2012).</w:t>
      </w:r>
    </w:p>
    <w:p>
      <w:pPr>
        <w:keepNext/>
        <w:spacing w:before="240" w:after="80"/>
      </w:pPr>
      <w:r>
        <w:rPr>
          <w:rFonts w:ascii="Times New Roman" w:hAnsi="Times New Roman"/>
          <w:b/>
          <w:i/>
          <w:color w:val="222222"/>
          <w:sz w:val="25"/>
        </w:rPr>
        <w:t>2.2 Signaling Theory and Reputation Capital in Digital Marketplaces</w:t>
      </w:r>
    </w:p>
    <w:p>
      <w:r>
        <w:t xml:space="preserve">In online booking environments, consumers face significant </w:t>
      </w:r>
      <w:r>
        <w:rPr>
          <w:b/>
        </w:rPr>
        <w:t>information asymmetry</w:t>
      </w:r>
      <w:r>
        <w:t xml:space="preserve"> because they cannot physically inspect hotel quality prior to purchase (Spence, 1973). Under Signaling Theory, verifiable third-party signals—such as official star classifications, aggregate consumer review ratings, and review volume—act as trust-building mechanisms that reduce perceived transaction risk (Viglia et al., 2016). Recent literature indicates that user-generated review metrics have increasingly surpassed official star ratings in dictating pricing power, as consumers perceive peer feedback as more authentic and real-time (Moro et al., 2023).</w:t>
      </w:r>
    </w:p>
    <w:p>
      <w:pPr>
        <w:keepNext/>
        <w:spacing w:before="240" w:after="80"/>
      </w:pPr>
      <w:r>
        <w:rPr>
          <w:rFonts w:ascii="Times New Roman" w:hAnsi="Times New Roman"/>
          <w:b/>
          <w:i/>
          <w:color w:val="222222"/>
          <w:sz w:val="25"/>
        </w:rPr>
        <w:t>2.3 Monocentric Spatial Rent Theory and Distance Decay</w:t>
      </w:r>
    </w:p>
    <w:p>
      <w:r>
        <w:t>Rooted in Alonso’s (1964) monocentric urban model, lodging properties situated near central business districts (CBDs), major transit hubs, or natural tourist attractions (e.g., beachfronts) command substantial spatial rent premiums. As distance from the focal tourism center increases, price decays along a continuous gradient ($\Delta P / \text{km}$) reflecting the travel costs and time disutility incurred by tourists (Espinet et al., 2003; Thrane, 2007).</w:t>
      </w:r>
    </w:p>
    <w:p>
      <w:pPr>
        <w:keepNext/>
        <w:spacing w:before="240" w:after="80"/>
      </w:pPr>
      <w:r>
        <w:rPr>
          <w:rFonts w:ascii="Times New Roman" w:hAnsi="Times New Roman"/>
          <w:b/>
          <w:i/>
          <w:color w:val="222222"/>
          <w:sz w:val="25"/>
        </w:rPr>
        <w:t>2.4 Research Hypotheses</w:t>
      </w:r>
    </w:p>
    <w:p>
      <w:r>
        <w:t>Based on the synthesized literature, we formulate four formal hypotheses:</w:t>
      </w:r>
    </w:p>
    <w:p>
      <w:r>
        <w:rPr>
          <w:i/>
        </w:rPr>
        <w:t xml:space="preserve"> </w:t>
      </w:r>
      <w:r>
        <w:rPr>
          <w:i/>
        </w:rPr>
        <w:t>$H_1$ (Methodological Superiority):</w:t>
      </w:r>
      <w:r>
        <w:rPr>
          <w:i/>
        </w:rPr>
        <w:t xml:space="preserve"> </w:t>
      </w:r>
      <w:r>
        <w:t>Non-linear tree ensemble algorithms (Random Forest, LightGBM, XGBoost) demonstrate statistically superior out-of-sample predictive accuracy and lower percentage error compared to classical linear hedonic OLS models.*</w:t>
      </w:r>
    </w:p>
    <w:p>
      <w:r>
        <w:rPr>
          <w:i/>
        </w:rPr>
        <w:t xml:space="preserve"> </w:t>
      </w:r>
      <w:r>
        <w:rPr>
          <w:i/>
        </w:rPr>
        <w:t>$H_2$ (Reputational Preeminence):</w:t>
      </w:r>
      <w:r>
        <w:rPr>
          <w:i/>
        </w:rPr>
        <w:t xml:space="preserve"> </w:t>
      </w:r>
      <w:r>
        <w:t>In digital OTA environments, verified consumer reputation signals (</w:t>
      </w:r>
      <w:r>
        <w:rPr>
          <w:rFonts w:ascii="Consolas" w:hAnsi="Consolas"/>
          <w:color w:val="882222"/>
          <w:sz w:val="21"/>
        </w:rPr>
        <w:t>review_count</w:t>
      </w:r>
      <w:r>
        <w:t xml:space="preserve"> and </w:t>
      </w:r>
      <w:r>
        <w:rPr>
          <w:rFonts w:ascii="Consolas" w:hAnsi="Consolas"/>
          <w:color w:val="882222"/>
          <w:sz w:val="21"/>
        </w:rPr>
        <w:t>review_score_overall</w:t>
      </w:r>
      <w:r>
        <w:t>) exhibit higher marginal pricing power than physical star classifications.*</w:t>
      </w:r>
    </w:p>
    <w:p>
      <w:r>
        <w:rPr>
          <w:i/>
        </w:rPr>
        <w:t xml:space="preserve"> </w:t>
      </w:r>
      <w:r>
        <w:rPr>
          <w:i/>
        </w:rPr>
        <w:t>$H_3$ (Dynamic Lead-Time Surge):</w:t>
      </w:r>
      <w:r>
        <w:rPr>
          <w:i/>
        </w:rPr>
        <w:t xml:space="preserve"> </w:t>
      </w:r>
      <w:r>
        <w:t>Hotel room rates display a statistically significant, non-linear price surge as the booking horizon narrows from 90 days to 30 days before check-in.*</w:t>
      </w:r>
    </w:p>
    <w:p>
      <w:r>
        <w:rPr>
          <w:i/>
        </w:rPr>
        <w:t xml:space="preserve"> </w:t>
      </w:r>
      <w:r>
        <w:rPr>
          <w:i/>
        </w:rPr>
        <w:t>$H_4$ (Typological Moderation):</w:t>
      </w:r>
      <w:r>
        <w:rPr>
          <w:i/>
        </w:rPr>
        <w:t xml:space="preserve"> </w:t>
      </w:r>
      <w:r>
        <w:t>The implicit shadow prices of physical amenities and bundling strategies are moderated by tourism market typologies, exhibiting higher bundling prevalence in emerging markets and higher land-rent premiums in metropolitan hubs.*</w:t>
      </w:r>
    </w:p>
    <w:p>
      <w:pPr>
        <w:keepNext/>
        <w:spacing w:before="320" w:after="120"/>
      </w:pPr>
      <w:r>
        <w:rPr>
          <w:rFonts w:ascii="Times New Roman" w:hAnsi="Times New Roman"/>
          <w:b/>
          <w:color w:val="003366"/>
          <w:sz w:val="28"/>
        </w:rPr>
        <w:t>3. Methodology &amp; Empirical Design</w:t>
      </w:r>
    </w:p>
    <w:p>
      <w:pPr>
        <w:keepNext/>
        <w:spacing w:before="240" w:after="80"/>
      </w:pPr>
      <w:r>
        <w:rPr>
          <w:rFonts w:ascii="Times New Roman" w:hAnsi="Times New Roman"/>
          <w:b/>
          <w:i/>
          <w:color w:val="222222"/>
          <w:sz w:val="25"/>
        </w:rPr>
        <w:t>3.1 Data Architecture &amp; Multi-Market Panel Collection</w:t>
      </w:r>
    </w:p>
    <w:p>
      <w:r>
        <w:t xml:space="preserve">To ensure robust empirical generalizability and eliminate single-city bias, data was harvested from Booking.com across </w:t>
      </w:r>
      <w:r>
        <w:rPr>
          <w:b/>
        </w:rPr>
        <w:t>34 major international tourism destinations</w:t>
      </w:r>
      <w:r>
        <w:t xml:space="preserve"> located in North America, Europe, the Middle East, East Asia, Southeast Asia, and South Asia.</w:t>
      </w:r>
    </w:p>
    <w:p>
      <w:r>
        <w:t>To capture dynamic revenue management and lead-time price adjustments, a panel collection architecture was executed across three standardized check-in windows:</w:t>
      </w:r>
    </w:p>
    <w:p>
      <w:r>
        <w:t xml:space="preserve">1. </w:t>
      </w:r>
      <w:r>
        <w:rPr>
          <w:b/>
        </w:rPr>
        <w:t>Short-Term Horizon (30-Day Lead Time):</w:t>
      </w:r>
      <w:r>
        <w:t xml:space="preserve"> Capturing short-lead business and spontaneous leisure demand.</w:t>
      </w:r>
    </w:p>
    <w:p>
      <w:r>
        <w:t xml:space="preserve">2. </w:t>
      </w:r>
      <w:r>
        <w:rPr>
          <w:b/>
        </w:rPr>
        <w:t>Mid-Term Horizon (60-Day Lead Time):</w:t>
      </w:r>
      <w:r>
        <w:t xml:space="preserve"> Standard advance holiday booking window.</w:t>
      </w:r>
    </w:p>
    <w:p>
      <w:r>
        <w:t xml:space="preserve">3. </w:t>
      </w:r>
      <w:r>
        <w:rPr>
          <w:b/>
        </w:rPr>
        <w:t>Long-Term Horizon (90-Day Lead Time):</w:t>
      </w:r>
      <w:r>
        <w:t xml:space="preserve"> Early-bird promotional baseline.</w:t>
      </w:r>
    </w:p>
    <w:p>
      <w:r>
        <w:t xml:space="preserve">The final dataset comprises </w:t>
      </w:r>
      <w:r>
        <w:rPr>
          <w:b/>
        </w:rPr>
        <w:t>$N = 4,426$ verified, non-duplicate property observations</w:t>
      </w:r>
      <w:r>
        <w:t xml:space="preserve"> across </w:t>
      </w:r>
      <w:r>
        <w:rPr>
          <w:b/>
        </w:rPr>
        <w:t>48 operationalized variables</w:t>
      </w:r>
      <w:r>
        <w: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EAEAEA"/>
            <w:tcMar>
              <w:top w:w="80" w:type="dxa"/>
              <w:bottom w:w="80" w:type="dxa"/>
              <w:left w:w="120" w:type="dxa"/>
              <w:right w:w="120" w:type="dxa"/>
            </w:tcMar>
          </w:tcPr>
          <w:p>
            <w:pPr>
              <w:spacing w:after="40" w:before="40"/>
            </w:pPr>
            <w:r>
              <w:rPr>
                <w:rFonts w:ascii="Times New Roman" w:hAnsi="Times New Roman"/>
                <w:b/>
                <w:sz w:val="20"/>
              </w:rPr>
              <w:t>▼</w:t>
            </w:r>
          </w:p>
        </w:tc>
        <w:tc>
          <w:tcPr>
            <w:tcW w:type="dxa" w:w="2340"/>
            <w:shd w:fill="EAEAEA"/>
            <w:tcMar>
              <w:top w:w="80" w:type="dxa"/>
              <w:bottom w:w="80" w:type="dxa"/>
              <w:left w:w="120" w:type="dxa"/>
              <w:right w:w="120" w:type="dxa"/>
            </w:tcMar>
          </w:tcPr>
          <w:p>
            <w:pPr>
              <w:spacing w:after="40" w:before="40"/>
            </w:pPr>
            <w:r>
              <w:rPr>
                <w:rFonts w:ascii="Times New Roman" w:hAnsi="Times New Roman"/>
                <w:b/>
                <w:sz w:val="20"/>
              </w:rPr>
              <w:t>▼</w:t>
            </w:r>
          </w:p>
        </w:tc>
        <w:tc>
          <w:tcPr>
            <w:tcW w:type="dxa" w:w="2340"/>
            <w:shd w:fill="EAEAEA"/>
            <w:tcMar>
              <w:top w:w="80" w:type="dxa"/>
              <w:bottom w:w="80" w:type="dxa"/>
              <w:left w:w="120" w:type="dxa"/>
              <w:right w:w="120" w:type="dxa"/>
            </w:tcMar>
          </w:tcPr>
          <w:p>
            <w:pPr>
              <w:spacing w:after="40" w:before="40"/>
            </w:pPr>
            <w:r>
              <w:rPr>
                <w:rFonts w:ascii="Times New Roman" w:hAnsi="Times New Roman"/>
                <w:b/>
                <w:sz w:val="20"/>
              </w:rPr>
              <w:t>▼</w:t>
            </w:r>
          </w:p>
        </w:tc>
        <w:tc>
          <w:tcPr>
            <w:tcW w:type="dxa" w:w="2340"/>
            <w:shd w:fill="EAEAEA"/>
            <w:tcMar>
              <w:top w:w="80" w:type="dxa"/>
              <w:bottom w:w="80" w:type="dxa"/>
              <w:left w:w="120" w:type="dxa"/>
              <w:right w:w="120" w:type="dxa"/>
            </w:tcMar>
          </w:tcPr>
          <w:p>
            <w:pPr>
              <w:spacing w:after="40" w:before="40"/>
            </w:pPr>
            <w:r>
              <w:rPr>
                <w:rFonts w:ascii="Times New Roman" w:hAnsi="Times New Roman"/>
                <w:b/>
                <w:sz w:val="20"/>
              </w:rPr>
              <w:t>▼</w:t>
            </w:r>
          </w:p>
        </w:tc>
      </w:tr>
      <w:tr>
        <w:tc>
          <w:tcPr>
            <w:tcW w:type="dxa" w:w="2340"/>
            <w:shd w:fill="F9F9F9"/>
            <w:tcMar>
              <w:top w:w="80" w:type="dxa"/>
              <w:bottom w:w="80" w:type="dxa"/>
              <w:left w:w="120" w:type="dxa"/>
              <w:right w:w="120" w:type="dxa"/>
            </w:tcMar>
          </w:tcPr>
          <w:p>
            <w:pPr>
              <w:spacing w:after="40" w:before="40"/>
            </w:pPr>
            <w:r>
              <w:rPr>
                <w:rFonts w:ascii="Times New Roman" w:hAnsi="Times New Roman"/>
                <w:sz w:val="20"/>
              </w:rPr>
              <w:t>[Metropolitan Hubs]</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[Luxury &amp; Resorts]</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[Regional Leisure Hubs]</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[Emerging Tourism]</w:t>
            </w:r>
          </w:p>
        </w:tc>
      </w:tr>
      <w:tr>
        <w:tc>
          <w:tcPr>
            <w:tcW w:type="dxa" w:w="2340"/>
            <w:tcMar>
              <w:top w:w="80" w:type="dxa"/>
              <w:bottom w:w="80" w:type="dxa"/>
              <w:left w:w="120" w:type="dxa"/>
              <w:right w:w="120" w:type="dxa"/>
            </w:tcMar>
          </w:tcPr>
          <w:p>
            <w:pPr>
              <w:spacing w:after="40" w:before="40"/>
            </w:pPr>
            <w:r>
              <w:rPr>
                <w:rFonts w:ascii="Times New Roman" w:hAnsi="Times New Roman"/>
                <w:sz w:val="20"/>
              </w:rPr>
              <w:t>• London, Paris, Tokyo,</w:t>
            </w:r>
          </w:p>
        </w:tc>
        <w:tc>
          <w:tcPr>
            <w:tcW w:type="dxa" w:w="2340"/>
            <w:tcMar>
              <w:top w:w="80" w:type="dxa"/>
              <w:bottom w:w="80" w:type="dxa"/>
              <w:left w:w="120" w:type="dxa"/>
              <w:right w:w="120" w:type="dxa"/>
            </w:tcMar>
          </w:tcPr>
          <w:p>
            <w:pPr>
              <w:spacing w:after="40" w:before="40"/>
            </w:pPr>
            <w:r>
              <w:rPr>
                <w:rFonts w:ascii="Times New Roman" w:hAnsi="Times New Roman"/>
                <w:sz w:val="20"/>
              </w:rPr>
              <w:t>• Dubai, Abu Dhabi, Rome,</w:t>
            </w:r>
          </w:p>
        </w:tc>
        <w:tc>
          <w:tcPr>
            <w:tcW w:type="dxa" w:w="2340"/>
            <w:tcMar>
              <w:top w:w="80" w:type="dxa"/>
              <w:bottom w:w="80" w:type="dxa"/>
              <w:left w:w="120" w:type="dxa"/>
              <w:right w:w="120" w:type="dxa"/>
            </w:tcMar>
          </w:tcPr>
          <w:p>
            <w:pPr>
              <w:spacing w:after="40" w:before="40"/>
            </w:pPr>
            <w:r>
              <w:rPr>
                <w:rFonts w:ascii="Times New Roman" w:hAnsi="Times New Roman"/>
                <w:sz w:val="20"/>
              </w:rPr>
              <w:t>• Bangkok, Phuket, Bali,</w:t>
            </w:r>
          </w:p>
        </w:tc>
        <w:tc>
          <w:tcPr>
            <w:tcW w:type="dxa" w:w="2340"/>
            <w:tcMar>
              <w:top w:w="80" w:type="dxa"/>
              <w:bottom w:w="80" w:type="dxa"/>
              <w:left w:w="120" w:type="dxa"/>
              <w:right w:w="120" w:type="dxa"/>
            </w:tcMar>
          </w:tcPr>
          <w:p>
            <w:pPr>
              <w:spacing w:after="40" w:before="40"/>
            </w:pPr>
            <w:r>
              <w:rPr>
                <w:rFonts w:ascii="Times New Roman" w:hAnsi="Times New Roman"/>
                <w:sz w:val="20"/>
              </w:rPr>
              <w:t>• Cox's Bazar, Dhaka,</w:t>
            </w:r>
          </w:p>
        </w:tc>
      </w:tr>
      <w:tr>
        <w:tc>
          <w:tcPr>
            <w:tcW w:type="dxa" w:w="2340"/>
            <w:shd w:fill="F9F9F9"/>
            <w:tcMar>
              <w:top w:w="80" w:type="dxa"/>
              <w:bottom w:w="80" w:type="dxa"/>
              <w:left w:w="120" w:type="dxa"/>
              <w:right w:w="120" w:type="dxa"/>
            </w:tcMar>
          </w:tcPr>
          <w:p>
            <w:pPr>
              <w:spacing w:after="40" w:before="40"/>
            </w:pPr>
            <w:r>
              <w:rPr>
                <w:rFonts w:ascii="Times New Roman" w:hAnsi="Times New Roman"/>
                <w:sz w:val="20"/>
              </w:rPr>
              <w:t>New York, Singapore,</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Barcelona, Venice, Madrid,</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Kuala Lumpur, Prague,</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Chittagong, Sylhet,</w:t>
            </w:r>
          </w:p>
        </w:tc>
      </w:tr>
      <w:tr>
        <w:tc>
          <w:tcPr>
            <w:tcW w:type="dxa" w:w="2340"/>
            <w:tcMar>
              <w:top w:w="80" w:type="dxa"/>
              <w:bottom w:w="80" w:type="dxa"/>
              <w:left w:w="120" w:type="dxa"/>
              <w:right w:w="120" w:type="dxa"/>
            </w:tcMar>
          </w:tcPr>
          <w:p>
            <w:pPr>
              <w:spacing w:after="40" w:before="40"/>
            </w:pPr>
            <w:r>
              <w:rPr>
                <w:rFonts w:ascii="Times New Roman" w:hAnsi="Times New Roman"/>
                <w:sz w:val="20"/>
              </w:rPr>
              <w:t>Berlin, Amsterdam,</w:t>
            </w:r>
          </w:p>
        </w:tc>
        <w:tc>
          <w:tcPr>
            <w:tcW w:type="dxa" w:w="2340"/>
            <w:tcMar>
              <w:top w:w="80" w:type="dxa"/>
              <w:bottom w:w="80" w:type="dxa"/>
              <w:left w:w="120" w:type="dxa"/>
              <w:right w:w="120" w:type="dxa"/>
            </w:tcMar>
          </w:tcPr>
          <w:p>
            <w:pPr>
              <w:spacing w:after="40" w:before="40"/>
            </w:pPr>
            <w:r>
              <w:rPr>
                <w:rFonts w:ascii="Times New Roman" w:hAnsi="Times New Roman"/>
                <w:sz w:val="20"/>
              </w:rPr>
              <w:t>Milan, Vienna, Miami,</w:t>
            </w:r>
          </w:p>
        </w:tc>
        <w:tc>
          <w:tcPr>
            <w:tcW w:type="dxa" w:w="2340"/>
            <w:tcMar>
              <w:top w:w="80" w:type="dxa"/>
              <w:bottom w:w="80" w:type="dxa"/>
              <w:left w:w="120" w:type="dxa"/>
              <w:right w:w="120" w:type="dxa"/>
            </w:tcMar>
          </w:tcPr>
          <w:p>
            <w:pPr>
              <w:spacing w:after="40" w:before="40"/>
            </w:pPr>
            <w:r>
              <w:rPr>
                <w:rFonts w:ascii="Times New Roman" w:hAnsi="Times New Roman"/>
                <w:sz w:val="20"/>
              </w:rPr>
              <w:t>Budapest, Istanbul</w:t>
            </w:r>
          </w:p>
        </w:tc>
        <w:tc>
          <w:tcPr>
            <w:tcW w:type="dxa" w:w="2340"/>
            <w:tcMar>
              <w:top w:w="80" w:type="dxa"/>
              <w:bottom w:w="80" w:type="dxa"/>
              <w:left w:w="120" w:type="dxa"/>
              <w:right w:w="120" w:type="dxa"/>
            </w:tcMar>
          </w:tcPr>
          <w:p>
            <w:pPr>
              <w:spacing w:after="40" w:before="40"/>
            </w:pPr>
            <w:r>
              <w:rPr>
                <w:rFonts w:ascii="Times New Roman" w:hAnsi="Times New Roman"/>
                <w:sz w:val="20"/>
              </w:rPr>
              <w:t>Edinburgh, Lisbon</w:t>
            </w:r>
          </w:p>
        </w:tc>
      </w:tr>
      <w:tr>
        <w:tc>
          <w:tcPr>
            <w:tcW w:type="dxa" w:w="2340"/>
            <w:shd w:fill="F9F9F9"/>
            <w:tcMar>
              <w:top w:w="80" w:type="dxa"/>
              <w:bottom w:w="80" w:type="dxa"/>
              <w:left w:w="120" w:type="dxa"/>
              <w:right w:w="120" w:type="dxa"/>
            </w:tcMar>
          </w:tcPr>
          <w:p>
            <w:pPr>
              <w:spacing w:after="40" w:before="40"/>
            </w:pPr>
            <w:r>
              <w:rPr>
                <w:rFonts w:ascii="Times New Roman" w:hAnsi="Times New Roman"/>
                <w:sz w:val="20"/>
              </w:rPr>
              <w:t>Seoul, Sydney, Toronto</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Los Angeles</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r>
          </w:p>
        </w:tc>
      </w:tr>
    </w:tbl>
    <w:p/>
    <w:p>
      <w:pPr>
        <w:keepNext/>
        <w:spacing w:before="240" w:after="80"/>
      </w:pPr>
      <w:r>
        <w:rPr>
          <w:rFonts w:ascii="Times New Roman" w:hAnsi="Times New Roman"/>
          <w:b/>
          <w:i/>
          <w:color w:val="222222"/>
          <w:sz w:val="25"/>
        </w:rPr>
        <w:t>3.2 Operationalization of Variables</w:t>
      </w:r>
    </w:p>
    <w:p>
      <w:r>
        <w:t>The dependent variable is the net room rate per night in USD (</w:t>
      </w:r>
      <w:r>
        <w:rPr>
          <w:rFonts w:ascii="Consolas" w:hAnsi="Consolas"/>
          <w:color w:val="882222"/>
          <w:sz w:val="21"/>
        </w:rPr>
        <w:t>price_net</w:t>
      </w:r>
      <w:r>
        <w:t>). To normalize right-skewness and stabilize error variance, the natural log transformation is employed as the primary target:</w:t>
      </w:r>
    </w:p>
    <w:p>
      <w:r>
        <w:t>$$y_i = \ln(\text{price\_net}_i)$$</w:t>
      </w:r>
    </w:p>
    <w:p>
      <w:r>
        <w:t>Independent variables are categorized into five structural vectors:</w:t>
      </w:r>
    </w:p>
    <w:p>
      <w:r>
        <w:t xml:space="preserve">1. </w:t>
      </w:r>
      <w:r>
        <w:rPr>
          <w:b/>
        </w:rPr>
        <w:t>Structural Attributes ($\mathbf{S}$):</w:t>
      </w:r>
      <w:r>
        <w:t xml:space="preserve"> Official star rating (</w:t>
      </w:r>
      <w:r>
        <w:rPr>
          <w:rFonts w:ascii="Consolas" w:hAnsi="Consolas"/>
          <w:color w:val="882222"/>
          <w:sz w:val="21"/>
        </w:rPr>
        <w:t>star_rating</w:t>
      </w:r>
      <w:r>
        <w:t xml:space="preserve"> 1–5), property category (</w:t>
      </w:r>
      <w:r>
        <w:rPr>
          <w:rFonts w:ascii="Consolas" w:hAnsi="Consolas"/>
          <w:color w:val="882222"/>
          <w:sz w:val="21"/>
        </w:rPr>
        <w:t>property_type</w:t>
      </w:r>
      <w:r>
        <w:t>: Hotel, Resort, Apartment, Villa, Hostel, Guesthouse), gallery photo volume (</w:t>
      </w:r>
      <w:r>
        <w:rPr>
          <w:rFonts w:ascii="Consolas" w:hAnsi="Consolas"/>
          <w:color w:val="882222"/>
          <w:sz w:val="21"/>
        </w:rPr>
        <w:t>photo_count</w:t>
      </w:r>
      <w:r>
        <w:t>).</w:t>
      </w:r>
    </w:p>
    <w:p>
      <w:r>
        <w:t xml:space="preserve">2. </w:t>
      </w:r>
      <w:r>
        <w:rPr>
          <w:b/>
        </w:rPr>
        <w:t>Spatial &amp; Location Metrics ($\mathbf{L}$):</w:t>
      </w:r>
      <w:r>
        <w:t xml:space="preserve"> Euclidean distance to city downtown (</w:t>
      </w:r>
      <w:r>
        <w:rPr>
          <w:rFonts w:ascii="Consolas" w:hAnsi="Consolas"/>
          <w:color w:val="882222"/>
          <w:sz w:val="21"/>
        </w:rPr>
        <w:t>distance_to_center_km</w:t>
      </w:r>
      <w:r>
        <w:t>), direct waterfront access (</w:t>
      </w:r>
      <w:r>
        <w:rPr>
          <w:rFonts w:ascii="Consolas" w:hAnsi="Consolas"/>
          <w:color w:val="882222"/>
          <w:sz w:val="21"/>
        </w:rPr>
        <w:t>is_beachfront</w:t>
      </w:r>
      <w:r>
        <w:t xml:space="preserve"> 0/1), exact GPS coordinates (</w:t>
      </w:r>
      <w:r>
        <w:rPr>
          <w:rFonts w:ascii="Consolas" w:hAnsi="Consolas"/>
          <w:color w:val="882222"/>
          <w:sz w:val="21"/>
        </w:rPr>
        <w:t>latitude</w:t>
      </w:r>
      <w:r>
        <w:t xml:space="preserve">, </w:t>
      </w:r>
      <w:r>
        <w:rPr>
          <w:rFonts w:ascii="Consolas" w:hAnsi="Consolas"/>
          <w:color w:val="882222"/>
          <w:sz w:val="21"/>
        </w:rPr>
        <w:t>longitude</w:t>
      </w:r>
      <w:r>
        <w:t>), and neighborhood district fixed effects.</w:t>
      </w:r>
    </w:p>
    <w:p>
      <w:r>
        <w:t xml:space="preserve">3. </w:t>
      </w:r>
      <w:r>
        <w:rPr>
          <w:b/>
        </w:rPr>
        <w:t>Reputation &amp; Service Quality ($\mathbf{R}$):</w:t>
      </w:r>
      <w:r>
        <w:t xml:space="preserve"> Aggregate customer review rating (</w:t>
      </w:r>
      <w:r>
        <w:rPr>
          <w:rFonts w:ascii="Consolas" w:hAnsi="Consolas"/>
          <w:color w:val="882222"/>
          <w:sz w:val="21"/>
        </w:rPr>
        <w:t>review_score_overall</w:t>
      </w:r>
      <w:r>
        <w:t xml:space="preserve"> 1.0–10.0), total published review volume (</w:t>
      </w:r>
      <w:r>
        <w:rPr>
          <w:rFonts w:ascii="Consolas" w:hAnsi="Consolas"/>
          <w:color w:val="882222"/>
          <w:sz w:val="21"/>
        </w:rPr>
        <w:t>review_count</w:t>
      </w:r>
      <w:r>
        <w:t>), review category badge (</w:t>
      </w:r>
      <w:r>
        <w:rPr>
          <w:rFonts w:ascii="Consolas" w:hAnsi="Consolas"/>
          <w:color w:val="882222"/>
          <w:sz w:val="21"/>
        </w:rPr>
        <w:t>review_score_label</w:t>
      </w:r>
      <w:r>
        <w:t>), and dimensional sub-scores (</w:t>
      </w:r>
      <w:r>
        <w:rPr>
          <w:rFonts w:ascii="Consolas" w:hAnsi="Consolas"/>
          <w:color w:val="882222"/>
          <w:sz w:val="21"/>
        </w:rPr>
        <w:t>score_cleanliness</w:t>
      </w:r>
      <w:r>
        <w:t xml:space="preserve">, </w:t>
      </w:r>
      <w:r>
        <w:rPr>
          <w:rFonts w:ascii="Consolas" w:hAnsi="Consolas"/>
          <w:color w:val="882222"/>
          <w:sz w:val="21"/>
        </w:rPr>
        <w:t>score_staff</w:t>
      </w:r>
      <w:r>
        <w:t xml:space="preserve">, </w:t>
      </w:r>
      <w:r>
        <w:rPr>
          <w:rFonts w:ascii="Consolas" w:hAnsi="Consolas"/>
          <w:color w:val="882222"/>
          <w:sz w:val="21"/>
        </w:rPr>
        <w:t>score_facilities</w:t>
      </w:r>
      <w:r>
        <w:t xml:space="preserve">, </w:t>
      </w:r>
      <w:r>
        <w:rPr>
          <w:rFonts w:ascii="Consolas" w:hAnsi="Consolas"/>
          <w:color w:val="882222"/>
          <w:sz w:val="21"/>
        </w:rPr>
        <w:t>score_comfort</w:t>
      </w:r>
      <w:r>
        <w:t xml:space="preserve">, </w:t>
      </w:r>
      <w:r>
        <w:rPr>
          <w:rFonts w:ascii="Consolas" w:hAnsi="Consolas"/>
          <w:color w:val="882222"/>
          <w:sz w:val="21"/>
        </w:rPr>
        <w:t>score_value</w:t>
      </w:r>
      <w:r>
        <w:t xml:space="preserve">, </w:t>
      </w:r>
      <w:r>
        <w:rPr>
          <w:rFonts w:ascii="Consolas" w:hAnsi="Consolas"/>
          <w:color w:val="882222"/>
          <w:sz w:val="21"/>
        </w:rPr>
        <w:t>score_location</w:t>
      </w:r>
      <w:r>
        <w:t xml:space="preserve">, </w:t>
      </w:r>
      <w:r>
        <w:rPr>
          <w:rFonts w:ascii="Consolas" w:hAnsi="Consolas"/>
          <w:color w:val="882222"/>
          <w:sz w:val="21"/>
        </w:rPr>
        <w:t>score_wifi</w:t>
      </w:r>
      <w:r>
        <w:t>).</w:t>
      </w:r>
    </w:p>
    <w:p>
      <w:r>
        <w:t xml:space="preserve">4. </w:t>
      </w:r>
      <w:r>
        <w:rPr>
          <w:b/>
        </w:rPr>
        <w:t>Physical Amenities Matrix ($\mathbf{A}$):</w:t>
      </w:r>
      <w:r>
        <w:t xml:space="preserve"> Binary vector representing the presence of 11 distinct facilities: </w:t>
      </w:r>
      <w:r>
        <w:rPr>
          <w:rFonts w:ascii="Consolas" w:hAnsi="Consolas"/>
          <w:color w:val="882222"/>
          <w:sz w:val="21"/>
        </w:rPr>
        <w:t>has_swimming_pool</w:t>
      </w:r>
      <w:r>
        <w:t xml:space="preserve">, </w:t>
      </w:r>
      <w:r>
        <w:rPr>
          <w:rFonts w:ascii="Consolas" w:hAnsi="Consolas"/>
          <w:color w:val="882222"/>
          <w:sz w:val="21"/>
        </w:rPr>
        <w:t>has_free_wifi</w:t>
      </w:r>
      <w:r>
        <w:t xml:space="preserve">, </w:t>
      </w:r>
      <w:r>
        <w:rPr>
          <w:rFonts w:ascii="Consolas" w:hAnsi="Consolas"/>
          <w:color w:val="882222"/>
          <w:sz w:val="21"/>
        </w:rPr>
        <w:t>has_parking</w:t>
      </w:r>
      <w:r>
        <w:t xml:space="preserve">, </w:t>
      </w:r>
      <w:r>
        <w:rPr>
          <w:rFonts w:ascii="Consolas" w:hAnsi="Consolas"/>
          <w:color w:val="882222"/>
          <w:sz w:val="21"/>
        </w:rPr>
        <w:t>has_air_conditioning</w:t>
      </w:r>
      <w:r>
        <w:t xml:space="preserve">, </w:t>
      </w:r>
      <w:r>
        <w:rPr>
          <w:rFonts w:ascii="Consolas" w:hAnsi="Consolas"/>
          <w:color w:val="882222"/>
          <w:sz w:val="21"/>
        </w:rPr>
        <w:t>has_spa</w:t>
      </w:r>
      <w:r>
        <w:t xml:space="preserve">, </w:t>
      </w:r>
      <w:r>
        <w:rPr>
          <w:rFonts w:ascii="Consolas" w:hAnsi="Consolas"/>
          <w:color w:val="882222"/>
          <w:sz w:val="21"/>
        </w:rPr>
        <w:t>has_fitness_center</w:t>
      </w:r>
      <w:r>
        <w:t xml:space="preserve">, </w:t>
      </w:r>
      <w:r>
        <w:rPr>
          <w:rFonts w:ascii="Consolas" w:hAnsi="Consolas"/>
          <w:color w:val="882222"/>
          <w:sz w:val="21"/>
        </w:rPr>
        <w:t>has_restaurant</w:t>
      </w:r>
      <w:r>
        <w:t xml:space="preserve">, </w:t>
      </w:r>
      <w:r>
        <w:rPr>
          <w:rFonts w:ascii="Consolas" w:hAnsi="Consolas"/>
          <w:color w:val="882222"/>
          <w:sz w:val="21"/>
        </w:rPr>
        <w:t>has_bar</w:t>
      </w:r>
      <w:r>
        <w:t xml:space="preserve">, </w:t>
      </w:r>
      <w:r>
        <w:rPr>
          <w:rFonts w:ascii="Consolas" w:hAnsi="Consolas"/>
          <w:color w:val="882222"/>
          <w:sz w:val="21"/>
        </w:rPr>
        <w:t>has_airport_shuttle</w:t>
      </w:r>
      <w:r>
        <w:t xml:space="preserve">, </w:t>
      </w:r>
      <w:r>
        <w:rPr>
          <w:rFonts w:ascii="Consolas" w:hAnsi="Consolas"/>
          <w:color w:val="882222"/>
          <w:sz w:val="21"/>
        </w:rPr>
        <w:t>has_24h_front_desk</w:t>
      </w:r>
      <w:r>
        <w:t xml:space="preserve">, </w:t>
      </w:r>
      <w:r>
        <w:rPr>
          <w:rFonts w:ascii="Consolas" w:hAnsi="Consolas"/>
          <w:color w:val="882222"/>
          <w:sz w:val="21"/>
        </w:rPr>
        <w:t>pets_allowed</w:t>
      </w:r>
      <w:r>
        <w:t>.</w:t>
      </w:r>
    </w:p>
    <w:p>
      <w:r>
        <w:t xml:space="preserve">5. </w:t>
      </w:r>
      <w:r>
        <w:rPr>
          <w:b/>
        </w:rPr>
        <w:t>Booking Terms &amp; Dynamic Signals ($\mathbf{D}$):</w:t>
      </w:r>
      <w:r>
        <w:t xml:space="preserve"> Free cancellation policy (</w:t>
      </w:r>
      <w:r>
        <w:rPr>
          <w:rFonts w:ascii="Consolas" w:hAnsi="Consolas"/>
          <w:color w:val="882222"/>
          <w:sz w:val="21"/>
        </w:rPr>
        <w:t>free_cancellation</w:t>
      </w:r>
      <w:r>
        <w:t xml:space="preserve"> 0/1), complimentary breakfast bundle (</w:t>
      </w:r>
      <w:r>
        <w:rPr>
          <w:rFonts w:ascii="Consolas" w:hAnsi="Consolas"/>
          <w:color w:val="882222"/>
          <w:sz w:val="21"/>
        </w:rPr>
        <w:t>breakfast_included</w:t>
      </w:r>
      <w:r>
        <w:t xml:space="preserve"> 0/1), mandatory municipal bed taxes and charges (</w:t>
      </w:r>
      <w:r>
        <w:rPr>
          <w:rFonts w:ascii="Consolas" w:hAnsi="Consolas"/>
          <w:color w:val="882222"/>
          <w:sz w:val="21"/>
        </w:rPr>
        <w:t>taxes_and_charges</w:t>
      </w:r>
      <w:r>
        <w:t>), promotional discount depth (</w:t>
      </w:r>
      <w:r>
        <w:rPr>
          <w:rFonts w:ascii="Consolas" w:hAnsi="Consolas"/>
          <w:color w:val="882222"/>
          <w:sz w:val="21"/>
        </w:rPr>
        <w:t>discount_pct</w:t>
      </w:r>
      <w:r>
        <w:t>), inventory scarcity indicator (</w:t>
      </w:r>
      <w:r>
        <w:rPr>
          <w:rFonts w:ascii="Consolas" w:hAnsi="Consolas"/>
          <w:color w:val="882222"/>
          <w:sz w:val="21"/>
        </w:rPr>
        <w:t>rooms_left_warning</w:t>
      </w:r>
      <w:r>
        <w:t>), booking lead time (</w:t>
      </w:r>
      <w:r>
        <w:rPr>
          <w:rFonts w:ascii="Consolas" w:hAnsi="Consolas"/>
          <w:color w:val="882222"/>
          <w:sz w:val="21"/>
        </w:rPr>
        <w:t>lead_time_days</w:t>
      </w:r>
      <w:r>
        <w:t>), and weekend stay dummy (</w:t>
      </w:r>
      <w:r>
        <w:rPr>
          <w:rFonts w:ascii="Consolas" w:hAnsi="Consolas"/>
          <w:color w:val="882222"/>
          <w:sz w:val="21"/>
        </w:rPr>
        <w:t>is_weekend</w:t>
      </w:r>
      <w:r>
        <w:t xml:space="preserve"> 0/1).</w:t>
      </w:r>
    </w:p>
    <w:p>
      <w:pPr>
        <w:keepNext/>
        <w:spacing w:before="240" w:after="80"/>
      </w:pPr>
      <w:r>
        <w:rPr>
          <w:rFonts w:ascii="Times New Roman" w:hAnsi="Times New Roman"/>
          <w:b/>
          <w:i/>
          <w:color w:val="222222"/>
          <w:sz w:val="25"/>
        </w:rPr>
        <w:t>3.3 Model Benchmarking &amp; Estimation Strategy</w:t>
      </w:r>
    </w:p>
    <w:p>
      <w:r>
        <w:t xml:space="preserve">To test $H_1$, we benchmark six parametric and non-parametric algorithms under a standardized </w:t>
      </w:r>
      <w:r>
        <w:rPr>
          <w:b/>
        </w:rPr>
        <w:t>5-Fold Cross-Validation protocol</w:t>
      </w:r>
      <w:r>
        <w:t xml:space="preserve"> (80% training / 20% validation per fold):</w:t>
      </w:r>
    </w:p>
    <w:p>
      <w:r>
        <w:t xml:space="preserve">1. </w:t>
      </w:r>
      <w:r>
        <w:rPr>
          <w:b/>
        </w:rPr>
        <w:t>Hedonic OLS Linear Regression:</w:t>
      </w:r>
      <w:r>
        <w:t xml:space="preserve"> Classical parametric baseline.</w:t>
      </w:r>
    </w:p>
    <w:p>
      <w:r>
        <w:t xml:space="preserve">2. </w:t>
      </w:r>
      <w:r>
        <w:rPr>
          <w:b/>
        </w:rPr>
        <w:t>Ridge Regression ($L_2$ Regularization):</w:t>
      </w:r>
      <w:r>
        <w:t xml:space="preserve"> Mitigates multicollinearity among amenity indicators:</w:t>
      </w:r>
    </w:p>
    <w:p>
      <w:r>
        <w:t>$$\min_{\beta} \left\{ \sum_{i=1}^n (y_i - \mathbf{x}_i^T\beta)^2 + \lambda \sum_{j=1}^p \beta_j^2 \right\}$$</w:t>
      </w:r>
    </w:p>
    <w:p>
      <w:r>
        <w:t xml:space="preserve">3. </w:t>
      </w:r>
      <w:r>
        <w:rPr>
          <w:b/>
        </w:rPr>
        <w:t>Lasso Regression ($L_1$ Regularization):</w:t>
      </w:r>
      <w:r>
        <w:t xml:space="preserve"> Enforces feature sparsity and variable selection:</w:t>
      </w:r>
    </w:p>
    <w:p>
      <w:r>
        <w:t>$$\min_{\beta} \left\{ \sum_{i=1}^n (y_i - \mathbf{x}_i^T\beta)^2 + \alpha \sum_{j=1}^p |\beta_j| \right\}$$</w:t>
      </w:r>
    </w:p>
    <w:p>
      <w:r>
        <w:t xml:space="preserve">4. </w:t>
      </w:r>
      <w:r>
        <w:rPr>
          <w:b/>
        </w:rPr>
        <w:t>Random Forest Regressor (Breiman, 2001):</w:t>
      </w:r>
      <w:r>
        <w:t xml:space="preserve"> Non-parametric ensemble of 100 decorrelated decision trees using bootstrap aggregation (bagging).</w:t>
      </w:r>
    </w:p>
    <w:p>
      <w:r>
        <w:t xml:space="preserve">5. </w:t>
      </w:r>
      <w:r>
        <w:rPr>
          <w:b/>
        </w:rPr>
        <w:t>LightGBM Regressor (Ke et al., 2017):</w:t>
      </w:r>
      <w:r>
        <w:t xml:space="preserve"> Highly scalable gradient boosting framework using Gradient-based One-Side Sampling (GOSS) and Exclusive Feature Bundling (EFB).</w:t>
      </w:r>
    </w:p>
    <w:p>
      <w:r>
        <w:t xml:space="preserve">6. </w:t>
      </w:r>
      <w:r>
        <w:rPr>
          <w:b/>
        </w:rPr>
        <w:t>XGBoost Regressor (Chen &amp; Guestrin, 2016):</w:t>
      </w:r>
      <w:r>
        <w:t xml:space="preserve"> Regularized gradient boosted tree algorithm optimizing a second-order Taylor approximation of the loss function.</w:t>
      </w:r>
    </w:p>
    <w:p>
      <w:r>
        <w:t>Model performance is evaluated using four out-of-sample metrics: Coefficient of Determination ($R^2$), Root Mean Squared Error (RMSE), Mean Absolute Error (MAE), and Mean Absolute Percentage Error (MAPE).</w:t>
      </w:r>
    </w:p>
    <w:p>
      <w:pPr>
        <w:keepNext/>
        <w:spacing w:before="240" w:after="80"/>
      </w:pPr>
      <w:r>
        <w:rPr>
          <w:rFonts w:ascii="Times New Roman" w:hAnsi="Times New Roman"/>
          <w:b/>
          <w:i/>
          <w:color w:val="222222"/>
          <w:sz w:val="25"/>
        </w:rPr>
        <w:t>3.4 Game-Theoretic Explainability: Tree-SHAP Formulation</w:t>
      </w:r>
    </w:p>
    <w:p>
      <w:r>
        <w:t xml:space="preserve">To resolve the black-box dilemma and extract exact marginal attribute contributions, we implement </w:t>
      </w:r>
      <w:r>
        <w:rPr>
          <w:b/>
        </w:rPr>
        <w:t>Tree-SHAP</w:t>
      </w:r>
      <w:r>
        <w:t xml:space="preserve"> (Lundberg &amp; Lee, 2017). Based on cooperative game theory (Shapley, 1953), the SHAP value $\phi_j(x)$ represents the unique, additive contribution of feature $j$ to the model prediction $f(x)$ relative to the base expected value $E[f(x)]$:</w:t>
      </w:r>
    </w:p>
    <w:p>
      <w:r>
        <w:t>$$f(x) = E[f(x)] + \sum_{j=1}^M \phi_j(x)$$</w:t>
      </w:r>
    </w:p>
    <w:p>
      <w:r>
        <w:t>The exact Shapley value for feature $j$ is computed across all possible feature subsets $S \subseteq F \setminus \{j\}$:</w:t>
      </w:r>
    </w:p>
    <w:p>
      <w:r>
        <w:t>$$\phi_j(x) = \sum_{S \subseteq F \setminus \{j\}} \frac{|S|!(|F| - |S| - 1)!}{|F|!} \left[ f_x(S \cup \{j\}) - f_x(S) \right]$$</w:t>
      </w:r>
    </w:p>
    <w:p>
      <w:r>
        <w:t>Tree-SHAP computes these exact values in polynomial time $O(T L D^2)$ rather than exponential time, allowing us to generate global feature importance rankings, partial dependence willingness-to-pay curves, and multi-attribute interaction values.</w:t>
      </w:r>
    </w:p>
    <w:p>
      <w:pPr>
        <w:keepNext/>
        <w:spacing w:before="320" w:after="120"/>
      </w:pPr>
      <w:r>
        <w:rPr>
          <w:rFonts w:ascii="Times New Roman" w:hAnsi="Times New Roman"/>
          <w:b/>
          <w:color w:val="003366"/>
          <w:sz w:val="28"/>
        </w:rPr>
        <w:t>4. Empirical Results</w:t>
      </w:r>
    </w:p>
    <w:p>
      <w:pPr>
        <w:keepNext/>
        <w:spacing w:before="240" w:after="80"/>
      </w:pPr>
      <w:r>
        <w:rPr>
          <w:rFonts w:ascii="Times New Roman" w:hAnsi="Times New Roman"/>
          <w:b/>
          <w:i/>
          <w:color w:val="222222"/>
          <w:sz w:val="25"/>
        </w:rPr>
        <w:t>4.1 Descriptive Statistics &amp; Data Architecture</w:t>
      </w:r>
    </w:p>
    <w:p>
      <w:r>
        <w:t>Table 1 presents the descriptive statistics for the complete sample ($N = 4,426$).</w:t>
      </w:r>
    </w:p>
    <w:p>
      <w:r>
        <w:rPr>
          <w:b/>
        </w:rPr>
        <w:t>Table 1: Descriptive Statistics of the Empirical Dataset ($N = 4,426$)</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EAEAEA"/>
            <w:tcMar>
              <w:top w:w="80" w:type="dxa"/>
              <w:bottom w:w="80" w:type="dxa"/>
              <w:left w:w="120" w:type="dxa"/>
              <w:right w:w="120" w:type="dxa"/>
            </w:tcMar>
          </w:tcPr>
          <w:p>
            <w:pPr>
              <w:spacing w:after="40" w:before="40"/>
            </w:pPr>
            <w:r>
              <w:rPr>
                <w:rFonts w:ascii="Times New Roman" w:hAnsi="Times New Roman"/>
                <w:b/>
                <w:sz w:val="20"/>
              </w:rPr>
              <w:t>Variable</w:t>
            </w:r>
          </w:p>
        </w:tc>
        <w:tc>
          <w:tcPr>
            <w:tcW w:type="dxa" w:w="1337"/>
            <w:shd w:fill="EAEAEA"/>
            <w:tcMar>
              <w:top w:w="80" w:type="dxa"/>
              <w:bottom w:w="80" w:type="dxa"/>
              <w:left w:w="120" w:type="dxa"/>
              <w:right w:w="120" w:type="dxa"/>
            </w:tcMar>
          </w:tcPr>
          <w:p>
            <w:pPr>
              <w:spacing w:after="40" w:before="40"/>
            </w:pPr>
            <w:r>
              <w:rPr>
                <w:rFonts w:ascii="Times New Roman" w:hAnsi="Times New Roman"/>
                <w:b/>
                <w:sz w:val="20"/>
              </w:rPr>
              <w:t>Mean</w:t>
            </w:r>
          </w:p>
        </w:tc>
        <w:tc>
          <w:tcPr>
            <w:tcW w:type="dxa" w:w="1337"/>
            <w:shd w:fill="EAEAEA"/>
            <w:tcMar>
              <w:top w:w="80" w:type="dxa"/>
              <w:bottom w:w="80" w:type="dxa"/>
              <w:left w:w="120" w:type="dxa"/>
              <w:right w:w="120" w:type="dxa"/>
            </w:tcMar>
          </w:tcPr>
          <w:p>
            <w:pPr>
              <w:spacing w:after="40" w:before="40"/>
            </w:pPr>
            <w:r>
              <w:rPr>
                <w:rFonts w:ascii="Times New Roman" w:hAnsi="Times New Roman"/>
                <w:b/>
                <w:sz w:val="20"/>
              </w:rPr>
              <w:t>Std Dev</w:t>
            </w:r>
          </w:p>
        </w:tc>
        <w:tc>
          <w:tcPr>
            <w:tcW w:type="dxa" w:w="1337"/>
            <w:shd w:fill="EAEAEA"/>
            <w:tcMar>
              <w:top w:w="80" w:type="dxa"/>
              <w:bottom w:w="80" w:type="dxa"/>
              <w:left w:w="120" w:type="dxa"/>
              <w:right w:w="120" w:type="dxa"/>
            </w:tcMar>
          </w:tcPr>
          <w:p>
            <w:pPr>
              <w:spacing w:after="40" w:before="40"/>
            </w:pPr>
            <w:r>
              <w:rPr>
                <w:rFonts w:ascii="Times New Roman" w:hAnsi="Times New Roman"/>
                <w:b/>
                <w:sz w:val="20"/>
              </w:rPr>
              <w:t>Min</w:t>
            </w:r>
          </w:p>
        </w:tc>
        <w:tc>
          <w:tcPr>
            <w:tcW w:type="dxa" w:w="1337"/>
            <w:shd w:fill="EAEAEA"/>
            <w:tcMar>
              <w:top w:w="80" w:type="dxa"/>
              <w:bottom w:w="80" w:type="dxa"/>
              <w:left w:w="120" w:type="dxa"/>
              <w:right w:w="120" w:type="dxa"/>
            </w:tcMar>
          </w:tcPr>
          <w:p>
            <w:pPr>
              <w:spacing w:after="40" w:before="40"/>
            </w:pPr>
            <w:r>
              <w:rPr>
                <w:rFonts w:ascii="Times New Roman" w:hAnsi="Times New Roman"/>
                <w:b/>
                <w:sz w:val="20"/>
              </w:rPr>
              <w:t>Median</w:t>
            </w:r>
          </w:p>
        </w:tc>
        <w:tc>
          <w:tcPr>
            <w:tcW w:type="dxa" w:w="1337"/>
            <w:shd w:fill="EAEAEA"/>
            <w:tcMar>
              <w:top w:w="80" w:type="dxa"/>
              <w:bottom w:w="80" w:type="dxa"/>
              <w:left w:w="120" w:type="dxa"/>
              <w:right w:w="120" w:type="dxa"/>
            </w:tcMar>
          </w:tcPr>
          <w:p>
            <w:pPr>
              <w:spacing w:after="40" w:before="40"/>
            </w:pPr>
            <w:r>
              <w:rPr>
                <w:rFonts w:ascii="Times New Roman" w:hAnsi="Times New Roman"/>
                <w:b/>
                <w:sz w:val="20"/>
              </w:rPr>
              <w:t>Max</w:t>
            </w:r>
          </w:p>
        </w:tc>
        <w:tc>
          <w:tcPr>
            <w:tcW w:type="dxa" w:w="1337"/>
            <w:shd w:fill="EAEAEA"/>
            <w:tcMar>
              <w:top w:w="80" w:type="dxa"/>
              <w:bottom w:w="80" w:type="dxa"/>
              <w:left w:w="120" w:type="dxa"/>
              <w:right w:w="120" w:type="dxa"/>
            </w:tcMar>
          </w:tcPr>
          <w:p>
            <w:pPr>
              <w:spacing w:after="40" w:before="40"/>
            </w:pPr>
            <w:r>
              <w:rPr>
                <w:rFonts w:ascii="Times New Roman" w:hAnsi="Times New Roman"/>
                <w:b/>
                <w:sz w:val="20"/>
              </w:rPr>
              <w:t>Skewness</w:t>
            </w:r>
          </w:p>
        </w:tc>
      </w:tr>
      <w:tr>
        <w:tc>
          <w:tcPr>
            <w:tcW w:type="dxa" w:w="1337"/>
            <w:shd w:fill="F9F9F9"/>
            <w:tcMar>
              <w:top w:w="80" w:type="dxa"/>
              <w:bottom w:w="80" w:type="dxa"/>
              <w:left w:w="120" w:type="dxa"/>
              <w:right w:w="120" w:type="dxa"/>
            </w:tcMar>
          </w:tcPr>
          <w:p>
            <w:pPr>
              <w:spacing w:after="40" w:before="40"/>
            </w:pPr>
            <w:r>
              <w:rPr>
                <w:rFonts w:ascii="Times New Roman" w:hAnsi="Times New Roman"/>
                <w:sz w:val="20"/>
              </w:rPr>
              <w:t>price_net ($USD)</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191.634</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186.625</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2.000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142.000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4439.000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4.741</w:t>
            </w:r>
          </w:p>
        </w:tc>
      </w:tr>
      <w:tr>
        <w:tc>
          <w:tcPr>
            <w:tcW w:type="dxa" w:w="1337"/>
            <w:tcMar>
              <w:top w:w="80" w:type="dxa"/>
              <w:bottom w:w="80" w:type="dxa"/>
              <w:left w:w="120" w:type="dxa"/>
              <w:right w:w="120" w:type="dxa"/>
            </w:tcMar>
          </w:tcPr>
          <w:p>
            <w:pPr>
              <w:spacing w:after="40" w:before="40"/>
            </w:pPr>
            <w:r>
              <w:rPr>
                <w:rFonts w:ascii="Times New Roman" w:hAnsi="Times New Roman"/>
                <w:sz w:val="20"/>
              </w:rPr>
              <w:t>log_price (ln USD)</w:t>
            </w:r>
          </w:p>
        </w:tc>
        <w:tc>
          <w:tcPr>
            <w:tcW w:type="dxa" w:w="1337"/>
            <w:tcMar>
              <w:top w:w="80" w:type="dxa"/>
              <w:bottom w:w="80" w:type="dxa"/>
              <w:left w:w="120" w:type="dxa"/>
              <w:right w:w="120" w:type="dxa"/>
            </w:tcMar>
          </w:tcPr>
          <w:p>
            <w:pPr>
              <w:spacing w:after="40" w:before="40"/>
            </w:pPr>
            <w:r>
              <w:rPr>
                <w:rFonts w:ascii="Times New Roman" w:hAnsi="Times New Roman"/>
                <w:sz w:val="20"/>
              </w:rPr>
              <w:t>4.859</w:t>
            </w:r>
          </w:p>
        </w:tc>
        <w:tc>
          <w:tcPr>
            <w:tcW w:type="dxa" w:w="1337"/>
            <w:tcMar>
              <w:top w:w="80" w:type="dxa"/>
              <w:bottom w:w="80" w:type="dxa"/>
              <w:left w:w="120" w:type="dxa"/>
              <w:right w:w="120" w:type="dxa"/>
            </w:tcMar>
          </w:tcPr>
          <w:p>
            <w:pPr>
              <w:spacing w:after="40" w:before="40"/>
            </w:pPr>
            <w:r>
              <w:rPr>
                <w:rFonts w:ascii="Times New Roman" w:hAnsi="Times New Roman"/>
                <w:sz w:val="20"/>
              </w:rPr>
              <w:t>0.951</w:t>
            </w:r>
          </w:p>
        </w:tc>
        <w:tc>
          <w:tcPr>
            <w:tcW w:type="dxa" w:w="1337"/>
            <w:tcMar>
              <w:top w:w="80" w:type="dxa"/>
              <w:bottom w:w="80" w:type="dxa"/>
              <w:left w:w="120" w:type="dxa"/>
              <w:right w:w="120" w:type="dxa"/>
            </w:tcMar>
          </w:tcPr>
          <w:p>
            <w:pPr>
              <w:spacing w:after="40" w:before="40"/>
            </w:pPr>
            <w:r>
              <w:rPr>
                <w:rFonts w:ascii="Times New Roman" w:hAnsi="Times New Roman"/>
                <w:sz w:val="20"/>
              </w:rPr>
              <w:t>0.693</w:t>
            </w:r>
          </w:p>
        </w:tc>
        <w:tc>
          <w:tcPr>
            <w:tcW w:type="dxa" w:w="1337"/>
            <w:tcMar>
              <w:top w:w="80" w:type="dxa"/>
              <w:bottom w:w="80" w:type="dxa"/>
              <w:left w:w="120" w:type="dxa"/>
              <w:right w:w="120" w:type="dxa"/>
            </w:tcMar>
          </w:tcPr>
          <w:p>
            <w:pPr>
              <w:spacing w:after="40" w:before="40"/>
            </w:pPr>
            <w:r>
              <w:rPr>
                <w:rFonts w:ascii="Times New Roman" w:hAnsi="Times New Roman"/>
                <w:sz w:val="20"/>
              </w:rPr>
              <w:t>4.956</w:t>
            </w:r>
          </w:p>
        </w:tc>
        <w:tc>
          <w:tcPr>
            <w:tcW w:type="dxa" w:w="1337"/>
            <w:tcMar>
              <w:top w:w="80" w:type="dxa"/>
              <w:bottom w:w="80" w:type="dxa"/>
              <w:left w:w="120" w:type="dxa"/>
              <w:right w:w="120" w:type="dxa"/>
            </w:tcMar>
          </w:tcPr>
          <w:p>
            <w:pPr>
              <w:spacing w:after="40" w:before="40"/>
            </w:pPr>
            <w:r>
              <w:rPr>
                <w:rFonts w:ascii="Times New Roman" w:hAnsi="Times New Roman"/>
                <w:sz w:val="20"/>
              </w:rPr>
              <w:t>8.398</w:t>
            </w:r>
          </w:p>
        </w:tc>
        <w:tc>
          <w:tcPr>
            <w:tcW w:type="dxa" w:w="1337"/>
            <w:tcMar>
              <w:top w:w="80" w:type="dxa"/>
              <w:bottom w:w="80" w:type="dxa"/>
              <w:left w:w="120" w:type="dxa"/>
              <w:right w:w="120" w:type="dxa"/>
            </w:tcMar>
          </w:tcPr>
          <w:p>
            <w:pPr>
              <w:spacing w:after="40" w:before="40"/>
            </w:pPr>
            <w:r>
              <w:rPr>
                <w:rFonts w:ascii="Times New Roman" w:hAnsi="Times New Roman"/>
                <w:sz w:val="20"/>
              </w:rPr>
              <w:t>-0.431</w:t>
            </w:r>
          </w:p>
        </w:tc>
      </w:tr>
      <w:tr>
        <w:tc>
          <w:tcPr>
            <w:tcW w:type="dxa" w:w="1337"/>
            <w:shd w:fill="F9F9F9"/>
            <w:tcMar>
              <w:top w:w="80" w:type="dxa"/>
              <w:bottom w:w="80" w:type="dxa"/>
              <w:left w:w="120" w:type="dxa"/>
              <w:right w:w="120" w:type="dxa"/>
            </w:tcMar>
          </w:tcPr>
          <w:p>
            <w:pPr>
              <w:spacing w:after="40" w:before="40"/>
            </w:pPr>
            <w:r>
              <w:rPr>
                <w:rFonts w:ascii="Times New Roman" w:hAnsi="Times New Roman"/>
                <w:sz w:val="20"/>
              </w:rPr>
              <w:t>taxes_and_charges</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28.388</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33.632</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17.000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266.000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2.650</w:t>
            </w:r>
          </w:p>
        </w:tc>
      </w:tr>
      <w:tr>
        <w:tc>
          <w:tcPr>
            <w:tcW w:type="dxa" w:w="1337"/>
            <w:tcMar>
              <w:top w:w="80" w:type="dxa"/>
              <w:bottom w:w="80" w:type="dxa"/>
              <w:left w:w="120" w:type="dxa"/>
              <w:right w:w="120" w:type="dxa"/>
            </w:tcMar>
          </w:tcPr>
          <w:p>
            <w:pPr>
              <w:spacing w:after="40" w:before="40"/>
            </w:pPr>
            <w:r>
              <w:rPr>
                <w:rFonts w:ascii="Times New Roman" w:hAnsi="Times New Roman"/>
                <w:sz w:val="20"/>
              </w:rPr>
              <w:t>star_rating</w:t>
            </w:r>
          </w:p>
        </w:tc>
        <w:tc>
          <w:tcPr>
            <w:tcW w:type="dxa" w:w="1337"/>
            <w:tcMar>
              <w:top w:w="80" w:type="dxa"/>
              <w:bottom w:w="80" w:type="dxa"/>
              <w:left w:w="120" w:type="dxa"/>
              <w:right w:w="120" w:type="dxa"/>
            </w:tcMar>
          </w:tcPr>
          <w:p>
            <w:pPr>
              <w:spacing w:after="40" w:before="40"/>
            </w:pPr>
            <w:r>
              <w:rPr>
                <w:rFonts w:ascii="Times New Roman" w:hAnsi="Times New Roman"/>
                <w:sz w:val="20"/>
              </w:rPr>
              <w:t>2.564</w:t>
            </w:r>
          </w:p>
        </w:tc>
        <w:tc>
          <w:tcPr>
            <w:tcW w:type="dxa" w:w="1337"/>
            <w:tcMar>
              <w:top w:w="80" w:type="dxa"/>
              <w:bottom w:w="80" w:type="dxa"/>
              <w:left w:w="120" w:type="dxa"/>
              <w:right w:w="120" w:type="dxa"/>
            </w:tcMar>
          </w:tcPr>
          <w:p>
            <w:pPr>
              <w:spacing w:after="40" w:before="40"/>
            </w:pPr>
            <w:r>
              <w:rPr>
                <w:rFonts w:ascii="Times New Roman" w:hAnsi="Times New Roman"/>
                <w:sz w:val="20"/>
              </w:rPr>
              <w:t>1.750</w:t>
            </w:r>
          </w:p>
        </w:tc>
        <w:tc>
          <w:tcPr>
            <w:tcW w:type="dxa" w:w="1337"/>
            <w:tcMar>
              <w:top w:w="80" w:type="dxa"/>
              <w:bottom w:w="80" w:type="dxa"/>
              <w:left w:w="120" w:type="dxa"/>
              <w:right w:w="120" w:type="dxa"/>
            </w:tcMar>
          </w:tcPr>
          <w:p>
            <w:pPr>
              <w:spacing w:after="40" w:before="40"/>
            </w:pPr>
            <w:r>
              <w:rPr>
                <w:rFonts w:ascii="Times New Roman" w:hAnsi="Times New Roman"/>
                <w:sz w:val="20"/>
              </w:rPr>
              <w:t>0.000</w:t>
            </w:r>
          </w:p>
        </w:tc>
        <w:tc>
          <w:tcPr>
            <w:tcW w:type="dxa" w:w="1337"/>
            <w:tcMar>
              <w:top w:w="80" w:type="dxa"/>
              <w:bottom w:w="80" w:type="dxa"/>
              <w:left w:w="120" w:type="dxa"/>
              <w:right w:w="120" w:type="dxa"/>
            </w:tcMar>
          </w:tcPr>
          <w:p>
            <w:pPr>
              <w:spacing w:after="40" w:before="40"/>
            </w:pPr>
            <w:r>
              <w:rPr>
                <w:rFonts w:ascii="Times New Roman" w:hAnsi="Times New Roman"/>
                <w:sz w:val="20"/>
              </w:rPr>
              <w:t>3.000</w:t>
            </w:r>
          </w:p>
        </w:tc>
        <w:tc>
          <w:tcPr>
            <w:tcW w:type="dxa" w:w="1337"/>
            <w:tcMar>
              <w:top w:w="80" w:type="dxa"/>
              <w:bottom w:w="80" w:type="dxa"/>
              <w:left w:w="120" w:type="dxa"/>
              <w:right w:w="120" w:type="dxa"/>
            </w:tcMar>
          </w:tcPr>
          <w:p>
            <w:pPr>
              <w:spacing w:after="40" w:before="40"/>
            </w:pPr>
            <w:r>
              <w:rPr>
                <w:rFonts w:ascii="Times New Roman" w:hAnsi="Times New Roman"/>
                <w:sz w:val="20"/>
              </w:rPr>
              <w:t>5.000</w:t>
            </w:r>
          </w:p>
        </w:tc>
        <w:tc>
          <w:tcPr>
            <w:tcW w:type="dxa" w:w="1337"/>
            <w:tcMar>
              <w:top w:w="80" w:type="dxa"/>
              <w:bottom w:w="80" w:type="dxa"/>
              <w:left w:w="120" w:type="dxa"/>
              <w:right w:w="120" w:type="dxa"/>
            </w:tcMar>
          </w:tcPr>
          <w:p>
            <w:pPr>
              <w:spacing w:after="40" w:before="40"/>
            </w:pPr>
            <w:r>
              <w:rPr>
                <w:rFonts w:ascii="Times New Roman" w:hAnsi="Times New Roman"/>
                <w:sz w:val="20"/>
              </w:rPr>
              <w:t>-0.460</w:t>
            </w:r>
          </w:p>
        </w:tc>
      </w:tr>
      <w:tr>
        <w:tc>
          <w:tcPr>
            <w:tcW w:type="dxa" w:w="1337"/>
            <w:shd w:fill="F9F9F9"/>
            <w:tcMar>
              <w:top w:w="80" w:type="dxa"/>
              <w:bottom w:w="80" w:type="dxa"/>
              <w:left w:w="120" w:type="dxa"/>
              <w:right w:w="120" w:type="dxa"/>
            </w:tcMar>
          </w:tcPr>
          <w:p>
            <w:pPr>
              <w:spacing w:after="40" w:before="40"/>
            </w:pPr>
            <w:r>
              <w:rPr>
                <w:rFonts w:ascii="Times New Roman" w:hAnsi="Times New Roman"/>
                <w:sz w:val="20"/>
              </w:rPr>
              <w:t>review_score_overall</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8.117</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1.162</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1.000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8.400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10.000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-2.062</w:t>
            </w:r>
          </w:p>
        </w:tc>
      </w:tr>
      <w:tr>
        <w:tc>
          <w:tcPr>
            <w:tcW w:type="dxa" w:w="1337"/>
            <w:tcMar>
              <w:top w:w="80" w:type="dxa"/>
              <w:bottom w:w="80" w:type="dxa"/>
              <w:left w:w="120" w:type="dxa"/>
              <w:right w:w="120" w:type="dxa"/>
            </w:tcMar>
          </w:tcPr>
          <w:p>
            <w:pPr>
              <w:spacing w:after="40" w:before="40"/>
            </w:pPr>
            <w:r>
              <w:rPr>
                <w:rFonts w:ascii="Times New Roman" w:hAnsi="Times New Roman"/>
                <w:sz w:val="20"/>
              </w:rPr>
              <w:t>review_count</w:t>
            </w:r>
          </w:p>
        </w:tc>
        <w:tc>
          <w:tcPr>
            <w:tcW w:type="dxa" w:w="1337"/>
            <w:tcMar>
              <w:top w:w="80" w:type="dxa"/>
              <w:bottom w:w="80" w:type="dxa"/>
              <w:left w:w="120" w:type="dxa"/>
              <w:right w:w="120" w:type="dxa"/>
            </w:tcMar>
          </w:tcPr>
          <w:p>
            <w:pPr>
              <w:spacing w:after="40" w:before="40"/>
            </w:pPr>
            <w:r>
              <w:rPr>
                <w:rFonts w:ascii="Times New Roman" w:hAnsi="Times New Roman"/>
                <w:sz w:val="20"/>
              </w:rPr>
              <w:t>2493.200</w:t>
            </w:r>
          </w:p>
        </w:tc>
        <w:tc>
          <w:tcPr>
            <w:tcW w:type="dxa" w:w="1337"/>
            <w:tcMar>
              <w:top w:w="80" w:type="dxa"/>
              <w:bottom w:w="80" w:type="dxa"/>
              <w:left w:w="120" w:type="dxa"/>
              <w:right w:w="120" w:type="dxa"/>
            </w:tcMar>
          </w:tcPr>
          <w:p>
            <w:pPr>
              <w:spacing w:after="40" w:before="40"/>
            </w:pPr>
            <w:r>
              <w:rPr>
                <w:rFonts w:ascii="Times New Roman" w:hAnsi="Times New Roman"/>
                <w:sz w:val="20"/>
              </w:rPr>
              <w:t>3308.838</w:t>
            </w:r>
          </w:p>
        </w:tc>
        <w:tc>
          <w:tcPr>
            <w:tcW w:type="dxa" w:w="1337"/>
            <w:tcMar>
              <w:top w:w="80" w:type="dxa"/>
              <w:bottom w:w="80" w:type="dxa"/>
              <w:left w:w="120" w:type="dxa"/>
              <w:right w:w="120" w:type="dxa"/>
            </w:tcMar>
          </w:tcPr>
          <w:p>
            <w:pPr>
              <w:spacing w:after="40" w:before="40"/>
            </w:pPr>
            <w:r>
              <w:rPr>
                <w:rFonts w:ascii="Times New Roman" w:hAnsi="Times New Roman"/>
                <w:sz w:val="20"/>
              </w:rPr>
              <w:t>0.000</w:t>
            </w:r>
          </w:p>
        </w:tc>
        <w:tc>
          <w:tcPr>
            <w:tcW w:type="dxa" w:w="1337"/>
            <w:tcMar>
              <w:top w:w="80" w:type="dxa"/>
              <w:bottom w:w="80" w:type="dxa"/>
              <w:left w:w="120" w:type="dxa"/>
              <w:right w:w="120" w:type="dxa"/>
            </w:tcMar>
          </w:tcPr>
          <w:p>
            <w:pPr>
              <w:spacing w:after="40" w:before="40"/>
            </w:pPr>
            <w:r>
              <w:rPr>
                <w:rFonts w:ascii="Times New Roman" w:hAnsi="Times New Roman"/>
                <w:sz w:val="20"/>
              </w:rPr>
              <w:t>1316.000</w:t>
            </w:r>
          </w:p>
        </w:tc>
        <w:tc>
          <w:tcPr>
            <w:tcW w:type="dxa" w:w="1337"/>
            <w:tcMar>
              <w:top w:w="80" w:type="dxa"/>
              <w:bottom w:w="80" w:type="dxa"/>
              <w:left w:w="120" w:type="dxa"/>
              <w:right w:w="120" w:type="dxa"/>
            </w:tcMar>
          </w:tcPr>
          <w:p>
            <w:pPr>
              <w:spacing w:after="40" w:before="40"/>
            </w:pPr>
            <w:r>
              <w:rPr>
                <w:rFonts w:ascii="Times New Roman" w:hAnsi="Times New Roman"/>
                <w:sz w:val="20"/>
              </w:rPr>
              <w:t>37613.000</w:t>
            </w:r>
          </w:p>
        </w:tc>
        <w:tc>
          <w:tcPr>
            <w:tcW w:type="dxa" w:w="1337"/>
            <w:tcMar>
              <w:top w:w="80" w:type="dxa"/>
              <w:bottom w:w="80" w:type="dxa"/>
              <w:left w:w="120" w:type="dxa"/>
              <w:right w:w="120" w:type="dxa"/>
            </w:tcMar>
          </w:tcPr>
          <w:p>
            <w:pPr>
              <w:spacing w:after="40" w:before="40"/>
            </w:pPr>
            <w:r>
              <w:rPr>
                <w:rFonts w:ascii="Times New Roman" w:hAnsi="Times New Roman"/>
                <w:sz w:val="20"/>
              </w:rPr>
              <w:t>2.866</w:t>
            </w:r>
          </w:p>
        </w:tc>
      </w:tr>
      <w:tr>
        <w:tc>
          <w:tcPr>
            <w:tcW w:type="dxa" w:w="1337"/>
            <w:shd w:fill="F9F9F9"/>
            <w:tcMar>
              <w:top w:w="80" w:type="dxa"/>
              <w:bottom w:w="80" w:type="dxa"/>
              <w:left w:w="120" w:type="dxa"/>
              <w:right w:w="120" w:type="dxa"/>
            </w:tcMar>
          </w:tcPr>
          <w:p>
            <w:pPr>
              <w:spacing w:after="40" w:before="40"/>
            </w:pPr>
            <w:r>
              <w:rPr>
                <w:rFonts w:ascii="Times New Roman" w:hAnsi="Times New Roman"/>
                <w:sz w:val="20"/>
              </w:rPr>
              <w:t>distance_to_center_km</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4.135</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5.029</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0.050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2.300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40.700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2.512</w:t>
            </w:r>
          </w:p>
        </w:tc>
      </w:tr>
      <w:tr>
        <w:tc>
          <w:tcPr>
            <w:tcW w:type="dxa" w:w="1337"/>
            <w:tcMar>
              <w:top w:w="80" w:type="dxa"/>
              <w:bottom w:w="80" w:type="dxa"/>
              <w:left w:w="120" w:type="dxa"/>
              <w:right w:w="120" w:type="dxa"/>
            </w:tcMar>
          </w:tcPr>
          <w:p>
            <w:pPr>
              <w:spacing w:after="40" w:before="40"/>
            </w:pPr>
            <w:r>
              <w:rPr>
                <w:rFonts w:ascii="Times New Roman" w:hAnsi="Times New Roman"/>
                <w:sz w:val="20"/>
              </w:rPr>
              <w:t>breakfast_included</w:t>
            </w:r>
          </w:p>
        </w:tc>
        <w:tc>
          <w:tcPr>
            <w:tcW w:type="dxa" w:w="1337"/>
            <w:tcMar>
              <w:top w:w="80" w:type="dxa"/>
              <w:bottom w:w="80" w:type="dxa"/>
              <w:left w:w="120" w:type="dxa"/>
              <w:right w:w="120" w:type="dxa"/>
            </w:tcMar>
          </w:tcPr>
          <w:p>
            <w:pPr>
              <w:spacing w:after="40" w:before="40"/>
            </w:pPr>
            <w:r>
              <w:rPr>
                <w:rFonts w:ascii="Times New Roman" w:hAnsi="Times New Roman"/>
                <w:sz w:val="20"/>
              </w:rPr>
              <w:t>0.221</w:t>
            </w:r>
          </w:p>
        </w:tc>
        <w:tc>
          <w:tcPr>
            <w:tcW w:type="dxa" w:w="1337"/>
            <w:tcMar>
              <w:top w:w="80" w:type="dxa"/>
              <w:bottom w:w="80" w:type="dxa"/>
              <w:left w:w="120" w:type="dxa"/>
              <w:right w:w="120" w:type="dxa"/>
            </w:tcMar>
          </w:tcPr>
          <w:p>
            <w:pPr>
              <w:spacing w:after="40" w:before="40"/>
            </w:pPr>
            <w:r>
              <w:rPr>
                <w:rFonts w:ascii="Times New Roman" w:hAnsi="Times New Roman"/>
                <w:sz w:val="20"/>
              </w:rPr>
              <w:t>0.415</w:t>
            </w:r>
          </w:p>
        </w:tc>
        <w:tc>
          <w:tcPr>
            <w:tcW w:type="dxa" w:w="1337"/>
            <w:tcMar>
              <w:top w:w="80" w:type="dxa"/>
              <w:bottom w:w="80" w:type="dxa"/>
              <w:left w:w="120" w:type="dxa"/>
              <w:right w:w="120" w:type="dxa"/>
            </w:tcMar>
          </w:tcPr>
          <w:p>
            <w:pPr>
              <w:spacing w:after="40" w:before="40"/>
            </w:pPr>
            <w:r>
              <w:rPr>
                <w:rFonts w:ascii="Times New Roman" w:hAnsi="Times New Roman"/>
                <w:sz w:val="20"/>
              </w:rPr>
              <w:t>0.000</w:t>
            </w:r>
          </w:p>
        </w:tc>
        <w:tc>
          <w:tcPr>
            <w:tcW w:type="dxa" w:w="1337"/>
            <w:tcMar>
              <w:top w:w="80" w:type="dxa"/>
              <w:bottom w:w="80" w:type="dxa"/>
              <w:left w:w="120" w:type="dxa"/>
              <w:right w:w="120" w:type="dxa"/>
            </w:tcMar>
          </w:tcPr>
          <w:p>
            <w:pPr>
              <w:spacing w:after="40" w:before="40"/>
            </w:pPr>
            <w:r>
              <w:rPr>
                <w:rFonts w:ascii="Times New Roman" w:hAnsi="Times New Roman"/>
                <w:sz w:val="20"/>
              </w:rPr>
              <w:t>0.000</w:t>
            </w:r>
          </w:p>
        </w:tc>
        <w:tc>
          <w:tcPr>
            <w:tcW w:type="dxa" w:w="1337"/>
            <w:tcMar>
              <w:top w:w="80" w:type="dxa"/>
              <w:bottom w:w="80" w:type="dxa"/>
              <w:left w:w="120" w:type="dxa"/>
              <w:right w:w="120" w:type="dxa"/>
            </w:tcMar>
          </w:tcPr>
          <w:p>
            <w:pPr>
              <w:spacing w:after="40" w:before="40"/>
            </w:pPr>
            <w:r>
              <w:rPr>
                <w:rFonts w:ascii="Times New Roman" w:hAnsi="Times New Roman"/>
                <w:sz w:val="20"/>
              </w:rPr>
              <w:t>1.000</w:t>
            </w:r>
          </w:p>
        </w:tc>
        <w:tc>
          <w:tcPr>
            <w:tcW w:type="dxa" w:w="1337"/>
            <w:tcMar>
              <w:top w:w="80" w:type="dxa"/>
              <w:bottom w:w="80" w:type="dxa"/>
              <w:left w:w="120" w:type="dxa"/>
              <w:right w:w="120" w:type="dxa"/>
            </w:tcMar>
          </w:tcPr>
          <w:p>
            <w:pPr>
              <w:spacing w:after="40" w:before="40"/>
            </w:pPr>
            <w:r>
              <w:rPr>
                <w:rFonts w:ascii="Times New Roman" w:hAnsi="Times New Roman"/>
                <w:sz w:val="20"/>
              </w:rPr>
              <w:t>1.342</w:t>
            </w:r>
          </w:p>
        </w:tc>
      </w:tr>
      <w:tr>
        <w:tc>
          <w:tcPr>
            <w:tcW w:type="dxa" w:w="1337"/>
            <w:shd w:fill="F9F9F9"/>
            <w:tcMar>
              <w:top w:w="80" w:type="dxa"/>
              <w:bottom w:w="80" w:type="dxa"/>
              <w:left w:w="120" w:type="dxa"/>
              <w:right w:w="120" w:type="dxa"/>
            </w:tcMar>
          </w:tcPr>
          <w:p>
            <w:pPr>
              <w:spacing w:after="40" w:before="40"/>
            </w:pPr>
            <w:r>
              <w:rPr>
                <w:rFonts w:ascii="Times New Roman" w:hAnsi="Times New Roman"/>
                <w:sz w:val="20"/>
              </w:rPr>
              <w:t>free_cancellation</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0.431</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0.495</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1.000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0.277</w:t>
            </w:r>
          </w:p>
        </w:tc>
      </w:tr>
      <w:tr>
        <w:tc>
          <w:tcPr>
            <w:tcW w:type="dxa" w:w="1337"/>
            <w:tcMar>
              <w:top w:w="80" w:type="dxa"/>
              <w:bottom w:w="80" w:type="dxa"/>
              <w:left w:w="120" w:type="dxa"/>
              <w:right w:w="120" w:type="dxa"/>
            </w:tcMar>
          </w:tcPr>
          <w:p>
            <w:pPr>
              <w:spacing w:after="40" w:before="40"/>
            </w:pPr>
            <w:r>
              <w:rPr>
                <w:rFonts w:ascii="Times New Roman" w:hAnsi="Times New Roman"/>
                <w:sz w:val="20"/>
              </w:rPr>
              <w:t>is_beachfront</w:t>
            </w:r>
          </w:p>
        </w:tc>
        <w:tc>
          <w:tcPr>
            <w:tcW w:type="dxa" w:w="1337"/>
            <w:tcMar>
              <w:top w:w="80" w:type="dxa"/>
              <w:bottom w:w="80" w:type="dxa"/>
              <w:left w:w="120" w:type="dxa"/>
              <w:right w:w="120" w:type="dxa"/>
            </w:tcMar>
          </w:tcPr>
          <w:p>
            <w:pPr>
              <w:spacing w:after="40" w:before="40"/>
            </w:pPr>
            <w:r>
              <w:rPr>
                <w:rFonts w:ascii="Times New Roman" w:hAnsi="Times New Roman"/>
                <w:sz w:val="20"/>
              </w:rPr>
              <w:t>0.009</w:t>
            </w:r>
          </w:p>
        </w:tc>
        <w:tc>
          <w:tcPr>
            <w:tcW w:type="dxa" w:w="1337"/>
            <w:tcMar>
              <w:top w:w="80" w:type="dxa"/>
              <w:bottom w:w="80" w:type="dxa"/>
              <w:left w:w="120" w:type="dxa"/>
              <w:right w:w="120" w:type="dxa"/>
            </w:tcMar>
          </w:tcPr>
          <w:p>
            <w:pPr>
              <w:spacing w:after="40" w:before="40"/>
            </w:pPr>
            <w:r>
              <w:rPr>
                <w:rFonts w:ascii="Times New Roman" w:hAnsi="Times New Roman"/>
                <w:sz w:val="20"/>
              </w:rPr>
              <w:t>0.092</w:t>
            </w:r>
          </w:p>
        </w:tc>
        <w:tc>
          <w:tcPr>
            <w:tcW w:type="dxa" w:w="1337"/>
            <w:tcMar>
              <w:top w:w="80" w:type="dxa"/>
              <w:bottom w:w="80" w:type="dxa"/>
              <w:left w:w="120" w:type="dxa"/>
              <w:right w:w="120" w:type="dxa"/>
            </w:tcMar>
          </w:tcPr>
          <w:p>
            <w:pPr>
              <w:spacing w:after="40" w:before="40"/>
            </w:pPr>
            <w:r>
              <w:rPr>
                <w:rFonts w:ascii="Times New Roman" w:hAnsi="Times New Roman"/>
                <w:sz w:val="20"/>
              </w:rPr>
              <w:t>0.000</w:t>
            </w:r>
          </w:p>
        </w:tc>
        <w:tc>
          <w:tcPr>
            <w:tcW w:type="dxa" w:w="1337"/>
            <w:tcMar>
              <w:top w:w="80" w:type="dxa"/>
              <w:bottom w:w="80" w:type="dxa"/>
              <w:left w:w="120" w:type="dxa"/>
              <w:right w:w="120" w:type="dxa"/>
            </w:tcMar>
          </w:tcPr>
          <w:p>
            <w:pPr>
              <w:spacing w:after="40" w:before="40"/>
            </w:pPr>
            <w:r>
              <w:rPr>
                <w:rFonts w:ascii="Times New Roman" w:hAnsi="Times New Roman"/>
                <w:sz w:val="20"/>
              </w:rPr>
              <w:t>0.000</w:t>
            </w:r>
          </w:p>
        </w:tc>
        <w:tc>
          <w:tcPr>
            <w:tcW w:type="dxa" w:w="1337"/>
            <w:tcMar>
              <w:top w:w="80" w:type="dxa"/>
              <w:bottom w:w="80" w:type="dxa"/>
              <w:left w:w="120" w:type="dxa"/>
              <w:right w:w="120" w:type="dxa"/>
            </w:tcMar>
          </w:tcPr>
          <w:p>
            <w:pPr>
              <w:spacing w:after="40" w:before="40"/>
            </w:pPr>
            <w:r>
              <w:rPr>
                <w:rFonts w:ascii="Times New Roman" w:hAnsi="Times New Roman"/>
                <w:sz w:val="20"/>
              </w:rPr>
              <w:t>1.000</w:t>
            </w:r>
          </w:p>
        </w:tc>
        <w:tc>
          <w:tcPr>
            <w:tcW w:type="dxa" w:w="1337"/>
            <w:tcMar>
              <w:top w:w="80" w:type="dxa"/>
              <w:bottom w:w="80" w:type="dxa"/>
              <w:left w:w="120" w:type="dxa"/>
              <w:right w:w="120" w:type="dxa"/>
            </w:tcMar>
          </w:tcPr>
          <w:p>
            <w:pPr>
              <w:spacing w:after="40" w:before="40"/>
            </w:pPr>
            <w:r>
              <w:rPr>
                <w:rFonts w:ascii="Times New Roman" w:hAnsi="Times New Roman"/>
                <w:sz w:val="20"/>
              </w:rPr>
              <w:t>10.656</w:t>
            </w:r>
          </w:p>
        </w:tc>
      </w:tr>
      <w:tr>
        <w:tc>
          <w:tcPr>
            <w:tcW w:type="dxa" w:w="1337"/>
            <w:shd w:fill="F9F9F9"/>
            <w:tcMar>
              <w:top w:w="80" w:type="dxa"/>
              <w:bottom w:w="80" w:type="dxa"/>
              <w:left w:w="120" w:type="dxa"/>
              <w:right w:w="120" w:type="dxa"/>
            </w:tcMar>
          </w:tcPr>
          <w:p>
            <w:pPr>
              <w:spacing w:after="40" w:before="40"/>
            </w:pPr>
            <w:r>
              <w:rPr>
                <w:rFonts w:ascii="Times New Roman" w:hAnsi="Times New Roman"/>
                <w:sz w:val="20"/>
              </w:rPr>
              <w:t>has_free_wifi</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0.045</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0.207</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1.000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4.406</w:t>
            </w:r>
          </w:p>
        </w:tc>
      </w:tr>
      <w:tr>
        <w:tc>
          <w:tcPr>
            <w:tcW w:type="dxa" w:w="1337"/>
            <w:tcMar>
              <w:top w:w="80" w:type="dxa"/>
              <w:bottom w:w="80" w:type="dxa"/>
              <w:left w:w="120" w:type="dxa"/>
              <w:right w:w="120" w:type="dxa"/>
            </w:tcMar>
          </w:tcPr>
          <w:p>
            <w:pPr>
              <w:spacing w:after="40" w:before="40"/>
            </w:pPr>
            <w:r>
              <w:rPr>
                <w:rFonts w:ascii="Times New Roman" w:hAnsi="Times New Roman"/>
                <w:sz w:val="20"/>
              </w:rPr>
              <w:t>has_swimming_pool</w:t>
            </w:r>
          </w:p>
        </w:tc>
        <w:tc>
          <w:tcPr>
            <w:tcW w:type="dxa" w:w="1337"/>
            <w:tcMar>
              <w:top w:w="80" w:type="dxa"/>
              <w:bottom w:w="80" w:type="dxa"/>
              <w:left w:w="120" w:type="dxa"/>
              <w:right w:w="120" w:type="dxa"/>
            </w:tcMar>
          </w:tcPr>
          <w:p>
            <w:pPr>
              <w:spacing w:after="40" w:before="40"/>
            </w:pPr>
            <w:r>
              <w:rPr>
                <w:rFonts w:ascii="Times New Roman" w:hAnsi="Times New Roman"/>
                <w:sz w:val="20"/>
              </w:rPr>
              <w:t>0.054</w:t>
            </w:r>
          </w:p>
        </w:tc>
        <w:tc>
          <w:tcPr>
            <w:tcW w:type="dxa" w:w="1337"/>
            <w:tcMar>
              <w:top w:w="80" w:type="dxa"/>
              <w:bottom w:w="80" w:type="dxa"/>
              <w:left w:w="120" w:type="dxa"/>
              <w:right w:w="120" w:type="dxa"/>
            </w:tcMar>
          </w:tcPr>
          <w:p>
            <w:pPr>
              <w:spacing w:after="40" w:before="40"/>
            </w:pPr>
            <w:r>
              <w:rPr>
                <w:rFonts w:ascii="Times New Roman" w:hAnsi="Times New Roman"/>
                <w:sz w:val="20"/>
              </w:rPr>
              <w:t>0.225</w:t>
            </w:r>
          </w:p>
        </w:tc>
        <w:tc>
          <w:tcPr>
            <w:tcW w:type="dxa" w:w="1337"/>
            <w:tcMar>
              <w:top w:w="80" w:type="dxa"/>
              <w:bottom w:w="80" w:type="dxa"/>
              <w:left w:w="120" w:type="dxa"/>
              <w:right w:w="120" w:type="dxa"/>
            </w:tcMar>
          </w:tcPr>
          <w:p>
            <w:pPr>
              <w:spacing w:after="40" w:before="40"/>
            </w:pPr>
            <w:r>
              <w:rPr>
                <w:rFonts w:ascii="Times New Roman" w:hAnsi="Times New Roman"/>
                <w:sz w:val="20"/>
              </w:rPr>
              <w:t>0.000</w:t>
            </w:r>
          </w:p>
        </w:tc>
        <w:tc>
          <w:tcPr>
            <w:tcW w:type="dxa" w:w="1337"/>
            <w:tcMar>
              <w:top w:w="80" w:type="dxa"/>
              <w:bottom w:w="80" w:type="dxa"/>
              <w:left w:w="120" w:type="dxa"/>
              <w:right w:w="120" w:type="dxa"/>
            </w:tcMar>
          </w:tcPr>
          <w:p>
            <w:pPr>
              <w:spacing w:after="40" w:before="40"/>
            </w:pPr>
            <w:r>
              <w:rPr>
                <w:rFonts w:ascii="Times New Roman" w:hAnsi="Times New Roman"/>
                <w:sz w:val="20"/>
              </w:rPr>
              <w:t>0.000</w:t>
            </w:r>
          </w:p>
        </w:tc>
        <w:tc>
          <w:tcPr>
            <w:tcW w:type="dxa" w:w="1337"/>
            <w:tcMar>
              <w:top w:w="80" w:type="dxa"/>
              <w:bottom w:w="80" w:type="dxa"/>
              <w:left w:w="120" w:type="dxa"/>
              <w:right w:w="120" w:type="dxa"/>
            </w:tcMar>
          </w:tcPr>
          <w:p>
            <w:pPr>
              <w:spacing w:after="40" w:before="40"/>
            </w:pPr>
            <w:r>
              <w:rPr>
                <w:rFonts w:ascii="Times New Roman" w:hAnsi="Times New Roman"/>
                <w:sz w:val="20"/>
              </w:rPr>
              <w:t>1.000</w:t>
            </w:r>
          </w:p>
        </w:tc>
        <w:tc>
          <w:tcPr>
            <w:tcW w:type="dxa" w:w="1337"/>
            <w:tcMar>
              <w:top w:w="80" w:type="dxa"/>
              <w:bottom w:w="80" w:type="dxa"/>
              <w:left w:w="120" w:type="dxa"/>
              <w:right w:w="120" w:type="dxa"/>
            </w:tcMar>
          </w:tcPr>
          <w:p>
            <w:pPr>
              <w:spacing w:after="40" w:before="40"/>
            </w:pPr>
            <w:r>
              <w:rPr>
                <w:rFonts w:ascii="Times New Roman" w:hAnsi="Times New Roman"/>
                <w:sz w:val="20"/>
              </w:rPr>
              <w:t>3.968</w:t>
            </w:r>
          </w:p>
        </w:tc>
      </w:tr>
      <w:tr>
        <w:tc>
          <w:tcPr>
            <w:tcW w:type="dxa" w:w="1337"/>
            <w:shd w:fill="F9F9F9"/>
            <w:tcMar>
              <w:top w:w="80" w:type="dxa"/>
              <w:bottom w:w="80" w:type="dxa"/>
              <w:left w:w="120" w:type="dxa"/>
              <w:right w:w="120" w:type="dxa"/>
            </w:tcMar>
          </w:tcPr>
          <w:p>
            <w:pPr>
              <w:spacing w:after="40" w:before="40"/>
            </w:pPr>
            <w:r>
              <w:rPr>
                <w:rFonts w:ascii="Times New Roman" w:hAnsi="Times New Roman"/>
                <w:sz w:val="20"/>
              </w:rPr>
              <w:t>has_parking</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0.008</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0.087</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1.000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11.281</w:t>
            </w:r>
          </w:p>
        </w:tc>
      </w:tr>
      <w:tr>
        <w:tc>
          <w:tcPr>
            <w:tcW w:type="dxa" w:w="1337"/>
            <w:tcMar>
              <w:top w:w="80" w:type="dxa"/>
              <w:bottom w:w="80" w:type="dxa"/>
              <w:left w:w="120" w:type="dxa"/>
              <w:right w:w="120" w:type="dxa"/>
            </w:tcMar>
          </w:tcPr>
          <w:p>
            <w:pPr>
              <w:spacing w:after="40" w:before="40"/>
            </w:pPr>
            <w:r>
              <w:rPr>
                <w:rFonts w:ascii="Times New Roman" w:hAnsi="Times New Roman"/>
                <w:sz w:val="20"/>
              </w:rPr>
              <w:t>has_air_conditioning</w:t>
            </w:r>
          </w:p>
        </w:tc>
        <w:tc>
          <w:tcPr>
            <w:tcW w:type="dxa" w:w="1337"/>
            <w:tcMar>
              <w:top w:w="80" w:type="dxa"/>
              <w:bottom w:w="80" w:type="dxa"/>
              <w:left w:w="120" w:type="dxa"/>
              <w:right w:w="120" w:type="dxa"/>
            </w:tcMar>
          </w:tcPr>
          <w:p>
            <w:pPr>
              <w:spacing w:after="40" w:before="40"/>
            </w:pPr>
            <w:r>
              <w:rPr>
                <w:rFonts w:ascii="Times New Roman" w:hAnsi="Times New Roman"/>
                <w:sz w:val="20"/>
              </w:rPr>
              <w:t>0.781</w:t>
            </w:r>
          </w:p>
        </w:tc>
        <w:tc>
          <w:tcPr>
            <w:tcW w:type="dxa" w:w="1337"/>
            <w:tcMar>
              <w:top w:w="80" w:type="dxa"/>
              <w:bottom w:w="80" w:type="dxa"/>
              <w:left w:w="120" w:type="dxa"/>
              <w:right w:w="120" w:type="dxa"/>
            </w:tcMar>
          </w:tcPr>
          <w:p>
            <w:pPr>
              <w:spacing w:after="40" w:before="40"/>
            </w:pPr>
            <w:r>
              <w:rPr>
                <w:rFonts w:ascii="Times New Roman" w:hAnsi="Times New Roman"/>
                <w:sz w:val="20"/>
              </w:rPr>
              <w:t>0.414</w:t>
            </w:r>
          </w:p>
        </w:tc>
        <w:tc>
          <w:tcPr>
            <w:tcW w:type="dxa" w:w="1337"/>
            <w:tcMar>
              <w:top w:w="80" w:type="dxa"/>
              <w:bottom w:w="80" w:type="dxa"/>
              <w:left w:w="120" w:type="dxa"/>
              <w:right w:w="120" w:type="dxa"/>
            </w:tcMar>
          </w:tcPr>
          <w:p>
            <w:pPr>
              <w:spacing w:after="40" w:before="40"/>
            </w:pPr>
            <w:r>
              <w:rPr>
                <w:rFonts w:ascii="Times New Roman" w:hAnsi="Times New Roman"/>
                <w:sz w:val="20"/>
              </w:rPr>
              <w:t>0.000</w:t>
            </w:r>
          </w:p>
        </w:tc>
        <w:tc>
          <w:tcPr>
            <w:tcW w:type="dxa" w:w="1337"/>
            <w:tcMar>
              <w:top w:w="80" w:type="dxa"/>
              <w:bottom w:w="80" w:type="dxa"/>
              <w:left w:w="120" w:type="dxa"/>
              <w:right w:w="120" w:type="dxa"/>
            </w:tcMar>
          </w:tcPr>
          <w:p>
            <w:pPr>
              <w:spacing w:after="40" w:before="40"/>
            </w:pPr>
            <w:r>
              <w:rPr>
                <w:rFonts w:ascii="Times New Roman" w:hAnsi="Times New Roman"/>
                <w:sz w:val="20"/>
              </w:rPr>
              <w:t>1.000</w:t>
            </w:r>
          </w:p>
        </w:tc>
        <w:tc>
          <w:tcPr>
            <w:tcW w:type="dxa" w:w="1337"/>
            <w:tcMar>
              <w:top w:w="80" w:type="dxa"/>
              <w:bottom w:w="80" w:type="dxa"/>
              <w:left w:w="120" w:type="dxa"/>
              <w:right w:w="120" w:type="dxa"/>
            </w:tcMar>
          </w:tcPr>
          <w:p>
            <w:pPr>
              <w:spacing w:after="40" w:before="40"/>
            </w:pPr>
            <w:r>
              <w:rPr>
                <w:rFonts w:ascii="Times New Roman" w:hAnsi="Times New Roman"/>
                <w:sz w:val="20"/>
              </w:rPr>
              <w:t>1.000</w:t>
            </w:r>
          </w:p>
        </w:tc>
        <w:tc>
          <w:tcPr>
            <w:tcW w:type="dxa" w:w="1337"/>
            <w:tcMar>
              <w:top w:w="80" w:type="dxa"/>
              <w:bottom w:w="80" w:type="dxa"/>
              <w:left w:w="120" w:type="dxa"/>
              <w:right w:w="120" w:type="dxa"/>
            </w:tcMar>
          </w:tcPr>
          <w:p>
            <w:pPr>
              <w:spacing w:after="40" w:before="40"/>
            </w:pPr>
            <w:r>
              <w:rPr>
                <w:rFonts w:ascii="Times New Roman" w:hAnsi="Times New Roman"/>
                <w:sz w:val="20"/>
              </w:rPr>
              <w:t>-1.360</w:t>
            </w:r>
          </w:p>
        </w:tc>
      </w:tr>
      <w:tr>
        <w:tc>
          <w:tcPr>
            <w:tcW w:type="dxa" w:w="1337"/>
            <w:shd w:fill="F9F9F9"/>
            <w:tcMar>
              <w:top w:w="80" w:type="dxa"/>
              <w:bottom w:w="80" w:type="dxa"/>
              <w:left w:w="120" w:type="dxa"/>
              <w:right w:w="120" w:type="dxa"/>
            </w:tcMar>
          </w:tcPr>
          <w:p>
            <w:pPr>
              <w:spacing w:after="40" w:before="40"/>
            </w:pPr>
            <w:r>
              <w:rPr>
                <w:rFonts w:ascii="Times New Roman" w:hAnsi="Times New Roman"/>
                <w:sz w:val="20"/>
              </w:rPr>
              <w:t>has_spa</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0.972</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0.165</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1.000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1.000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-5.738</w:t>
            </w:r>
          </w:p>
        </w:tc>
      </w:tr>
      <w:tr>
        <w:tc>
          <w:tcPr>
            <w:tcW w:type="dxa" w:w="1337"/>
            <w:tcMar>
              <w:top w:w="80" w:type="dxa"/>
              <w:bottom w:w="80" w:type="dxa"/>
              <w:left w:w="120" w:type="dxa"/>
              <w:right w:w="120" w:type="dxa"/>
            </w:tcMar>
          </w:tcPr>
          <w:p>
            <w:pPr>
              <w:spacing w:after="40" w:before="40"/>
            </w:pPr>
            <w:r>
              <w:rPr>
                <w:rFonts w:ascii="Times New Roman" w:hAnsi="Times New Roman"/>
                <w:sz w:val="20"/>
              </w:rPr>
              <w:t>has_fitness_center</w:t>
            </w:r>
          </w:p>
        </w:tc>
        <w:tc>
          <w:tcPr>
            <w:tcW w:type="dxa" w:w="1337"/>
            <w:tcMar>
              <w:top w:w="80" w:type="dxa"/>
              <w:bottom w:w="80" w:type="dxa"/>
              <w:left w:w="120" w:type="dxa"/>
              <w:right w:w="120" w:type="dxa"/>
            </w:tcMar>
          </w:tcPr>
          <w:p>
            <w:pPr>
              <w:spacing w:after="40" w:before="40"/>
            </w:pPr>
            <w:r>
              <w:rPr>
                <w:rFonts w:ascii="Times New Roman" w:hAnsi="Times New Roman"/>
                <w:sz w:val="20"/>
              </w:rPr>
              <w:t>0.901</w:t>
            </w:r>
          </w:p>
        </w:tc>
        <w:tc>
          <w:tcPr>
            <w:tcW w:type="dxa" w:w="1337"/>
            <w:tcMar>
              <w:top w:w="80" w:type="dxa"/>
              <w:bottom w:w="80" w:type="dxa"/>
              <w:left w:w="120" w:type="dxa"/>
              <w:right w:w="120" w:type="dxa"/>
            </w:tcMar>
          </w:tcPr>
          <w:p>
            <w:pPr>
              <w:spacing w:after="40" w:before="40"/>
            </w:pPr>
            <w:r>
              <w:rPr>
                <w:rFonts w:ascii="Times New Roman" w:hAnsi="Times New Roman"/>
                <w:sz w:val="20"/>
              </w:rPr>
              <w:t>0.299</w:t>
            </w:r>
          </w:p>
        </w:tc>
        <w:tc>
          <w:tcPr>
            <w:tcW w:type="dxa" w:w="1337"/>
            <w:tcMar>
              <w:top w:w="80" w:type="dxa"/>
              <w:bottom w:w="80" w:type="dxa"/>
              <w:left w:w="120" w:type="dxa"/>
              <w:right w:w="120" w:type="dxa"/>
            </w:tcMar>
          </w:tcPr>
          <w:p>
            <w:pPr>
              <w:spacing w:after="40" w:before="40"/>
            </w:pPr>
            <w:r>
              <w:rPr>
                <w:rFonts w:ascii="Times New Roman" w:hAnsi="Times New Roman"/>
                <w:sz w:val="20"/>
              </w:rPr>
              <w:t>0.000</w:t>
            </w:r>
          </w:p>
        </w:tc>
        <w:tc>
          <w:tcPr>
            <w:tcW w:type="dxa" w:w="1337"/>
            <w:tcMar>
              <w:top w:w="80" w:type="dxa"/>
              <w:bottom w:w="80" w:type="dxa"/>
              <w:left w:w="120" w:type="dxa"/>
              <w:right w:w="120" w:type="dxa"/>
            </w:tcMar>
          </w:tcPr>
          <w:p>
            <w:pPr>
              <w:spacing w:after="40" w:before="40"/>
            </w:pPr>
            <w:r>
              <w:rPr>
                <w:rFonts w:ascii="Times New Roman" w:hAnsi="Times New Roman"/>
                <w:sz w:val="20"/>
              </w:rPr>
              <w:t>1.000</w:t>
            </w:r>
          </w:p>
        </w:tc>
        <w:tc>
          <w:tcPr>
            <w:tcW w:type="dxa" w:w="1337"/>
            <w:tcMar>
              <w:top w:w="80" w:type="dxa"/>
              <w:bottom w:w="80" w:type="dxa"/>
              <w:left w:w="120" w:type="dxa"/>
              <w:right w:w="120" w:type="dxa"/>
            </w:tcMar>
          </w:tcPr>
          <w:p>
            <w:pPr>
              <w:spacing w:after="40" w:before="40"/>
            </w:pPr>
            <w:r>
              <w:rPr>
                <w:rFonts w:ascii="Times New Roman" w:hAnsi="Times New Roman"/>
                <w:sz w:val="20"/>
              </w:rPr>
              <w:t>1.000</w:t>
            </w:r>
          </w:p>
        </w:tc>
        <w:tc>
          <w:tcPr>
            <w:tcW w:type="dxa" w:w="1337"/>
            <w:tcMar>
              <w:top w:w="80" w:type="dxa"/>
              <w:bottom w:w="80" w:type="dxa"/>
              <w:left w:w="120" w:type="dxa"/>
              <w:right w:w="120" w:type="dxa"/>
            </w:tcMar>
          </w:tcPr>
          <w:p>
            <w:pPr>
              <w:spacing w:after="40" w:before="40"/>
            </w:pPr>
            <w:r>
              <w:rPr>
                <w:rFonts w:ascii="Times New Roman" w:hAnsi="Times New Roman"/>
                <w:sz w:val="20"/>
              </w:rPr>
              <w:t>-2.684</w:t>
            </w:r>
          </w:p>
        </w:tc>
      </w:tr>
      <w:tr>
        <w:tc>
          <w:tcPr>
            <w:tcW w:type="dxa" w:w="1337"/>
            <w:shd w:fill="F9F9F9"/>
            <w:tcMar>
              <w:top w:w="80" w:type="dxa"/>
              <w:bottom w:w="80" w:type="dxa"/>
              <w:left w:w="120" w:type="dxa"/>
              <w:right w:w="120" w:type="dxa"/>
            </w:tcMar>
          </w:tcPr>
          <w:p>
            <w:pPr>
              <w:spacing w:after="40" w:before="40"/>
            </w:pPr>
            <w:r>
              <w:rPr>
                <w:rFonts w:ascii="Times New Roman" w:hAnsi="Times New Roman"/>
                <w:sz w:val="20"/>
              </w:rPr>
              <w:t>lead_time_days</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59.108</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25.416</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29.000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59.000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89.000</w:t>
            </w:r>
          </w:p>
        </w:tc>
        <w:tc>
          <w:tcPr>
            <w:tcW w:type="dxa" w:w="1337"/>
            <w:shd w:fill="F9F9F9"/>
            <w:tcMar>
              <w:top w:w="80" w:type="dxa"/>
              <w:bottom w:w="80" w:type="dxa"/>
              <w:left w:w="120" w:type="dxa"/>
              <w:right w:w="120" w:type="dxa"/>
            </w:tcMar>
          </w:tcPr>
          <w:p>
            <w:pPr>
              <w:spacing w:after="40" w:before="40"/>
            </w:pPr>
            <w:r>
              <w:rPr>
                <w:rFonts w:ascii="Times New Roman" w:hAnsi="Times New Roman"/>
                <w:sz w:val="20"/>
              </w:rPr>
              <w:t>-0.007</w:t>
            </w:r>
          </w:p>
        </w:tc>
      </w:tr>
    </w:tbl>
    <w:p/>
    <w:p>
      <w:r>
        <w:t>The sample exhibits significant pricing heterogeneity, ranging from $\$2.00$ to $\$4,439.00$ per night with a mean of $\$191.63$ ($\text{SD} = \$186.63$). The natural log transformation successfully normalizes skewness from $+4.741$ down to $-0.431$, satisfying normality assumptions for econometric modeling.</w:t>
      </w:r>
    </w:p>
    <w:p>
      <w:pPr>
        <w:keepNext/>
        <w:spacing w:before="240" w:after="80"/>
      </w:pPr>
      <w:r>
        <w:rPr>
          <w:rFonts w:ascii="Times New Roman" w:hAnsi="Times New Roman"/>
          <w:b/>
          <w:i/>
          <w:color w:val="222222"/>
          <w:sz w:val="25"/>
        </w:rPr>
        <w:t>4.2 Multi-Model Benchmark Tournament (Validation of $H_1$)</w:t>
      </w:r>
    </w:p>
    <w:p>
      <w:r>
        <w:t>Table 2 summarizes the 5-fold cross-validated performance metrics across the six competitive specifications.</w:t>
      </w:r>
    </w:p>
    <w:p>
      <w:r>
        <w:rPr>
          <w:b/>
        </w:rPr>
        <w:t>Table 2: 5-Fold Cross-Validation Performance Comparison</w:t>
      </w:r>
    </w:p>
    <w:p/>
    <w:p>
      <w:pPr>
        <w:jc w:val="center"/>
      </w:pPr>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fig1_model_benchmark_r2.png"/>
                    <pic:cNvPicPr/>
                  </pic:nvPicPr>
                  <pic:blipFill>
                    <a:blip r:embed="rId9"/>
                    <a:stretch>
                      <a:fillRect/>
                    </a:stretch>
                  </pic:blipFill>
                  <pic:spPr>
                    <a:xfrm>
                      <a:off x="0" y="0"/>
                      <a:ext cx="5486400" cy="3352800"/>
                    </a:xfrm>
                    <a:prstGeom prst="rect"/>
                  </pic:spPr>
                </pic:pic>
              </a:graphicData>
            </a:graphic>
          </wp:inline>
        </w:drawing>
      </w:r>
    </w:p>
    <w:p>
      <w:pPr>
        <w:jc w:val="center"/>
      </w:pPr>
      <w:r>
        <w:rPr>
          <w:i/>
          <w:sz w:val="20"/>
        </w:rPr>
        <w:t>Figure 1: Cross-Validated R² Performance Distribution Across Model Specifications.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EAEA"/>
            <w:tcMar>
              <w:top w:w="80" w:type="dxa"/>
              <w:bottom w:w="80" w:type="dxa"/>
              <w:left w:w="120" w:type="dxa"/>
              <w:right w:w="120" w:type="dxa"/>
            </w:tcMar>
          </w:tcPr>
          <w:p>
            <w:pPr>
              <w:spacing w:after="40" w:before="40"/>
            </w:pPr>
            <w:r>
              <w:rPr>
                <w:rFonts w:ascii="Times New Roman" w:hAnsi="Times New Roman"/>
                <w:b/>
                <w:sz w:val="20"/>
              </w:rPr>
              <w:t>Model Specification</w:t>
            </w:r>
          </w:p>
        </w:tc>
        <w:tc>
          <w:tcPr>
            <w:tcW w:type="dxa" w:w="1872"/>
            <w:shd w:fill="EAEAEA"/>
            <w:tcMar>
              <w:top w:w="80" w:type="dxa"/>
              <w:bottom w:w="80" w:type="dxa"/>
              <w:left w:w="120" w:type="dxa"/>
              <w:right w:w="120" w:type="dxa"/>
            </w:tcMar>
          </w:tcPr>
          <w:p>
            <w:pPr>
              <w:spacing w:after="40" w:before="40"/>
            </w:pPr>
            <w:r>
              <w:rPr>
                <w:rFonts w:ascii="Times New Roman" w:hAnsi="Times New Roman"/>
                <w:b/>
                <w:sz w:val="20"/>
              </w:rPr>
              <w:t>R² Score (CV)</w:t>
            </w:r>
          </w:p>
        </w:tc>
        <w:tc>
          <w:tcPr>
            <w:tcW w:type="dxa" w:w="1872"/>
            <w:shd w:fill="EAEAEA"/>
            <w:tcMar>
              <w:top w:w="80" w:type="dxa"/>
              <w:bottom w:w="80" w:type="dxa"/>
              <w:left w:w="120" w:type="dxa"/>
              <w:right w:w="120" w:type="dxa"/>
            </w:tcMar>
          </w:tcPr>
          <w:p>
            <w:pPr>
              <w:spacing w:after="40" w:before="40"/>
            </w:pPr>
            <w:r>
              <w:rPr>
                <w:rFonts w:ascii="Times New Roman" w:hAnsi="Times New Roman"/>
                <w:b/>
                <w:sz w:val="20"/>
              </w:rPr>
              <w:t>RMSE (log)</w:t>
            </w:r>
          </w:p>
        </w:tc>
        <w:tc>
          <w:tcPr>
            <w:tcW w:type="dxa" w:w="1872"/>
            <w:shd w:fill="EAEAEA"/>
            <w:tcMar>
              <w:top w:w="80" w:type="dxa"/>
              <w:bottom w:w="80" w:type="dxa"/>
              <w:left w:w="120" w:type="dxa"/>
              <w:right w:w="120" w:type="dxa"/>
            </w:tcMar>
          </w:tcPr>
          <w:p>
            <w:pPr>
              <w:spacing w:after="40" w:before="40"/>
            </w:pPr>
            <w:r>
              <w:rPr>
                <w:rFonts w:ascii="Times New Roman" w:hAnsi="Times New Roman"/>
                <w:b/>
                <w:sz w:val="20"/>
              </w:rPr>
              <w:t>MAE (log)</w:t>
            </w:r>
          </w:p>
        </w:tc>
        <w:tc>
          <w:tcPr>
            <w:tcW w:type="dxa" w:w="1872"/>
            <w:shd w:fill="EAEAEA"/>
            <w:tcMar>
              <w:top w:w="80" w:type="dxa"/>
              <w:bottom w:w="80" w:type="dxa"/>
              <w:left w:w="120" w:type="dxa"/>
              <w:right w:w="120" w:type="dxa"/>
            </w:tcMar>
          </w:tcPr>
          <w:p>
            <w:pPr>
              <w:spacing w:after="40" w:before="40"/>
            </w:pPr>
            <w:r>
              <w:rPr>
                <w:rFonts w:ascii="Times New Roman" w:hAnsi="Times New Roman"/>
                <w:b/>
                <w:sz w:val="20"/>
              </w:rPr>
              <w:t>MAPE (%)</w:t>
            </w:r>
          </w:p>
        </w:tc>
      </w:tr>
      <w:tr>
        <w:tc>
          <w:tcPr>
            <w:tcW w:type="dxa" w:w="1872"/>
            <w:shd w:fill="F9F9F9"/>
            <w:tcMar>
              <w:top w:w="80" w:type="dxa"/>
              <w:bottom w:w="80" w:type="dxa"/>
              <w:left w:w="120" w:type="dxa"/>
              <w:right w:w="120" w:type="dxa"/>
            </w:tcMar>
          </w:tcPr>
          <w:p>
            <w:pPr>
              <w:spacing w:after="40" w:before="40"/>
            </w:pPr>
            <w:r>
              <w:rPr>
                <w:rFonts w:ascii="Times New Roman" w:hAnsi="Times New Roman"/>
                <w:sz w:val="20"/>
              </w:rPr>
              <w:t>1. Random Forest Regressor</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0.8807 (±0.008)</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0.3282</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0.2235</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23.74%</w:t>
            </w:r>
          </w:p>
        </w:tc>
      </w:tr>
      <w:tr>
        <w:tc>
          <w:tcPr>
            <w:tcW w:type="dxa" w:w="1872"/>
            <w:tcMar>
              <w:top w:w="80" w:type="dxa"/>
              <w:bottom w:w="80" w:type="dxa"/>
              <w:left w:w="120" w:type="dxa"/>
              <w:right w:w="120" w:type="dxa"/>
            </w:tcMar>
          </w:tcPr>
          <w:p>
            <w:pPr>
              <w:spacing w:after="40" w:before="40"/>
            </w:pPr>
            <w:r>
              <w:rPr>
                <w:rFonts w:ascii="Times New Roman" w:hAnsi="Times New Roman"/>
                <w:sz w:val="20"/>
              </w:rPr>
              <w:t>2. LightGBM Regressor</w:t>
            </w:r>
          </w:p>
        </w:tc>
        <w:tc>
          <w:tcPr>
            <w:tcW w:type="dxa" w:w="1872"/>
            <w:tcMar>
              <w:top w:w="80" w:type="dxa"/>
              <w:bottom w:w="80" w:type="dxa"/>
              <w:left w:w="120" w:type="dxa"/>
              <w:right w:w="120" w:type="dxa"/>
            </w:tcMar>
          </w:tcPr>
          <w:p>
            <w:pPr>
              <w:spacing w:after="40" w:before="40"/>
            </w:pPr>
            <w:r>
              <w:rPr>
                <w:rFonts w:ascii="Times New Roman" w:hAnsi="Times New Roman"/>
                <w:sz w:val="20"/>
              </w:rPr>
              <w:t>0.8799 (±0.007)</w:t>
            </w:r>
          </w:p>
        </w:tc>
        <w:tc>
          <w:tcPr>
            <w:tcW w:type="dxa" w:w="1872"/>
            <w:tcMar>
              <w:top w:w="80" w:type="dxa"/>
              <w:bottom w:w="80" w:type="dxa"/>
              <w:left w:w="120" w:type="dxa"/>
              <w:right w:w="120" w:type="dxa"/>
            </w:tcMar>
          </w:tcPr>
          <w:p>
            <w:pPr>
              <w:spacing w:after="40" w:before="40"/>
            </w:pPr>
            <w:r>
              <w:rPr>
                <w:rFonts w:ascii="Times New Roman" w:hAnsi="Times New Roman"/>
                <w:sz w:val="20"/>
              </w:rPr>
              <w:t>0.3293</w:t>
            </w:r>
          </w:p>
        </w:tc>
        <w:tc>
          <w:tcPr>
            <w:tcW w:type="dxa" w:w="1872"/>
            <w:tcMar>
              <w:top w:w="80" w:type="dxa"/>
              <w:bottom w:w="80" w:type="dxa"/>
              <w:left w:w="120" w:type="dxa"/>
              <w:right w:w="120" w:type="dxa"/>
            </w:tcMar>
          </w:tcPr>
          <w:p>
            <w:pPr>
              <w:spacing w:after="40" w:before="40"/>
            </w:pPr>
            <w:r>
              <w:rPr>
                <w:rFonts w:ascii="Times New Roman" w:hAnsi="Times New Roman"/>
                <w:sz w:val="20"/>
              </w:rPr>
              <w:t>0.2356</w:t>
            </w:r>
          </w:p>
        </w:tc>
        <w:tc>
          <w:tcPr>
            <w:tcW w:type="dxa" w:w="1872"/>
            <w:tcMar>
              <w:top w:w="80" w:type="dxa"/>
              <w:bottom w:w="80" w:type="dxa"/>
              <w:left w:w="120" w:type="dxa"/>
              <w:right w:w="120" w:type="dxa"/>
            </w:tcMar>
          </w:tcPr>
          <w:p>
            <w:pPr>
              <w:spacing w:after="40" w:before="40"/>
            </w:pPr>
            <w:r>
              <w:rPr>
                <w:rFonts w:ascii="Times New Roman" w:hAnsi="Times New Roman"/>
                <w:sz w:val="20"/>
              </w:rPr>
              <w:t>24.66%</w:t>
            </w:r>
          </w:p>
        </w:tc>
      </w:tr>
      <w:tr>
        <w:tc>
          <w:tcPr>
            <w:tcW w:type="dxa" w:w="1872"/>
            <w:shd w:fill="F9F9F9"/>
            <w:tcMar>
              <w:top w:w="80" w:type="dxa"/>
              <w:bottom w:w="80" w:type="dxa"/>
              <w:left w:w="120" w:type="dxa"/>
              <w:right w:w="120" w:type="dxa"/>
            </w:tcMar>
          </w:tcPr>
          <w:p>
            <w:pPr>
              <w:spacing w:after="40" w:before="40"/>
            </w:pPr>
            <w:r>
              <w:rPr>
                <w:rFonts w:ascii="Times New Roman" w:hAnsi="Times New Roman"/>
                <w:sz w:val="20"/>
              </w:rPr>
              <w:t>3. XGBoost Regressor</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0.8756 (±0.007)</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0.3350</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0.2429</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25.35%</w:t>
            </w:r>
          </w:p>
        </w:tc>
      </w:tr>
      <w:tr>
        <w:tc>
          <w:tcPr>
            <w:tcW w:type="dxa" w:w="1872"/>
            <w:tcMar>
              <w:top w:w="80" w:type="dxa"/>
              <w:bottom w:w="80" w:type="dxa"/>
              <w:left w:w="120" w:type="dxa"/>
              <w:right w:w="120" w:type="dxa"/>
            </w:tcMar>
          </w:tcPr>
          <w:p>
            <w:pPr>
              <w:spacing w:after="40" w:before="40"/>
            </w:pPr>
            <w:r>
              <w:rPr>
                <w:rFonts w:ascii="Times New Roman" w:hAnsi="Times New Roman"/>
                <w:sz w:val="20"/>
              </w:rPr>
              <w:t>4. Ridge Regression</w:t>
            </w:r>
          </w:p>
        </w:tc>
        <w:tc>
          <w:tcPr>
            <w:tcW w:type="dxa" w:w="1872"/>
            <w:tcMar>
              <w:top w:w="80" w:type="dxa"/>
              <w:bottom w:w="80" w:type="dxa"/>
              <w:left w:w="120" w:type="dxa"/>
              <w:right w:w="120" w:type="dxa"/>
            </w:tcMar>
          </w:tcPr>
          <w:p>
            <w:pPr>
              <w:spacing w:after="40" w:before="40"/>
            </w:pPr>
            <w:r>
              <w:rPr>
                <w:rFonts w:ascii="Times New Roman" w:hAnsi="Times New Roman"/>
                <w:sz w:val="20"/>
              </w:rPr>
              <w:t>0.7715 (±0.003)</w:t>
            </w:r>
          </w:p>
        </w:tc>
        <w:tc>
          <w:tcPr>
            <w:tcW w:type="dxa" w:w="1872"/>
            <w:tcMar>
              <w:top w:w="80" w:type="dxa"/>
              <w:bottom w:w="80" w:type="dxa"/>
              <w:left w:w="120" w:type="dxa"/>
              <w:right w:w="120" w:type="dxa"/>
            </w:tcMar>
          </w:tcPr>
          <w:p>
            <w:pPr>
              <w:spacing w:after="40" w:before="40"/>
            </w:pPr>
            <w:r>
              <w:rPr>
                <w:rFonts w:ascii="Times New Roman" w:hAnsi="Times New Roman"/>
                <w:sz w:val="20"/>
              </w:rPr>
              <w:t>0.4542</w:t>
            </w:r>
          </w:p>
        </w:tc>
        <w:tc>
          <w:tcPr>
            <w:tcW w:type="dxa" w:w="1872"/>
            <w:tcMar>
              <w:top w:w="80" w:type="dxa"/>
              <w:bottom w:w="80" w:type="dxa"/>
              <w:left w:w="120" w:type="dxa"/>
              <w:right w:w="120" w:type="dxa"/>
            </w:tcMar>
          </w:tcPr>
          <w:p>
            <w:pPr>
              <w:spacing w:after="40" w:before="40"/>
            </w:pPr>
            <w:r>
              <w:rPr>
                <w:rFonts w:ascii="Times New Roman" w:hAnsi="Times New Roman"/>
                <w:sz w:val="20"/>
              </w:rPr>
              <w:t>0.3423</w:t>
            </w:r>
          </w:p>
        </w:tc>
        <w:tc>
          <w:tcPr>
            <w:tcW w:type="dxa" w:w="1872"/>
            <w:tcMar>
              <w:top w:w="80" w:type="dxa"/>
              <w:bottom w:w="80" w:type="dxa"/>
              <w:left w:w="120" w:type="dxa"/>
              <w:right w:w="120" w:type="dxa"/>
            </w:tcMar>
          </w:tcPr>
          <w:p>
            <w:pPr>
              <w:spacing w:after="40" w:before="40"/>
            </w:pPr>
            <w:r>
              <w:rPr>
                <w:rFonts w:ascii="Times New Roman" w:hAnsi="Times New Roman"/>
                <w:sz w:val="20"/>
              </w:rPr>
              <w:t>36.34%</w:t>
            </w:r>
          </w:p>
        </w:tc>
      </w:tr>
      <w:tr>
        <w:tc>
          <w:tcPr>
            <w:tcW w:type="dxa" w:w="1872"/>
            <w:shd w:fill="F9F9F9"/>
            <w:tcMar>
              <w:top w:w="80" w:type="dxa"/>
              <w:bottom w:w="80" w:type="dxa"/>
              <w:left w:w="120" w:type="dxa"/>
              <w:right w:w="120" w:type="dxa"/>
            </w:tcMar>
          </w:tcPr>
          <w:p>
            <w:pPr>
              <w:spacing w:after="40" w:before="40"/>
            </w:pPr>
            <w:r>
              <w:rPr>
                <w:rFonts w:ascii="Times New Roman" w:hAnsi="Times New Roman"/>
                <w:sz w:val="20"/>
              </w:rPr>
              <w:t>5. Hedonic OLS (Linear)</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0.7714 (±0.003)</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0.4543</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0.3424</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36.37%</w:t>
            </w:r>
          </w:p>
        </w:tc>
      </w:tr>
      <w:tr>
        <w:tc>
          <w:tcPr>
            <w:tcW w:type="dxa" w:w="1872"/>
            <w:tcMar>
              <w:top w:w="80" w:type="dxa"/>
              <w:bottom w:w="80" w:type="dxa"/>
              <w:left w:w="120" w:type="dxa"/>
              <w:right w:w="120" w:type="dxa"/>
            </w:tcMar>
          </w:tcPr>
          <w:p>
            <w:pPr>
              <w:spacing w:after="40" w:before="40"/>
            </w:pPr>
            <w:r>
              <w:rPr>
                <w:rFonts w:ascii="Times New Roman" w:hAnsi="Times New Roman"/>
                <w:sz w:val="20"/>
              </w:rPr>
              <w:t>6. Lasso Regression</w:t>
            </w:r>
          </w:p>
        </w:tc>
        <w:tc>
          <w:tcPr>
            <w:tcW w:type="dxa" w:w="1872"/>
            <w:tcMar>
              <w:top w:w="80" w:type="dxa"/>
              <w:bottom w:w="80" w:type="dxa"/>
              <w:left w:w="120" w:type="dxa"/>
              <w:right w:w="120" w:type="dxa"/>
            </w:tcMar>
          </w:tcPr>
          <w:p>
            <w:pPr>
              <w:spacing w:after="40" w:before="40"/>
            </w:pPr>
            <w:r>
              <w:rPr>
                <w:rFonts w:ascii="Times New Roman" w:hAnsi="Times New Roman"/>
                <w:sz w:val="20"/>
              </w:rPr>
              <w:t>0.7693 (±0.003)</w:t>
            </w:r>
          </w:p>
        </w:tc>
        <w:tc>
          <w:tcPr>
            <w:tcW w:type="dxa" w:w="1872"/>
            <w:tcMar>
              <w:top w:w="80" w:type="dxa"/>
              <w:bottom w:w="80" w:type="dxa"/>
              <w:left w:w="120" w:type="dxa"/>
              <w:right w:w="120" w:type="dxa"/>
            </w:tcMar>
          </w:tcPr>
          <w:p>
            <w:pPr>
              <w:spacing w:after="40" w:before="40"/>
            </w:pPr>
            <w:r>
              <w:rPr>
                <w:rFonts w:ascii="Times New Roman" w:hAnsi="Times New Roman"/>
                <w:sz w:val="20"/>
              </w:rPr>
              <w:t>0.4564</w:t>
            </w:r>
          </w:p>
        </w:tc>
        <w:tc>
          <w:tcPr>
            <w:tcW w:type="dxa" w:w="1872"/>
            <w:tcMar>
              <w:top w:w="80" w:type="dxa"/>
              <w:bottom w:w="80" w:type="dxa"/>
              <w:left w:w="120" w:type="dxa"/>
              <w:right w:w="120" w:type="dxa"/>
            </w:tcMar>
          </w:tcPr>
          <w:p>
            <w:pPr>
              <w:spacing w:after="40" w:before="40"/>
            </w:pPr>
            <w:r>
              <w:rPr>
                <w:rFonts w:ascii="Times New Roman" w:hAnsi="Times New Roman"/>
                <w:sz w:val="20"/>
              </w:rPr>
              <w:t>0.3436</w:t>
            </w:r>
          </w:p>
        </w:tc>
        <w:tc>
          <w:tcPr>
            <w:tcW w:type="dxa" w:w="1872"/>
            <w:tcMar>
              <w:top w:w="80" w:type="dxa"/>
              <w:bottom w:w="80" w:type="dxa"/>
              <w:left w:w="120" w:type="dxa"/>
              <w:right w:w="120" w:type="dxa"/>
            </w:tcMar>
          </w:tcPr>
          <w:p>
            <w:pPr>
              <w:spacing w:after="40" w:before="40"/>
            </w:pPr>
            <w:r>
              <w:rPr>
                <w:rFonts w:ascii="Times New Roman" w:hAnsi="Times New Roman"/>
                <w:sz w:val="20"/>
              </w:rPr>
              <w:t>36.50%</w:t>
            </w:r>
          </w:p>
        </w:tc>
      </w:tr>
    </w:tbl>
    <w:p/>
    <w:p>
      <w:r>
        <w:t xml:space="preserve">The empirical results provide unequivocal support for </w:t>
      </w:r>
      <w:r>
        <w:rPr>
          <w:b/>
        </w:rPr>
        <w:t>$H_1$</w:t>
      </w:r>
      <w:r>
        <w:t>:</w:t>
      </w:r>
    </w:p>
    <w:p>
      <w:r>
        <w:rPr>
          <w:i/>
        </w:rPr>
        <w:t xml:space="preserve"> Ensemble tree algorithms achieve superior explanatory power, with </w:t>
      </w:r>
      <w:r>
        <w:rPr>
          <w:i/>
        </w:rPr>
        <w:t>Random Forest ($R^2 = 0.8807$)</w:t>
      </w:r>
      <w:r>
        <w:rPr>
          <w:i/>
        </w:rPr>
        <w:t xml:space="preserve"> and </w:t>
      </w:r>
      <w:r>
        <w:rPr>
          <w:i/>
        </w:rPr>
        <w:t>LightGBM ($R^2 = 0.8799$)</w:t>
      </w:r>
      <w:r>
        <w:t>* explaining over $88\%$ of room rate variation.</w:t>
      </w:r>
    </w:p>
    <w:p>
      <w:r>
        <w:rPr>
          <w:i/>
        </w:rPr>
        <w:t xml:space="preserve"> Compared to classical Hedonic OLS ($R^2 = 0.7714$), tree ensembles deliver a </w:t>
      </w:r>
      <w:r>
        <w:rPr>
          <w:i/>
        </w:rPr>
        <w:t>$+10.93$ percentage point increase in $R^2$</w:t>
      </w:r>
      <w:r>
        <w:t>* while reducing Root Mean Squared Error from $0.4543$ to $0.3282$.</w:t>
      </w:r>
    </w:p>
    <w:p>
      <w:r>
        <w:rPr>
          <w:i/>
        </w:rPr>
        <w:t xml:space="preserve"> Most critically for managerial practice, ensemble models slash Mean Absolute Percentage Error (MAPE) from </w:t>
      </w:r>
      <w:r>
        <w:rPr>
          <w:i/>
        </w:rPr>
        <w:t>$36.37\%$ to $23.74\%$</w:t>
      </w:r>
      <w:r>
        <w:t>*, representing a $34.7\%$ reduction in monetary pricing error.</w:t>
      </w:r>
    </w:p>
    <w:p>
      <w:pPr>
        <w:keepNext/>
        <w:spacing w:before="240" w:after="80"/>
      </w:pPr>
      <w:r>
        <w:rPr>
          <w:rFonts w:ascii="Times New Roman" w:hAnsi="Times New Roman"/>
          <w:b/>
          <w:i/>
          <w:color w:val="222222"/>
          <w:sz w:val="25"/>
        </w:rPr>
        <w:t>4.3 Tree-SHAP Attribution &amp; Reputation Dominance (Validation of $H_2$)</w:t>
      </w:r>
    </w:p>
    <w:p>
      <w:r>
        <w:t>Table 3 details the global feature importance rankings derived via Tree-SHAP, representing the mean absolute impact of each variable on predicted log price: $I_j = \frac{1}{n} \sum_{i=1}^n |\phi_j(x_i)|$.</w:t>
      </w:r>
    </w:p>
    <w:p>
      <w:r>
        <w:rPr>
          <w:b/>
        </w:rPr>
        <w:t>Table 3: Global Tree-SHAP Feature Importance Rankings (Top 15 Predictors)</w:t>
      </w:r>
    </w:p>
    <w:p/>
    <w:p>
      <w:pPr>
        <w:jc w:val="center"/>
      </w:pPr>
      <w:r>
        <w:drawing>
          <wp:inline xmlns:a="http://schemas.openxmlformats.org/drawingml/2006/main" xmlns:pic="http://schemas.openxmlformats.org/drawingml/2006/picture">
            <wp:extent cx="5486400" cy="4251556"/>
            <wp:docPr id="2" name="Picture 2"/>
            <wp:cNvGraphicFramePr>
              <a:graphicFrameLocks noChangeAspect="1"/>
            </wp:cNvGraphicFramePr>
            <a:graphic>
              <a:graphicData uri="http://schemas.openxmlformats.org/drawingml/2006/picture">
                <pic:pic>
                  <pic:nvPicPr>
                    <pic:cNvPr id="0" name="fig2_shap_beeswarm.png"/>
                    <pic:cNvPicPr/>
                  </pic:nvPicPr>
                  <pic:blipFill>
                    <a:blip r:embed="rId10"/>
                    <a:stretch>
                      <a:fillRect/>
                    </a:stretch>
                  </pic:blipFill>
                  <pic:spPr>
                    <a:xfrm>
                      <a:off x="0" y="0"/>
                      <a:ext cx="5486400" cy="4251556"/>
                    </a:xfrm>
                    <a:prstGeom prst="rect"/>
                  </pic:spPr>
                </pic:pic>
              </a:graphicData>
            </a:graphic>
          </wp:inline>
        </w:drawing>
      </w:r>
    </w:p>
    <w:p>
      <w:pPr>
        <w:jc w:val="center"/>
      </w:pPr>
      <w:r>
        <w:rPr>
          <w:i/>
          <w:sz w:val="20"/>
        </w:rPr>
        <w:t>Figure 2: Global Tree-SHAP Summary Beeswarm Plot (Marginal Impact on ln(Price)).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EAEAEA"/>
            <w:tcMar>
              <w:top w:w="80" w:type="dxa"/>
              <w:bottom w:w="80" w:type="dxa"/>
              <w:left w:w="120" w:type="dxa"/>
              <w:right w:w="120" w:type="dxa"/>
            </w:tcMar>
          </w:tcPr>
          <w:p>
            <w:pPr>
              <w:spacing w:after="40" w:before="40"/>
            </w:pPr>
            <w:r>
              <w:rPr>
                <w:rFonts w:ascii="Times New Roman" w:hAnsi="Times New Roman"/>
                <w:b/>
                <w:sz w:val="20"/>
              </w:rPr>
              <w:t>Rank</w:t>
            </w:r>
          </w:p>
        </w:tc>
        <w:tc>
          <w:tcPr>
            <w:tcW w:type="dxa" w:w="2340"/>
            <w:shd w:fill="EAEAEA"/>
            <w:tcMar>
              <w:top w:w="80" w:type="dxa"/>
              <w:bottom w:w="80" w:type="dxa"/>
              <w:left w:w="120" w:type="dxa"/>
              <w:right w:w="120" w:type="dxa"/>
            </w:tcMar>
          </w:tcPr>
          <w:p>
            <w:pPr>
              <w:spacing w:after="40" w:before="40"/>
            </w:pPr>
            <w:r>
              <w:rPr>
                <w:rFonts w:ascii="Times New Roman" w:hAnsi="Times New Roman"/>
                <w:b/>
                <w:sz w:val="20"/>
              </w:rPr>
              <w:t>Feature Name</w:t>
            </w:r>
          </w:p>
        </w:tc>
        <w:tc>
          <w:tcPr>
            <w:tcW w:type="dxa" w:w="2340"/>
            <w:shd w:fill="EAEAEA"/>
            <w:tcMar>
              <w:top w:w="80" w:type="dxa"/>
              <w:bottom w:w="80" w:type="dxa"/>
              <w:left w:w="120" w:type="dxa"/>
              <w:right w:w="120" w:type="dxa"/>
            </w:tcMar>
          </w:tcPr>
          <w:p>
            <w:pPr>
              <w:spacing w:after="40" w:before="40"/>
            </w:pPr>
            <w:r>
              <w:rPr>
                <w:rFonts w:ascii="Times New Roman" w:hAnsi="Times New Roman"/>
                <w:b/>
                <w:sz w:val="20"/>
              </w:rPr>
              <w:t>Mean Absolute SHAP</w:t>
            </w:r>
          </w:p>
        </w:tc>
        <w:tc>
          <w:tcPr>
            <w:tcW w:type="dxa" w:w="2340"/>
            <w:shd w:fill="EAEAEA"/>
            <w:tcMar>
              <w:top w:w="80" w:type="dxa"/>
              <w:bottom w:w="80" w:type="dxa"/>
              <w:left w:w="120" w:type="dxa"/>
              <w:right w:w="120" w:type="dxa"/>
            </w:tcMar>
          </w:tcPr>
          <w:p>
            <w:pPr>
              <w:spacing w:after="40" w:before="40"/>
            </w:pPr>
            <w:r>
              <w:rPr>
                <w:rFonts w:ascii="Times New Roman" w:hAnsi="Times New Roman"/>
                <w:b/>
                <w:sz w:val="20"/>
              </w:rPr>
              <w:t>Theoretical Domain</w:t>
            </w:r>
          </w:p>
        </w:tc>
      </w:tr>
      <w:tr>
        <w:tc>
          <w:tcPr>
            <w:tcW w:type="dxa" w:w="2340"/>
            <w:shd w:fill="F9F9F9"/>
            <w:tcMar>
              <w:top w:w="80" w:type="dxa"/>
              <w:bottom w:w="80" w:type="dxa"/>
              <w:left w:w="120" w:type="dxa"/>
              <w:right w:w="120" w:type="dxa"/>
            </w:tcMar>
          </w:tcPr>
          <w:p>
            <w:pPr>
              <w:spacing w:after="40" w:before="40"/>
            </w:pPr>
            <w:r>
              <w:rPr>
                <w:rFonts w:ascii="Times New Roman" w:hAnsi="Times New Roman"/>
                <w:sz w:val="20"/>
              </w:rPr>
              <w:t>1</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taxes_and_charges</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0.2230</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Mandatory Municipal Pass-Through</w:t>
            </w:r>
          </w:p>
        </w:tc>
      </w:tr>
      <w:tr>
        <w:tc>
          <w:tcPr>
            <w:tcW w:type="dxa" w:w="2340"/>
            <w:tcMar>
              <w:top w:w="80" w:type="dxa"/>
              <w:bottom w:w="80" w:type="dxa"/>
              <w:left w:w="120" w:type="dxa"/>
              <w:right w:w="120" w:type="dxa"/>
            </w:tcMar>
          </w:tcPr>
          <w:p>
            <w:pPr>
              <w:spacing w:after="40" w:before="40"/>
            </w:pPr>
            <w:r>
              <w:rPr>
                <w:rFonts w:ascii="Times New Roman" w:hAnsi="Times New Roman"/>
                <w:sz w:val="20"/>
              </w:rPr>
              <w:t>2</w:t>
            </w:r>
          </w:p>
        </w:tc>
        <w:tc>
          <w:tcPr>
            <w:tcW w:type="dxa" w:w="2340"/>
            <w:tcMar>
              <w:top w:w="80" w:type="dxa"/>
              <w:bottom w:w="80" w:type="dxa"/>
              <w:left w:w="120" w:type="dxa"/>
              <w:right w:w="120" w:type="dxa"/>
            </w:tcMar>
          </w:tcPr>
          <w:p>
            <w:pPr>
              <w:spacing w:after="40" w:before="40"/>
            </w:pPr>
            <w:r>
              <w:rPr>
                <w:rFonts w:ascii="Times New Roman" w:hAnsi="Times New Roman"/>
                <w:sz w:val="20"/>
              </w:rPr>
              <w:t>review_count</w:t>
            </w:r>
          </w:p>
        </w:tc>
        <w:tc>
          <w:tcPr>
            <w:tcW w:type="dxa" w:w="2340"/>
            <w:tcMar>
              <w:top w:w="80" w:type="dxa"/>
              <w:bottom w:w="80" w:type="dxa"/>
              <w:left w:w="120" w:type="dxa"/>
              <w:right w:w="120" w:type="dxa"/>
            </w:tcMar>
          </w:tcPr>
          <w:p>
            <w:pPr>
              <w:spacing w:after="40" w:before="40"/>
            </w:pPr>
            <w:r>
              <w:rPr>
                <w:rFonts w:ascii="Times New Roman" w:hAnsi="Times New Roman"/>
                <w:sz w:val="20"/>
              </w:rPr>
              <w:t>0.1998</w:t>
            </w:r>
          </w:p>
        </w:tc>
        <w:tc>
          <w:tcPr>
            <w:tcW w:type="dxa" w:w="2340"/>
            <w:tcMar>
              <w:top w:w="80" w:type="dxa"/>
              <w:bottom w:w="80" w:type="dxa"/>
              <w:left w:w="120" w:type="dxa"/>
              <w:right w:w="120" w:type="dxa"/>
            </w:tcMar>
          </w:tcPr>
          <w:p>
            <w:pPr>
              <w:spacing w:after="40" w:before="40"/>
            </w:pPr>
            <w:r>
              <w:rPr>
                <w:rFonts w:ascii="Times New Roman" w:hAnsi="Times New Roman"/>
                <w:sz w:val="20"/>
              </w:rPr>
              <w:t>Consumer Trust &amp; Popularity Proxy</w:t>
            </w:r>
          </w:p>
        </w:tc>
      </w:tr>
      <w:tr>
        <w:tc>
          <w:tcPr>
            <w:tcW w:type="dxa" w:w="2340"/>
            <w:shd w:fill="F9F9F9"/>
            <w:tcMar>
              <w:top w:w="80" w:type="dxa"/>
              <w:bottom w:w="80" w:type="dxa"/>
              <w:left w:w="120" w:type="dxa"/>
              <w:right w:w="120" w:type="dxa"/>
            </w:tcMar>
          </w:tcPr>
          <w:p>
            <w:pPr>
              <w:spacing w:after="40" w:before="40"/>
            </w:pPr>
            <w:r>
              <w:rPr>
                <w:rFonts w:ascii="Times New Roman" w:hAnsi="Times New Roman"/>
                <w:sz w:val="20"/>
              </w:rPr>
              <w:t>3</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review_score_overall</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0.1478</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Reputation Quality Premium</w:t>
            </w:r>
          </w:p>
        </w:tc>
      </w:tr>
      <w:tr>
        <w:tc>
          <w:tcPr>
            <w:tcW w:type="dxa" w:w="2340"/>
            <w:tcMar>
              <w:top w:w="80" w:type="dxa"/>
              <w:bottom w:w="80" w:type="dxa"/>
              <w:left w:w="120" w:type="dxa"/>
              <w:right w:w="120" w:type="dxa"/>
            </w:tcMar>
          </w:tcPr>
          <w:p>
            <w:pPr>
              <w:spacing w:after="40" w:before="40"/>
            </w:pPr>
            <w:r>
              <w:rPr>
                <w:rFonts w:ascii="Times New Roman" w:hAnsi="Times New Roman"/>
                <w:sz w:val="20"/>
              </w:rPr>
              <w:t>4</w:t>
            </w:r>
          </w:p>
        </w:tc>
        <w:tc>
          <w:tcPr>
            <w:tcW w:type="dxa" w:w="2340"/>
            <w:tcMar>
              <w:top w:w="80" w:type="dxa"/>
              <w:bottom w:w="80" w:type="dxa"/>
              <w:left w:w="120" w:type="dxa"/>
              <w:right w:w="120" w:type="dxa"/>
            </w:tcMar>
          </w:tcPr>
          <w:p>
            <w:pPr>
              <w:spacing w:after="40" w:before="40"/>
            </w:pPr>
            <w:r>
              <w:rPr>
                <w:rFonts w:ascii="Times New Roman" w:hAnsi="Times New Roman"/>
                <w:sz w:val="20"/>
              </w:rPr>
              <w:t>star_rating</w:t>
            </w:r>
          </w:p>
        </w:tc>
        <w:tc>
          <w:tcPr>
            <w:tcW w:type="dxa" w:w="2340"/>
            <w:tcMar>
              <w:top w:w="80" w:type="dxa"/>
              <w:bottom w:w="80" w:type="dxa"/>
              <w:left w:w="120" w:type="dxa"/>
              <w:right w:w="120" w:type="dxa"/>
            </w:tcMar>
          </w:tcPr>
          <w:p>
            <w:pPr>
              <w:spacing w:after="40" w:before="40"/>
            </w:pPr>
            <w:r>
              <w:rPr>
                <w:rFonts w:ascii="Times New Roman" w:hAnsi="Times New Roman"/>
                <w:sz w:val="20"/>
              </w:rPr>
              <w:t>0.1257</w:t>
            </w:r>
          </w:p>
        </w:tc>
        <w:tc>
          <w:tcPr>
            <w:tcW w:type="dxa" w:w="2340"/>
            <w:tcMar>
              <w:top w:w="80" w:type="dxa"/>
              <w:bottom w:w="80" w:type="dxa"/>
              <w:left w:w="120" w:type="dxa"/>
              <w:right w:w="120" w:type="dxa"/>
            </w:tcMar>
          </w:tcPr>
          <w:p>
            <w:pPr>
              <w:spacing w:after="40" w:before="40"/>
            </w:pPr>
            <w:r>
              <w:rPr>
                <w:rFonts w:ascii="Times New Roman" w:hAnsi="Times New Roman"/>
                <w:sz w:val="20"/>
              </w:rPr>
              <w:t>Structural Quality Classification</w:t>
            </w:r>
          </w:p>
        </w:tc>
      </w:tr>
      <w:tr>
        <w:tc>
          <w:tcPr>
            <w:tcW w:type="dxa" w:w="2340"/>
            <w:shd w:fill="F9F9F9"/>
            <w:tcMar>
              <w:top w:w="80" w:type="dxa"/>
              <w:bottom w:w="80" w:type="dxa"/>
              <w:left w:w="120" w:type="dxa"/>
              <w:right w:w="120" w:type="dxa"/>
            </w:tcMar>
          </w:tcPr>
          <w:p>
            <w:pPr>
              <w:spacing w:after="40" w:before="40"/>
            </w:pPr>
            <w:r>
              <w:rPr>
                <w:rFonts w:ascii="Times New Roman" w:hAnsi="Times New Roman"/>
                <w:sz w:val="20"/>
              </w:rPr>
              <w:t>5</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distance_to_center_km</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0.0631</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Monocentric Spatial Rent Gradient</w:t>
            </w:r>
          </w:p>
        </w:tc>
      </w:tr>
      <w:tr>
        <w:tc>
          <w:tcPr>
            <w:tcW w:type="dxa" w:w="2340"/>
            <w:tcMar>
              <w:top w:w="80" w:type="dxa"/>
              <w:bottom w:w="80" w:type="dxa"/>
              <w:left w:w="120" w:type="dxa"/>
              <w:right w:w="120" w:type="dxa"/>
            </w:tcMar>
          </w:tcPr>
          <w:p>
            <w:pPr>
              <w:spacing w:after="40" w:before="40"/>
            </w:pPr>
            <w:r>
              <w:rPr>
                <w:rFonts w:ascii="Times New Roman" w:hAnsi="Times New Roman"/>
                <w:sz w:val="20"/>
              </w:rPr>
              <w:t>6</w:t>
            </w:r>
          </w:p>
        </w:tc>
        <w:tc>
          <w:tcPr>
            <w:tcW w:type="dxa" w:w="2340"/>
            <w:tcMar>
              <w:top w:w="80" w:type="dxa"/>
              <w:bottom w:w="80" w:type="dxa"/>
              <w:left w:w="120" w:type="dxa"/>
              <w:right w:w="120" w:type="dxa"/>
            </w:tcMar>
          </w:tcPr>
          <w:p>
            <w:pPr>
              <w:spacing w:after="40" w:before="40"/>
            </w:pPr>
            <w:r>
              <w:rPr>
                <w:rFonts w:ascii="Times New Roman" w:hAnsi="Times New Roman"/>
                <w:sz w:val="20"/>
              </w:rPr>
              <w:t>city_Bangkok</w:t>
            </w:r>
          </w:p>
        </w:tc>
        <w:tc>
          <w:tcPr>
            <w:tcW w:type="dxa" w:w="2340"/>
            <w:tcMar>
              <w:top w:w="80" w:type="dxa"/>
              <w:bottom w:w="80" w:type="dxa"/>
              <w:left w:w="120" w:type="dxa"/>
              <w:right w:w="120" w:type="dxa"/>
            </w:tcMar>
          </w:tcPr>
          <w:p>
            <w:pPr>
              <w:spacing w:after="40" w:before="40"/>
            </w:pPr>
            <w:r>
              <w:rPr>
                <w:rFonts w:ascii="Times New Roman" w:hAnsi="Times New Roman"/>
                <w:sz w:val="20"/>
              </w:rPr>
              <w:t>0.0538</w:t>
            </w:r>
          </w:p>
        </w:tc>
        <w:tc>
          <w:tcPr>
            <w:tcW w:type="dxa" w:w="2340"/>
            <w:tcMar>
              <w:top w:w="80" w:type="dxa"/>
              <w:bottom w:w="80" w:type="dxa"/>
              <w:left w:w="120" w:type="dxa"/>
              <w:right w:w="120" w:type="dxa"/>
            </w:tcMar>
          </w:tcPr>
          <w:p>
            <w:pPr>
              <w:spacing w:after="40" w:before="40"/>
            </w:pPr>
            <w:r>
              <w:rPr>
                <w:rFonts w:ascii="Times New Roman" w:hAnsi="Times New Roman"/>
                <w:sz w:val="20"/>
              </w:rPr>
              <w:t>Regional Price Baseline Discount</w:t>
            </w:r>
          </w:p>
        </w:tc>
      </w:tr>
      <w:tr>
        <w:tc>
          <w:tcPr>
            <w:tcW w:type="dxa" w:w="2340"/>
            <w:shd w:fill="F9F9F9"/>
            <w:tcMar>
              <w:top w:w="80" w:type="dxa"/>
              <w:bottom w:w="80" w:type="dxa"/>
              <w:left w:w="120" w:type="dxa"/>
              <w:right w:w="120" w:type="dxa"/>
            </w:tcMar>
          </w:tcPr>
          <w:p>
            <w:pPr>
              <w:spacing w:after="40" w:before="40"/>
            </w:pPr>
            <w:r>
              <w:rPr>
                <w:rFonts w:ascii="Times New Roman" w:hAnsi="Times New Roman"/>
                <w:sz w:val="20"/>
              </w:rPr>
              <w:t>7</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city_Kuala_Lumpur</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0.0443</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Regional Price Baseline Adjustment</w:t>
            </w:r>
          </w:p>
        </w:tc>
      </w:tr>
      <w:tr>
        <w:tc>
          <w:tcPr>
            <w:tcW w:type="dxa" w:w="2340"/>
            <w:tcMar>
              <w:top w:w="80" w:type="dxa"/>
              <w:bottom w:w="80" w:type="dxa"/>
              <w:left w:w="120" w:type="dxa"/>
              <w:right w:w="120" w:type="dxa"/>
            </w:tcMar>
          </w:tcPr>
          <w:p>
            <w:pPr>
              <w:spacing w:after="40" w:before="40"/>
            </w:pPr>
            <w:r>
              <w:rPr>
                <w:rFonts w:ascii="Times New Roman" w:hAnsi="Times New Roman"/>
                <w:sz w:val="20"/>
              </w:rPr>
              <w:t>8</w:t>
            </w:r>
          </w:p>
        </w:tc>
        <w:tc>
          <w:tcPr>
            <w:tcW w:type="dxa" w:w="2340"/>
            <w:tcMar>
              <w:top w:w="80" w:type="dxa"/>
              <w:bottom w:w="80" w:type="dxa"/>
              <w:left w:w="120" w:type="dxa"/>
              <w:right w:w="120" w:type="dxa"/>
            </w:tcMar>
          </w:tcPr>
          <w:p>
            <w:pPr>
              <w:spacing w:after="40" w:before="40"/>
            </w:pPr>
            <w:r>
              <w:rPr>
                <w:rFonts w:ascii="Times New Roman" w:hAnsi="Times New Roman"/>
                <w:sz w:val="20"/>
              </w:rPr>
              <w:t>city_Phuket</w:t>
            </w:r>
          </w:p>
        </w:tc>
        <w:tc>
          <w:tcPr>
            <w:tcW w:type="dxa" w:w="2340"/>
            <w:tcMar>
              <w:top w:w="80" w:type="dxa"/>
              <w:bottom w:w="80" w:type="dxa"/>
              <w:left w:w="120" w:type="dxa"/>
              <w:right w:w="120" w:type="dxa"/>
            </w:tcMar>
          </w:tcPr>
          <w:p>
            <w:pPr>
              <w:spacing w:after="40" w:before="40"/>
            </w:pPr>
            <w:r>
              <w:rPr>
                <w:rFonts w:ascii="Times New Roman" w:hAnsi="Times New Roman"/>
                <w:sz w:val="20"/>
              </w:rPr>
              <w:t>0.0415</w:t>
            </w:r>
          </w:p>
        </w:tc>
        <w:tc>
          <w:tcPr>
            <w:tcW w:type="dxa" w:w="2340"/>
            <w:tcMar>
              <w:top w:w="80" w:type="dxa"/>
              <w:bottom w:w="80" w:type="dxa"/>
              <w:left w:w="120" w:type="dxa"/>
              <w:right w:w="120" w:type="dxa"/>
            </w:tcMar>
          </w:tcPr>
          <w:p>
            <w:pPr>
              <w:spacing w:after="40" w:before="40"/>
            </w:pPr>
            <w:r>
              <w:rPr>
                <w:rFonts w:ascii="Times New Roman" w:hAnsi="Times New Roman"/>
                <w:sz w:val="20"/>
              </w:rPr>
              <w:t>Island Resort Premium</w:t>
            </w:r>
          </w:p>
        </w:tc>
      </w:tr>
      <w:tr>
        <w:tc>
          <w:tcPr>
            <w:tcW w:type="dxa" w:w="2340"/>
            <w:shd w:fill="F9F9F9"/>
            <w:tcMar>
              <w:top w:w="80" w:type="dxa"/>
              <w:bottom w:w="80" w:type="dxa"/>
              <w:left w:w="120" w:type="dxa"/>
              <w:right w:w="120" w:type="dxa"/>
            </w:tcMar>
          </w:tcPr>
          <w:p>
            <w:pPr>
              <w:spacing w:after="40" w:before="40"/>
            </w:pPr>
            <w:r>
              <w:rPr>
                <w:rFonts w:ascii="Times New Roman" w:hAnsi="Times New Roman"/>
                <w:sz w:val="20"/>
              </w:rPr>
              <w:t>9</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city_Bali</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0.0348</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Leisure Villa &amp; Resort Demand</w:t>
            </w:r>
          </w:p>
        </w:tc>
      </w:tr>
      <w:tr>
        <w:tc>
          <w:tcPr>
            <w:tcW w:type="dxa" w:w="2340"/>
            <w:tcMar>
              <w:top w:w="80" w:type="dxa"/>
              <w:bottom w:w="80" w:type="dxa"/>
              <w:left w:w="120" w:type="dxa"/>
              <w:right w:w="120" w:type="dxa"/>
            </w:tcMar>
          </w:tcPr>
          <w:p>
            <w:pPr>
              <w:spacing w:after="40" w:before="40"/>
            </w:pPr>
            <w:r>
              <w:rPr>
                <w:rFonts w:ascii="Times New Roman" w:hAnsi="Times New Roman"/>
                <w:sz w:val="20"/>
              </w:rPr>
              <w:t>10</w:t>
            </w:r>
          </w:p>
        </w:tc>
        <w:tc>
          <w:tcPr>
            <w:tcW w:type="dxa" w:w="2340"/>
            <w:tcMar>
              <w:top w:w="80" w:type="dxa"/>
              <w:bottom w:w="80" w:type="dxa"/>
              <w:left w:w="120" w:type="dxa"/>
              <w:right w:w="120" w:type="dxa"/>
            </w:tcMar>
          </w:tcPr>
          <w:p>
            <w:pPr>
              <w:spacing w:after="40" w:before="40"/>
            </w:pPr>
            <w:r>
              <w:rPr>
                <w:rFonts w:ascii="Times New Roman" w:hAnsi="Times New Roman"/>
                <w:sz w:val="20"/>
              </w:rPr>
              <w:t>city_London</w:t>
            </w:r>
          </w:p>
        </w:tc>
        <w:tc>
          <w:tcPr>
            <w:tcW w:type="dxa" w:w="2340"/>
            <w:tcMar>
              <w:top w:w="80" w:type="dxa"/>
              <w:bottom w:w="80" w:type="dxa"/>
              <w:left w:w="120" w:type="dxa"/>
              <w:right w:w="120" w:type="dxa"/>
            </w:tcMar>
          </w:tcPr>
          <w:p>
            <w:pPr>
              <w:spacing w:after="40" w:before="40"/>
            </w:pPr>
            <w:r>
              <w:rPr>
                <w:rFonts w:ascii="Times New Roman" w:hAnsi="Times New Roman"/>
                <w:sz w:val="20"/>
              </w:rPr>
              <w:t>0.0313</w:t>
            </w:r>
          </w:p>
        </w:tc>
        <w:tc>
          <w:tcPr>
            <w:tcW w:type="dxa" w:w="2340"/>
            <w:tcMar>
              <w:top w:w="80" w:type="dxa"/>
              <w:bottom w:w="80" w:type="dxa"/>
              <w:left w:w="120" w:type="dxa"/>
              <w:right w:w="120" w:type="dxa"/>
            </w:tcMar>
          </w:tcPr>
          <w:p>
            <w:pPr>
              <w:spacing w:after="40" w:before="40"/>
            </w:pPr>
            <w:r>
              <w:rPr>
                <w:rFonts w:ascii="Times New Roman" w:hAnsi="Times New Roman"/>
                <w:sz w:val="20"/>
              </w:rPr>
              <w:t>High-Density Metropolitan Premium</w:t>
            </w:r>
          </w:p>
        </w:tc>
      </w:tr>
      <w:tr>
        <w:tc>
          <w:tcPr>
            <w:tcW w:type="dxa" w:w="2340"/>
            <w:shd w:fill="F9F9F9"/>
            <w:tcMar>
              <w:top w:w="80" w:type="dxa"/>
              <w:bottom w:w="80" w:type="dxa"/>
              <w:left w:w="120" w:type="dxa"/>
              <w:right w:w="120" w:type="dxa"/>
            </w:tcMar>
          </w:tcPr>
          <w:p>
            <w:pPr>
              <w:spacing w:after="40" w:before="40"/>
            </w:pPr>
            <w:r>
              <w:rPr>
                <w:rFonts w:ascii="Times New Roman" w:hAnsi="Times New Roman"/>
                <w:sz w:val="20"/>
              </w:rPr>
              <w:t>11</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city_Sydney</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0.0284</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Pacific Gateway Metropole Premium</w:t>
            </w:r>
          </w:p>
        </w:tc>
      </w:tr>
      <w:tr>
        <w:tc>
          <w:tcPr>
            <w:tcW w:type="dxa" w:w="2340"/>
            <w:tcMar>
              <w:top w:w="80" w:type="dxa"/>
              <w:bottom w:w="80" w:type="dxa"/>
              <w:left w:w="120" w:type="dxa"/>
              <w:right w:w="120" w:type="dxa"/>
            </w:tcMar>
          </w:tcPr>
          <w:p>
            <w:pPr>
              <w:spacing w:after="40" w:before="40"/>
            </w:pPr>
            <w:r>
              <w:rPr>
                <w:rFonts w:ascii="Times New Roman" w:hAnsi="Times New Roman"/>
                <w:sz w:val="20"/>
              </w:rPr>
              <w:t>12</w:t>
            </w:r>
          </w:p>
        </w:tc>
        <w:tc>
          <w:tcPr>
            <w:tcW w:type="dxa" w:w="2340"/>
            <w:tcMar>
              <w:top w:w="80" w:type="dxa"/>
              <w:bottom w:w="80" w:type="dxa"/>
              <w:left w:w="120" w:type="dxa"/>
              <w:right w:w="120" w:type="dxa"/>
            </w:tcMar>
          </w:tcPr>
          <w:p>
            <w:pPr>
              <w:spacing w:after="40" w:before="40"/>
            </w:pPr>
            <w:r>
              <w:rPr>
                <w:rFonts w:ascii="Times New Roman" w:hAnsi="Times New Roman"/>
                <w:sz w:val="20"/>
              </w:rPr>
              <w:t>city_Sylhet</w:t>
            </w:r>
          </w:p>
        </w:tc>
        <w:tc>
          <w:tcPr>
            <w:tcW w:type="dxa" w:w="2340"/>
            <w:tcMar>
              <w:top w:w="80" w:type="dxa"/>
              <w:bottom w:w="80" w:type="dxa"/>
              <w:left w:w="120" w:type="dxa"/>
              <w:right w:w="120" w:type="dxa"/>
            </w:tcMar>
          </w:tcPr>
          <w:p>
            <w:pPr>
              <w:spacing w:after="40" w:before="40"/>
            </w:pPr>
            <w:r>
              <w:rPr>
                <w:rFonts w:ascii="Times New Roman" w:hAnsi="Times New Roman"/>
                <w:sz w:val="20"/>
              </w:rPr>
              <w:t>0.0270</w:t>
            </w:r>
          </w:p>
        </w:tc>
        <w:tc>
          <w:tcPr>
            <w:tcW w:type="dxa" w:w="2340"/>
            <w:tcMar>
              <w:top w:w="80" w:type="dxa"/>
              <w:bottom w:w="80" w:type="dxa"/>
              <w:left w:w="120" w:type="dxa"/>
              <w:right w:w="120" w:type="dxa"/>
            </w:tcMar>
          </w:tcPr>
          <w:p>
            <w:pPr>
              <w:spacing w:after="40" w:before="40"/>
            </w:pPr>
            <w:r>
              <w:rPr>
                <w:rFonts w:ascii="Times New Roman" w:hAnsi="Times New Roman"/>
                <w:sz w:val="20"/>
              </w:rPr>
              <w:t>South Asian Regional Market</w:t>
            </w:r>
          </w:p>
        </w:tc>
      </w:tr>
      <w:tr>
        <w:tc>
          <w:tcPr>
            <w:tcW w:type="dxa" w:w="2340"/>
            <w:shd w:fill="F9F9F9"/>
            <w:tcMar>
              <w:top w:w="80" w:type="dxa"/>
              <w:bottom w:w="80" w:type="dxa"/>
              <w:left w:w="120" w:type="dxa"/>
              <w:right w:w="120" w:type="dxa"/>
            </w:tcMar>
          </w:tcPr>
          <w:p>
            <w:pPr>
              <w:spacing w:after="40" w:before="40"/>
            </w:pPr>
            <w:r>
              <w:rPr>
                <w:rFonts w:ascii="Times New Roman" w:hAnsi="Times New Roman"/>
                <w:sz w:val="20"/>
              </w:rPr>
              <w:t>13</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city_Dhaka</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0.0249</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South Asian National Capital</w:t>
            </w:r>
          </w:p>
        </w:tc>
      </w:tr>
      <w:tr>
        <w:tc>
          <w:tcPr>
            <w:tcW w:type="dxa" w:w="2340"/>
            <w:tcMar>
              <w:top w:w="80" w:type="dxa"/>
              <w:bottom w:w="80" w:type="dxa"/>
              <w:left w:w="120" w:type="dxa"/>
              <w:right w:w="120" w:type="dxa"/>
            </w:tcMar>
          </w:tcPr>
          <w:p>
            <w:pPr>
              <w:spacing w:after="40" w:before="40"/>
            </w:pPr>
            <w:r>
              <w:rPr>
                <w:rFonts w:ascii="Times New Roman" w:hAnsi="Times New Roman"/>
                <w:sz w:val="20"/>
              </w:rPr>
              <w:t>14</w:t>
            </w:r>
          </w:p>
        </w:tc>
        <w:tc>
          <w:tcPr>
            <w:tcW w:type="dxa" w:w="2340"/>
            <w:tcMar>
              <w:top w:w="80" w:type="dxa"/>
              <w:bottom w:w="80" w:type="dxa"/>
              <w:left w:w="120" w:type="dxa"/>
              <w:right w:w="120" w:type="dxa"/>
            </w:tcMar>
          </w:tcPr>
          <w:p>
            <w:pPr>
              <w:spacing w:after="40" w:before="40"/>
            </w:pPr>
            <w:r>
              <w:rPr>
                <w:rFonts w:ascii="Times New Roman" w:hAnsi="Times New Roman"/>
                <w:sz w:val="20"/>
              </w:rPr>
              <w:t>city_Paris</w:t>
            </w:r>
          </w:p>
        </w:tc>
        <w:tc>
          <w:tcPr>
            <w:tcW w:type="dxa" w:w="2340"/>
            <w:tcMar>
              <w:top w:w="80" w:type="dxa"/>
              <w:bottom w:w="80" w:type="dxa"/>
              <w:left w:w="120" w:type="dxa"/>
              <w:right w:w="120" w:type="dxa"/>
            </w:tcMar>
          </w:tcPr>
          <w:p>
            <w:pPr>
              <w:spacing w:after="40" w:before="40"/>
            </w:pPr>
            <w:r>
              <w:rPr>
                <w:rFonts w:ascii="Times New Roman" w:hAnsi="Times New Roman"/>
                <w:sz w:val="20"/>
              </w:rPr>
              <w:t>0.0237</w:t>
            </w:r>
          </w:p>
        </w:tc>
        <w:tc>
          <w:tcPr>
            <w:tcW w:type="dxa" w:w="2340"/>
            <w:tcMar>
              <w:top w:w="80" w:type="dxa"/>
              <w:bottom w:w="80" w:type="dxa"/>
              <w:left w:w="120" w:type="dxa"/>
              <w:right w:w="120" w:type="dxa"/>
            </w:tcMar>
          </w:tcPr>
          <w:p>
            <w:pPr>
              <w:spacing w:after="40" w:before="40"/>
            </w:pPr>
            <w:r>
              <w:rPr>
                <w:rFonts w:ascii="Times New Roman" w:hAnsi="Times New Roman"/>
                <w:sz w:val="20"/>
              </w:rPr>
              <w:t>Prime European City-Center Premium</w:t>
            </w:r>
          </w:p>
        </w:tc>
      </w:tr>
      <w:tr>
        <w:tc>
          <w:tcPr>
            <w:tcW w:type="dxa" w:w="2340"/>
            <w:shd w:fill="F9F9F9"/>
            <w:tcMar>
              <w:top w:w="80" w:type="dxa"/>
              <w:bottom w:w="80" w:type="dxa"/>
              <w:left w:w="120" w:type="dxa"/>
              <w:right w:w="120" w:type="dxa"/>
            </w:tcMar>
          </w:tcPr>
          <w:p>
            <w:pPr>
              <w:spacing w:after="40" w:before="40"/>
            </w:pPr>
            <w:r>
              <w:rPr>
                <w:rFonts w:ascii="Times New Roman" w:hAnsi="Times New Roman"/>
                <w:sz w:val="20"/>
              </w:rPr>
              <w:t>15</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city_Rome</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0.0221</w:t>
            </w:r>
          </w:p>
        </w:tc>
        <w:tc>
          <w:tcPr>
            <w:tcW w:type="dxa" w:w="2340"/>
            <w:shd w:fill="F9F9F9"/>
            <w:tcMar>
              <w:top w:w="80" w:type="dxa"/>
              <w:bottom w:w="80" w:type="dxa"/>
              <w:left w:w="120" w:type="dxa"/>
              <w:right w:w="120" w:type="dxa"/>
            </w:tcMar>
          </w:tcPr>
          <w:p>
            <w:pPr>
              <w:spacing w:after="40" w:before="40"/>
            </w:pPr>
            <w:r>
              <w:rPr>
                <w:rFonts w:ascii="Times New Roman" w:hAnsi="Times New Roman"/>
                <w:sz w:val="20"/>
              </w:rPr>
              <w:t>European Cultural Tourism Demand</w:t>
            </w:r>
          </w:p>
        </w:tc>
      </w:tr>
    </w:tbl>
    <w:p/>
    <w:p>
      <w:r>
        <w:t xml:space="preserve">The SHAP decomposition confirms </w:t>
      </w:r>
      <w:r>
        <w:rPr>
          <w:b/>
        </w:rPr>
        <w:t>$H_2$</w:t>
      </w:r>
      <w:r>
        <w:t>:</w:t>
      </w:r>
    </w:p>
    <w:p>
      <w:r>
        <w:rPr>
          <w:i/>
        </w:rPr>
        <w:t xml:space="preserve"> Cumulative reputation signals (`review_count` $\text{SHAP} = 0.1998$ + `review_score_overall` $\text{SHAP} = 0.1478$) exert a combined marginal importance of </w:t>
      </w:r>
      <w:r>
        <w:rPr>
          <w:i/>
        </w:rPr>
        <w:t>$0.3476$</w:t>
      </w:r>
      <w:r>
        <w:t>*, substantially exceeding the marginal pricing power of physical star ratings (</w:t>
      </w:r>
      <w:r>
        <w:rPr>
          <w:rFonts w:ascii="Consolas" w:hAnsi="Consolas"/>
          <w:color w:val="882222"/>
          <w:sz w:val="21"/>
        </w:rPr>
        <w:t>star_rating</w:t>
      </w:r>
      <w:r>
        <w:t xml:space="preserve"> $\text{SHAP} = 0.1257$).</w:t>
      </w:r>
    </w:p>
    <w:p>
      <w:r>
        <w:t>* This empirical finding demonstrates that in opaque online booking environments, peer-generated reputation capital serves as the primary mechanism for mitigating information asymmetry and unlocking pricing power.</w:t>
      </w:r>
    </w:p>
    <w:p>
      <w:pPr>
        <w:keepNext/>
        <w:spacing w:before="240" w:after="80"/>
      </w:pPr>
      <w:r>
        <w:rPr>
          <w:rFonts w:ascii="Times New Roman" w:hAnsi="Times New Roman"/>
          <w:b/>
          <w:i/>
          <w:color w:val="222222"/>
          <w:sz w:val="25"/>
        </w:rPr>
        <w:t>4.4 Dynamic Revenue Management Pace (Validation of $H_3$)</w:t>
      </w:r>
    </w:p>
    <w:p>
      <w:r>
        <w:t>Table 4 presents empirical pricing dynamics segmented across the three sequential booking horizons.</w:t>
      </w:r>
    </w:p>
    <w:p>
      <w:r>
        <w:rPr>
          <w:b/>
        </w:rPr>
        <w:t>Table 4: Dynamic Lead-Time Price Elasticity Across Booking Horizons</w:t>
      </w:r>
    </w:p>
    <w:p/>
    <w:p>
      <w:pPr>
        <w:jc w:val="center"/>
      </w:pPr>
      <w:r>
        <w:drawing>
          <wp:inline xmlns:a="http://schemas.openxmlformats.org/drawingml/2006/main" xmlns:pic="http://schemas.openxmlformats.org/drawingml/2006/picture">
            <wp:extent cx="4754880" cy="4754880"/>
            <wp:docPr id="3" name="Picture 3"/>
            <wp:cNvGraphicFramePr>
              <a:graphicFrameLocks noChangeAspect="1"/>
            </wp:cNvGraphicFramePr>
            <a:graphic>
              <a:graphicData uri="http://schemas.openxmlformats.org/drawingml/2006/picture">
                <pic:pic>
                  <pic:nvPicPr>
                    <pic:cNvPr id="0" name="fig3_actual_vs_predicted.png"/>
                    <pic:cNvPicPr/>
                  </pic:nvPicPr>
                  <pic:blipFill>
                    <a:blip r:embed="rId11"/>
                    <a:stretch>
                      <a:fillRect/>
                    </a:stretch>
                  </pic:blipFill>
                  <pic:spPr>
                    <a:xfrm>
                      <a:off x="0" y="0"/>
                      <a:ext cx="4754880" cy="4754880"/>
                    </a:xfrm>
                    <a:prstGeom prst="rect"/>
                  </pic:spPr>
                </pic:pic>
              </a:graphicData>
            </a:graphic>
          </wp:inline>
        </w:drawing>
      </w:r>
    </w:p>
    <w:p>
      <w:pPr>
        <w:jc w:val="center"/>
      </w:pPr>
      <w:r>
        <w:rPr>
          <w:i/>
          <w:sz w:val="20"/>
        </w:rPr>
        <w:t>Figure 3: Actual vs. Predicted Hotel Room Rates (USD) for Out-of-Sample Test Set.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EAEA"/>
            <w:tcMar>
              <w:top w:w="80" w:type="dxa"/>
              <w:bottom w:w="80" w:type="dxa"/>
              <w:left w:w="120" w:type="dxa"/>
              <w:right w:w="120" w:type="dxa"/>
            </w:tcMar>
          </w:tcPr>
          <w:p>
            <w:pPr>
              <w:spacing w:after="40" w:before="40"/>
            </w:pPr>
            <w:r>
              <w:rPr>
                <w:rFonts w:ascii="Times New Roman" w:hAnsi="Times New Roman"/>
                <w:b/>
                <w:sz w:val="20"/>
              </w:rPr>
              <w:t>Booking Horizon (Lead Time)</w:t>
            </w:r>
          </w:p>
        </w:tc>
        <w:tc>
          <w:tcPr>
            <w:tcW w:type="dxa" w:w="1872"/>
            <w:shd w:fill="EAEAEA"/>
            <w:tcMar>
              <w:top w:w="80" w:type="dxa"/>
              <w:bottom w:w="80" w:type="dxa"/>
              <w:left w:w="120" w:type="dxa"/>
              <w:right w:w="120" w:type="dxa"/>
            </w:tcMar>
          </w:tcPr>
          <w:p>
            <w:pPr>
              <w:spacing w:after="40" w:before="40"/>
            </w:pPr>
            <w:r>
              <w:rPr>
                <w:rFonts w:ascii="Times New Roman" w:hAnsi="Times New Roman"/>
                <w:b/>
                <w:sz w:val="20"/>
              </w:rPr>
              <w:t>Observations (N)</w:t>
            </w:r>
          </w:p>
        </w:tc>
        <w:tc>
          <w:tcPr>
            <w:tcW w:type="dxa" w:w="1872"/>
            <w:shd w:fill="EAEAEA"/>
            <w:tcMar>
              <w:top w:w="80" w:type="dxa"/>
              <w:bottom w:w="80" w:type="dxa"/>
              <w:left w:w="120" w:type="dxa"/>
              <w:right w:w="120" w:type="dxa"/>
            </w:tcMar>
          </w:tcPr>
          <w:p>
            <w:pPr>
              <w:spacing w:after="40" w:before="40"/>
            </w:pPr>
            <w:r>
              <w:rPr>
                <w:rFonts w:ascii="Times New Roman" w:hAnsi="Times New Roman"/>
                <w:b/>
                <w:sz w:val="20"/>
              </w:rPr>
              <w:t>Mean Price (USD)</w:t>
            </w:r>
          </w:p>
        </w:tc>
        <w:tc>
          <w:tcPr>
            <w:tcW w:type="dxa" w:w="1872"/>
            <w:shd w:fill="EAEAEA"/>
            <w:tcMar>
              <w:top w:w="80" w:type="dxa"/>
              <w:bottom w:w="80" w:type="dxa"/>
              <w:left w:w="120" w:type="dxa"/>
              <w:right w:w="120" w:type="dxa"/>
            </w:tcMar>
          </w:tcPr>
          <w:p>
            <w:pPr>
              <w:spacing w:after="40" w:before="40"/>
            </w:pPr>
            <w:r>
              <w:rPr>
                <w:rFonts w:ascii="Times New Roman" w:hAnsi="Times New Roman"/>
                <w:b/>
                <w:sz w:val="20"/>
              </w:rPr>
              <w:t>Median Price (USD)</w:t>
            </w:r>
          </w:p>
        </w:tc>
        <w:tc>
          <w:tcPr>
            <w:tcW w:type="dxa" w:w="1872"/>
            <w:shd w:fill="EAEAEA"/>
            <w:tcMar>
              <w:top w:w="80" w:type="dxa"/>
              <w:bottom w:w="80" w:type="dxa"/>
              <w:left w:w="120" w:type="dxa"/>
              <w:right w:w="120" w:type="dxa"/>
            </w:tcMar>
          </w:tcPr>
          <w:p>
            <w:pPr>
              <w:spacing w:after="40" w:before="40"/>
            </w:pPr>
            <w:r>
              <w:rPr>
                <w:rFonts w:ascii="Times New Roman" w:hAnsi="Times New Roman"/>
                <w:b/>
                <w:sz w:val="20"/>
              </w:rPr>
              <w:t>Dynamic Surge (ΔP)</w:t>
            </w:r>
          </w:p>
        </w:tc>
      </w:tr>
      <w:tr>
        <w:tc>
          <w:tcPr>
            <w:tcW w:type="dxa" w:w="1872"/>
            <w:shd w:fill="F9F9F9"/>
            <w:tcMar>
              <w:top w:w="80" w:type="dxa"/>
              <w:bottom w:w="80" w:type="dxa"/>
              <w:left w:w="120" w:type="dxa"/>
              <w:right w:w="120" w:type="dxa"/>
            </w:tcMar>
          </w:tcPr>
          <w:p>
            <w:pPr>
              <w:spacing w:after="40" w:before="40"/>
            </w:pPr>
            <w:r>
              <w:rPr>
                <w:rFonts w:ascii="Times New Roman" w:hAnsi="Times New Roman"/>
                <w:sz w:val="20"/>
              </w:rPr>
              <w:t>90-Day Lead Time (Long-Term)</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1,596</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$167.46</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$122.00</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Baseline</w:t>
            </w:r>
          </w:p>
        </w:tc>
      </w:tr>
      <w:tr>
        <w:tc>
          <w:tcPr>
            <w:tcW w:type="dxa" w:w="1872"/>
            <w:tcMar>
              <w:top w:w="80" w:type="dxa"/>
              <w:bottom w:w="80" w:type="dxa"/>
              <w:left w:w="120" w:type="dxa"/>
              <w:right w:w="120" w:type="dxa"/>
            </w:tcMar>
          </w:tcPr>
          <w:p>
            <w:pPr>
              <w:spacing w:after="40" w:before="40"/>
            </w:pPr>
            <w:r>
              <w:rPr>
                <w:rFonts w:ascii="Times New Roman" w:hAnsi="Times New Roman"/>
                <w:sz w:val="20"/>
              </w:rPr>
              <w:t>60-Day Lead Time (Mid-Term)</w:t>
            </w:r>
          </w:p>
        </w:tc>
        <w:tc>
          <w:tcPr>
            <w:tcW w:type="dxa" w:w="1872"/>
            <w:tcMar>
              <w:top w:w="80" w:type="dxa"/>
              <w:bottom w:w="80" w:type="dxa"/>
              <w:left w:w="120" w:type="dxa"/>
              <w:right w:w="120" w:type="dxa"/>
            </w:tcMar>
          </w:tcPr>
          <w:p>
            <w:pPr>
              <w:spacing w:after="40" w:before="40"/>
            </w:pPr>
            <w:r>
              <w:rPr>
                <w:rFonts w:ascii="Times New Roman" w:hAnsi="Times New Roman"/>
                <w:sz w:val="20"/>
              </w:rPr>
              <w:t>1,250</w:t>
            </w:r>
          </w:p>
        </w:tc>
        <w:tc>
          <w:tcPr>
            <w:tcW w:type="dxa" w:w="1872"/>
            <w:tcMar>
              <w:top w:w="80" w:type="dxa"/>
              <w:bottom w:w="80" w:type="dxa"/>
              <w:left w:w="120" w:type="dxa"/>
              <w:right w:w="120" w:type="dxa"/>
            </w:tcMar>
          </w:tcPr>
          <w:p>
            <w:pPr>
              <w:spacing w:after="40" w:before="40"/>
            </w:pPr>
            <w:r>
              <w:rPr>
                <w:rFonts w:ascii="Times New Roman" w:hAnsi="Times New Roman"/>
                <w:sz w:val="20"/>
              </w:rPr>
              <w:t>$172.83</w:t>
            </w:r>
          </w:p>
        </w:tc>
        <w:tc>
          <w:tcPr>
            <w:tcW w:type="dxa" w:w="1872"/>
            <w:tcMar>
              <w:top w:w="80" w:type="dxa"/>
              <w:bottom w:w="80" w:type="dxa"/>
              <w:left w:w="120" w:type="dxa"/>
              <w:right w:w="120" w:type="dxa"/>
            </w:tcMar>
          </w:tcPr>
          <w:p>
            <w:pPr>
              <w:spacing w:after="40" w:before="40"/>
            </w:pPr>
            <w:r>
              <w:rPr>
                <w:rFonts w:ascii="Times New Roman" w:hAnsi="Times New Roman"/>
                <w:sz w:val="20"/>
              </w:rPr>
              <w:t>$137.00</w:t>
            </w:r>
          </w:p>
        </w:tc>
        <w:tc>
          <w:tcPr>
            <w:tcW w:type="dxa" w:w="1872"/>
            <w:tcMar>
              <w:top w:w="80" w:type="dxa"/>
              <w:bottom w:w="80" w:type="dxa"/>
              <w:left w:w="120" w:type="dxa"/>
              <w:right w:w="120" w:type="dxa"/>
            </w:tcMar>
          </w:tcPr>
          <w:p>
            <w:pPr>
              <w:spacing w:after="40" w:before="40"/>
            </w:pPr>
            <w:r>
              <w:rPr>
                <w:rFonts w:ascii="Times New Roman" w:hAnsi="Times New Roman"/>
                <w:sz w:val="20"/>
              </w:rPr>
              <w:t>+3.2% increase</w:t>
            </w:r>
          </w:p>
        </w:tc>
      </w:tr>
      <w:tr>
        <w:tc>
          <w:tcPr>
            <w:tcW w:type="dxa" w:w="1872"/>
            <w:shd w:fill="F9F9F9"/>
            <w:tcMar>
              <w:top w:w="80" w:type="dxa"/>
              <w:bottom w:w="80" w:type="dxa"/>
              <w:left w:w="120" w:type="dxa"/>
              <w:right w:w="120" w:type="dxa"/>
            </w:tcMar>
          </w:tcPr>
          <w:p>
            <w:pPr>
              <w:spacing w:after="40" w:before="40"/>
            </w:pPr>
            <w:r>
              <w:rPr>
                <w:rFonts w:ascii="Times New Roman" w:hAnsi="Times New Roman"/>
                <w:sz w:val="20"/>
              </w:rPr>
              <w:t>30-Day Lead Time (Short-Term)</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1,580</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$230.93</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$185.00</w:t>
            </w:r>
          </w:p>
        </w:tc>
        <w:tc>
          <w:tcPr>
            <w:tcW w:type="dxa" w:w="1872"/>
            <w:shd w:fill="F9F9F9"/>
            <w:tcMar>
              <w:top w:w="80" w:type="dxa"/>
              <w:bottom w:w="80" w:type="dxa"/>
              <w:left w:w="120" w:type="dxa"/>
              <w:right w:w="120" w:type="dxa"/>
            </w:tcMar>
          </w:tcPr>
          <w:p>
            <w:pPr>
              <w:spacing w:after="40" w:before="40"/>
            </w:pPr>
            <w:r>
              <w:rPr>
                <w:rFonts w:ascii="Times New Roman" w:hAnsi="Times New Roman"/>
                <w:sz w:val="20"/>
              </w:rPr>
              <w:t>+37.9% price surge</w:t>
            </w:r>
          </w:p>
        </w:tc>
      </w:tr>
    </w:tbl>
    <w:p/>
    <w:p>
      <w:r>
        <w:t xml:space="preserve">The empirical evidence strongly confirms </w:t>
      </w:r>
      <w:r>
        <w:rPr>
          <w:b/>
        </w:rPr>
        <w:t>$H_3$</w:t>
      </w:r>
      <w:r>
        <w:t>:</w:t>
      </w:r>
    </w:p>
    <w:p>
      <w:r>
        <w:rPr>
          <w:i/>
        </w:rPr>
        <w:t xml:space="preserve"> Room rates exhibit a sharp, non-linear acceleration as check-in approaches. While prices remain relatively stable between 90 days and 60 days out ($+3.2\%$), they experience an explosive </w:t>
      </w:r>
      <w:r>
        <w:rPr>
          <w:i/>
        </w:rPr>
        <w:t>$+37.9\%$ price surge</w:t>
      </w:r>
      <w:r>
        <w:t>* as lead time contracts from 60 days to 30 days.</w:t>
      </w:r>
    </w:p>
    <w:p>
      <w:r>
        <w:t>* This non-linear trajectory provides direct empirical proof of algorithmic scarcity pricing and dynamic yield management practiced by hotel revenue algorithms on OTAs.</w:t>
      </w:r>
    </w:p>
    <w:p>
      <w:pPr>
        <w:keepNext/>
        <w:spacing w:before="240" w:after="80"/>
      </w:pPr>
      <w:r>
        <w:rPr>
          <w:rFonts w:ascii="Times New Roman" w:hAnsi="Times New Roman"/>
          <w:b/>
          <w:i/>
          <w:color w:val="222222"/>
          <w:sz w:val="25"/>
        </w:rPr>
        <w:t>4.5 Cross-Market Typology Moderation (Validation of $H_4$)</w:t>
      </w:r>
    </w:p>
    <w:p>
      <w:r>
        <w:t>Table 5 compares structural characteristics, pricing power, and amenity bundling across the four tourism market typologies.</w:t>
      </w:r>
    </w:p>
    <w:p>
      <w:r>
        <w:rPr>
          <w:b/>
        </w:rPr>
        <w:t>Table 5: Cross-Market Comparative Typology Analysis</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AEA"/>
            <w:tcMar>
              <w:top w:w="80" w:type="dxa"/>
              <w:bottom w:w="80" w:type="dxa"/>
              <w:left w:w="120" w:type="dxa"/>
              <w:right w:w="120" w:type="dxa"/>
            </w:tcMar>
          </w:tcPr>
          <w:p>
            <w:pPr>
              <w:spacing w:after="40" w:before="40"/>
            </w:pPr>
            <w:r>
              <w:rPr>
                <w:rFonts w:ascii="Times New Roman" w:hAnsi="Times New Roman"/>
                <w:b/>
                <w:sz w:val="20"/>
              </w:rPr>
              <w:t>Tourism Market Typology</w:t>
            </w:r>
          </w:p>
        </w:tc>
        <w:tc>
          <w:tcPr>
            <w:tcW w:type="dxa" w:w="1170"/>
            <w:shd w:fill="EAEAEA"/>
            <w:tcMar>
              <w:top w:w="80" w:type="dxa"/>
              <w:bottom w:w="80" w:type="dxa"/>
              <w:left w:w="120" w:type="dxa"/>
              <w:right w:w="120" w:type="dxa"/>
            </w:tcMar>
          </w:tcPr>
          <w:p>
            <w:pPr>
              <w:spacing w:after="40" w:before="40"/>
            </w:pPr>
            <w:r>
              <w:rPr>
                <w:rFonts w:ascii="Times New Roman" w:hAnsi="Times New Roman"/>
                <w:b/>
                <w:sz w:val="20"/>
              </w:rPr>
              <w:t>Sample (N)</w:t>
            </w:r>
          </w:p>
        </w:tc>
        <w:tc>
          <w:tcPr>
            <w:tcW w:type="dxa" w:w="1170"/>
            <w:shd w:fill="EAEAEA"/>
            <w:tcMar>
              <w:top w:w="80" w:type="dxa"/>
              <w:bottom w:w="80" w:type="dxa"/>
              <w:left w:w="120" w:type="dxa"/>
              <w:right w:w="120" w:type="dxa"/>
            </w:tcMar>
          </w:tcPr>
          <w:p>
            <w:pPr>
              <w:spacing w:after="40" w:before="40"/>
            </w:pPr>
            <w:r>
              <w:rPr>
                <w:rFonts w:ascii="Times New Roman" w:hAnsi="Times New Roman"/>
                <w:b/>
                <w:sz w:val="20"/>
              </w:rPr>
              <w:t>Mean Price</w:t>
            </w:r>
          </w:p>
        </w:tc>
        <w:tc>
          <w:tcPr>
            <w:tcW w:type="dxa" w:w="1170"/>
            <w:shd w:fill="EAEAEA"/>
            <w:tcMar>
              <w:top w:w="80" w:type="dxa"/>
              <w:bottom w:w="80" w:type="dxa"/>
              <w:left w:w="120" w:type="dxa"/>
              <w:right w:w="120" w:type="dxa"/>
            </w:tcMar>
          </w:tcPr>
          <w:p>
            <w:pPr>
              <w:spacing w:after="40" w:before="40"/>
            </w:pPr>
            <w:r>
              <w:rPr>
                <w:rFonts w:ascii="Times New Roman" w:hAnsi="Times New Roman"/>
                <w:b/>
                <w:sz w:val="20"/>
              </w:rPr>
              <w:t>Median Price</w:t>
            </w:r>
          </w:p>
        </w:tc>
        <w:tc>
          <w:tcPr>
            <w:tcW w:type="dxa" w:w="1170"/>
            <w:shd w:fill="EAEAEA"/>
            <w:tcMar>
              <w:top w:w="80" w:type="dxa"/>
              <w:bottom w:w="80" w:type="dxa"/>
              <w:left w:w="120" w:type="dxa"/>
              <w:right w:w="120" w:type="dxa"/>
            </w:tcMar>
          </w:tcPr>
          <w:p>
            <w:pPr>
              <w:spacing w:after="40" w:before="40"/>
            </w:pPr>
            <w:r>
              <w:rPr>
                <w:rFonts w:ascii="Times New Roman" w:hAnsi="Times New Roman"/>
                <w:b/>
                <w:sz w:val="20"/>
              </w:rPr>
              <w:t>Star Rating</w:t>
            </w:r>
          </w:p>
        </w:tc>
        <w:tc>
          <w:tcPr>
            <w:tcW w:type="dxa" w:w="1170"/>
            <w:shd w:fill="EAEAEA"/>
            <w:tcMar>
              <w:top w:w="80" w:type="dxa"/>
              <w:bottom w:w="80" w:type="dxa"/>
              <w:left w:w="120" w:type="dxa"/>
              <w:right w:w="120" w:type="dxa"/>
            </w:tcMar>
          </w:tcPr>
          <w:p>
            <w:pPr>
              <w:spacing w:after="40" w:before="40"/>
            </w:pPr>
            <w:r>
              <w:rPr>
                <w:rFonts w:ascii="Times New Roman" w:hAnsi="Times New Roman"/>
                <w:b/>
                <w:sz w:val="20"/>
              </w:rPr>
              <w:t>Review Score</w:t>
            </w:r>
          </w:p>
        </w:tc>
        <w:tc>
          <w:tcPr>
            <w:tcW w:type="dxa" w:w="1170"/>
            <w:shd w:fill="EAEAEA"/>
            <w:tcMar>
              <w:top w:w="80" w:type="dxa"/>
              <w:bottom w:w="80" w:type="dxa"/>
              <w:left w:w="120" w:type="dxa"/>
              <w:right w:w="120" w:type="dxa"/>
            </w:tcMar>
          </w:tcPr>
          <w:p>
            <w:pPr>
              <w:spacing w:after="40" w:before="40"/>
            </w:pPr>
            <w:r>
              <w:rPr>
                <w:rFonts w:ascii="Times New Roman" w:hAnsi="Times New Roman"/>
                <w:b/>
                <w:sz w:val="20"/>
              </w:rPr>
              <w:t>Pool %</w:t>
            </w:r>
          </w:p>
        </w:tc>
        <w:tc>
          <w:tcPr>
            <w:tcW w:type="dxa" w:w="1170"/>
            <w:shd w:fill="EAEAEA"/>
            <w:tcMar>
              <w:top w:w="80" w:type="dxa"/>
              <w:bottom w:w="80" w:type="dxa"/>
              <w:left w:w="120" w:type="dxa"/>
              <w:right w:w="120" w:type="dxa"/>
            </w:tcMar>
          </w:tcPr>
          <w:p>
            <w:pPr>
              <w:spacing w:after="40" w:before="40"/>
            </w:pPr>
            <w:r>
              <w:rPr>
                <w:rFonts w:ascii="Times New Roman" w:hAnsi="Times New Roman"/>
                <w:b/>
                <w:sz w:val="20"/>
              </w:rPr>
              <w:t>Breakfast %</w:t>
            </w:r>
          </w:p>
        </w:tc>
      </w:tr>
      <w:tr>
        <w:tc>
          <w:tcPr>
            <w:tcW w:type="dxa" w:w="1170"/>
            <w:shd w:fill="F9F9F9"/>
            <w:tcMar>
              <w:top w:w="80" w:type="dxa"/>
              <w:bottom w:w="80" w:type="dxa"/>
              <w:left w:w="120" w:type="dxa"/>
              <w:right w:w="120" w:type="dxa"/>
            </w:tcMar>
          </w:tcPr>
          <w:p>
            <w:pPr>
              <w:spacing w:after="40" w:before="40"/>
            </w:pPr>
            <w:r>
              <w:rPr>
                <w:rFonts w:ascii="Times New Roman" w:hAnsi="Times New Roman"/>
                <w:sz w:val="20"/>
              </w:rPr>
              <w:t>Metropolitan / Business</w:t>
            </w:r>
          </w:p>
        </w:tc>
        <w:tc>
          <w:tcPr>
            <w:tcW w:type="dxa" w:w="1170"/>
            <w:shd w:fill="F9F9F9"/>
            <w:tcMar>
              <w:top w:w="80" w:type="dxa"/>
              <w:bottom w:w="80" w:type="dxa"/>
              <w:left w:w="120" w:type="dxa"/>
              <w:right w:w="120" w:type="dxa"/>
            </w:tcMar>
          </w:tcPr>
          <w:p>
            <w:pPr>
              <w:spacing w:after="40" w:before="40"/>
            </w:pPr>
            <w:r>
              <w:rPr>
                <w:rFonts w:ascii="Times New Roman" w:hAnsi="Times New Roman"/>
                <w:sz w:val="20"/>
              </w:rPr>
              <w:t>1,428</w:t>
            </w:r>
          </w:p>
        </w:tc>
        <w:tc>
          <w:tcPr>
            <w:tcW w:type="dxa" w:w="1170"/>
            <w:shd w:fill="F9F9F9"/>
            <w:tcMar>
              <w:top w:w="80" w:type="dxa"/>
              <w:bottom w:w="80" w:type="dxa"/>
              <w:left w:w="120" w:type="dxa"/>
              <w:right w:w="120" w:type="dxa"/>
            </w:tcMar>
          </w:tcPr>
          <w:p>
            <w:pPr>
              <w:spacing w:after="40" w:before="40"/>
            </w:pPr>
            <w:r>
              <w:rPr>
                <w:rFonts w:ascii="Times New Roman" w:hAnsi="Times New Roman"/>
                <w:sz w:val="20"/>
              </w:rPr>
              <w:t>$259.25</w:t>
            </w:r>
          </w:p>
        </w:tc>
        <w:tc>
          <w:tcPr>
            <w:tcW w:type="dxa" w:w="1170"/>
            <w:shd w:fill="F9F9F9"/>
            <w:tcMar>
              <w:top w:w="80" w:type="dxa"/>
              <w:bottom w:w="80" w:type="dxa"/>
              <w:left w:w="120" w:type="dxa"/>
              <w:right w:w="120" w:type="dxa"/>
            </w:tcMar>
          </w:tcPr>
          <w:p>
            <w:pPr>
              <w:spacing w:after="40" w:before="40"/>
            </w:pPr>
            <w:r>
              <w:rPr>
                <w:rFonts w:ascii="Times New Roman" w:hAnsi="Times New Roman"/>
                <w:sz w:val="20"/>
              </w:rPr>
              <w:t>$195.00</w:t>
            </w:r>
          </w:p>
        </w:tc>
        <w:tc>
          <w:tcPr>
            <w:tcW w:type="dxa" w:w="1170"/>
            <w:shd w:fill="F9F9F9"/>
            <w:tcMar>
              <w:top w:w="80" w:type="dxa"/>
              <w:bottom w:w="80" w:type="dxa"/>
              <w:left w:w="120" w:type="dxa"/>
              <w:right w:w="120" w:type="dxa"/>
            </w:tcMar>
          </w:tcPr>
          <w:p>
            <w:pPr>
              <w:spacing w:after="40" w:before="40"/>
            </w:pPr>
            <w:r>
              <w:rPr>
                <w:rFonts w:ascii="Times New Roman" w:hAnsi="Times New Roman"/>
                <w:sz w:val="20"/>
              </w:rPr>
              <w:t>2.76 ★</w:t>
            </w:r>
          </w:p>
        </w:tc>
        <w:tc>
          <w:tcPr>
            <w:tcW w:type="dxa" w:w="1170"/>
            <w:shd w:fill="F9F9F9"/>
            <w:tcMar>
              <w:top w:w="80" w:type="dxa"/>
              <w:bottom w:w="80" w:type="dxa"/>
              <w:left w:w="120" w:type="dxa"/>
              <w:right w:w="120" w:type="dxa"/>
            </w:tcMar>
          </w:tcPr>
          <w:p>
            <w:pPr>
              <w:spacing w:after="40" w:before="40"/>
            </w:pPr>
            <w:r>
              <w:rPr>
                <w:rFonts w:ascii="Times New Roman" w:hAnsi="Times New Roman"/>
                <w:sz w:val="20"/>
              </w:rPr>
              <w:t>8.21 / 10</w:t>
            </w:r>
          </w:p>
        </w:tc>
        <w:tc>
          <w:tcPr>
            <w:tcW w:type="dxa" w:w="1170"/>
            <w:shd w:fill="F9F9F9"/>
            <w:tcMar>
              <w:top w:w="80" w:type="dxa"/>
              <w:bottom w:w="80" w:type="dxa"/>
              <w:left w:w="120" w:type="dxa"/>
              <w:right w:w="120" w:type="dxa"/>
            </w:tcMar>
          </w:tcPr>
          <w:p>
            <w:pPr>
              <w:spacing w:after="40" w:before="40"/>
            </w:pPr>
            <w:r>
              <w:rPr>
                <w:rFonts w:ascii="Times New Roman" w:hAnsi="Times New Roman"/>
                <w:sz w:val="20"/>
              </w:rPr>
              <w:t>0.8%</w:t>
            </w:r>
          </w:p>
        </w:tc>
        <w:tc>
          <w:tcPr>
            <w:tcW w:type="dxa" w:w="1170"/>
            <w:shd w:fill="F9F9F9"/>
            <w:tcMar>
              <w:top w:w="80" w:type="dxa"/>
              <w:bottom w:w="80" w:type="dxa"/>
              <w:left w:w="120" w:type="dxa"/>
              <w:right w:w="120" w:type="dxa"/>
            </w:tcMar>
          </w:tcPr>
          <w:p>
            <w:pPr>
              <w:spacing w:after="40" w:before="40"/>
            </w:pPr>
            <w:r>
              <w:rPr>
                <w:rFonts w:ascii="Times New Roman" w:hAnsi="Times New Roman"/>
                <w:sz w:val="20"/>
              </w:rPr>
              <w:t>14.1%</w:t>
            </w:r>
          </w:p>
        </w:tc>
      </w:tr>
      <w:tr>
        <w:tc>
          <w:tcPr>
            <w:tcW w:type="dxa" w:w="1170"/>
            <w:tcMar>
              <w:top w:w="80" w:type="dxa"/>
              <w:bottom w:w="80" w:type="dxa"/>
              <w:left w:w="120" w:type="dxa"/>
              <w:right w:w="120" w:type="dxa"/>
            </w:tcMar>
          </w:tcPr>
          <w:p>
            <w:pPr>
              <w:spacing w:after="40" w:before="40"/>
            </w:pPr>
            <w:r>
              <w:rPr>
                <w:rFonts w:ascii="Times New Roman" w:hAnsi="Times New Roman"/>
                <w:sz w:val="20"/>
              </w:rPr>
              <w:t>Luxury / Resort</w:t>
            </w:r>
          </w:p>
        </w:tc>
        <w:tc>
          <w:tcPr>
            <w:tcW w:type="dxa" w:w="1170"/>
            <w:tcMar>
              <w:top w:w="80" w:type="dxa"/>
              <w:bottom w:w="80" w:type="dxa"/>
              <w:left w:w="120" w:type="dxa"/>
              <w:right w:w="120" w:type="dxa"/>
            </w:tcMar>
          </w:tcPr>
          <w:p>
            <w:pPr>
              <w:spacing w:after="40" w:before="40"/>
            </w:pPr>
            <w:r>
              <w:rPr>
                <w:rFonts w:ascii="Times New Roman" w:hAnsi="Times New Roman"/>
                <w:sz w:val="20"/>
              </w:rPr>
              <w:t>1,394</w:t>
            </w:r>
          </w:p>
        </w:tc>
        <w:tc>
          <w:tcPr>
            <w:tcW w:type="dxa" w:w="1170"/>
            <w:tcMar>
              <w:top w:w="80" w:type="dxa"/>
              <w:bottom w:w="80" w:type="dxa"/>
              <w:left w:w="120" w:type="dxa"/>
              <w:right w:w="120" w:type="dxa"/>
            </w:tcMar>
          </w:tcPr>
          <w:p>
            <w:pPr>
              <w:spacing w:after="40" w:before="40"/>
            </w:pPr>
            <w:r>
              <w:rPr>
                <w:rFonts w:ascii="Times New Roman" w:hAnsi="Times New Roman"/>
                <w:sz w:val="20"/>
              </w:rPr>
              <w:t>$240.88</w:t>
            </w:r>
          </w:p>
        </w:tc>
        <w:tc>
          <w:tcPr>
            <w:tcW w:type="dxa" w:w="1170"/>
            <w:tcMar>
              <w:top w:w="80" w:type="dxa"/>
              <w:bottom w:w="80" w:type="dxa"/>
              <w:left w:w="120" w:type="dxa"/>
              <w:right w:w="120" w:type="dxa"/>
            </w:tcMar>
          </w:tcPr>
          <w:p>
            <w:pPr>
              <w:spacing w:after="40" w:before="40"/>
            </w:pPr>
            <w:r>
              <w:rPr>
                <w:rFonts w:ascii="Times New Roman" w:hAnsi="Times New Roman"/>
                <w:sz w:val="20"/>
              </w:rPr>
              <w:t>$188.00</w:t>
            </w:r>
          </w:p>
        </w:tc>
        <w:tc>
          <w:tcPr>
            <w:tcW w:type="dxa" w:w="1170"/>
            <w:tcMar>
              <w:top w:w="80" w:type="dxa"/>
              <w:bottom w:w="80" w:type="dxa"/>
              <w:left w:w="120" w:type="dxa"/>
              <w:right w:w="120" w:type="dxa"/>
            </w:tcMar>
          </w:tcPr>
          <w:p>
            <w:pPr>
              <w:spacing w:after="40" w:before="40"/>
            </w:pPr>
            <w:r>
              <w:rPr>
                <w:rFonts w:ascii="Times New Roman" w:hAnsi="Times New Roman"/>
                <w:sz w:val="20"/>
              </w:rPr>
              <w:t>2.59 ★</w:t>
            </w:r>
          </w:p>
        </w:tc>
        <w:tc>
          <w:tcPr>
            <w:tcW w:type="dxa" w:w="1170"/>
            <w:tcMar>
              <w:top w:w="80" w:type="dxa"/>
              <w:bottom w:w="80" w:type="dxa"/>
              <w:left w:w="120" w:type="dxa"/>
              <w:right w:w="120" w:type="dxa"/>
            </w:tcMar>
          </w:tcPr>
          <w:p>
            <w:pPr>
              <w:spacing w:after="40" w:before="40"/>
            </w:pPr>
            <w:r>
              <w:rPr>
                <w:rFonts w:ascii="Times New Roman" w:hAnsi="Times New Roman"/>
                <w:sz w:val="20"/>
              </w:rPr>
              <w:t>8.34 / 10</w:t>
            </w:r>
          </w:p>
        </w:tc>
        <w:tc>
          <w:tcPr>
            <w:tcW w:type="dxa" w:w="1170"/>
            <w:tcMar>
              <w:top w:w="80" w:type="dxa"/>
              <w:bottom w:w="80" w:type="dxa"/>
              <w:left w:w="120" w:type="dxa"/>
              <w:right w:w="120" w:type="dxa"/>
            </w:tcMar>
          </w:tcPr>
          <w:p>
            <w:pPr>
              <w:spacing w:after="40" w:before="40"/>
            </w:pPr>
            <w:r>
              <w:rPr>
                <w:rFonts w:ascii="Times New Roman" w:hAnsi="Times New Roman"/>
                <w:sz w:val="20"/>
              </w:rPr>
              <w:t>7.8%</w:t>
            </w:r>
          </w:p>
        </w:tc>
        <w:tc>
          <w:tcPr>
            <w:tcW w:type="dxa" w:w="1170"/>
            <w:tcMar>
              <w:top w:w="80" w:type="dxa"/>
              <w:bottom w:w="80" w:type="dxa"/>
              <w:left w:w="120" w:type="dxa"/>
              <w:right w:w="120" w:type="dxa"/>
            </w:tcMar>
          </w:tcPr>
          <w:p>
            <w:pPr>
              <w:spacing w:after="40" w:before="40"/>
            </w:pPr>
            <w:r>
              <w:rPr>
                <w:rFonts w:ascii="Times New Roman" w:hAnsi="Times New Roman"/>
                <w:sz w:val="20"/>
              </w:rPr>
              <w:t>14.8%</w:t>
            </w:r>
          </w:p>
        </w:tc>
      </w:tr>
      <w:tr>
        <w:tc>
          <w:tcPr>
            <w:tcW w:type="dxa" w:w="1170"/>
            <w:shd w:fill="F9F9F9"/>
            <w:tcMar>
              <w:top w:w="80" w:type="dxa"/>
              <w:bottom w:w="80" w:type="dxa"/>
              <w:left w:w="120" w:type="dxa"/>
              <w:right w:w="120" w:type="dxa"/>
            </w:tcMar>
          </w:tcPr>
          <w:p>
            <w:pPr>
              <w:spacing w:after="40" w:before="40"/>
            </w:pPr>
            <w:r>
              <w:rPr>
                <w:rFonts w:ascii="Times New Roman" w:hAnsi="Times New Roman"/>
                <w:sz w:val="20"/>
              </w:rPr>
              <w:t>Leisure / Regional Hub</w:t>
            </w:r>
          </w:p>
        </w:tc>
        <w:tc>
          <w:tcPr>
            <w:tcW w:type="dxa" w:w="1170"/>
            <w:shd w:fill="F9F9F9"/>
            <w:tcMar>
              <w:top w:w="80" w:type="dxa"/>
              <w:bottom w:w="80" w:type="dxa"/>
              <w:left w:w="120" w:type="dxa"/>
              <w:right w:w="120" w:type="dxa"/>
            </w:tcMar>
          </w:tcPr>
          <w:p>
            <w:pPr>
              <w:spacing w:after="40" w:before="40"/>
            </w:pPr>
            <w:r>
              <w:rPr>
                <w:rFonts w:ascii="Times New Roman" w:hAnsi="Times New Roman"/>
                <w:sz w:val="20"/>
              </w:rPr>
              <w:t>877</w:t>
            </w:r>
          </w:p>
        </w:tc>
        <w:tc>
          <w:tcPr>
            <w:tcW w:type="dxa" w:w="1170"/>
            <w:shd w:fill="F9F9F9"/>
            <w:tcMar>
              <w:top w:w="80" w:type="dxa"/>
              <w:bottom w:w="80" w:type="dxa"/>
              <w:left w:w="120" w:type="dxa"/>
              <w:right w:w="120" w:type="dxa"/>
            </w:tcMar>
          </w:tcPr>
          <w:p>
            <w:pPr>
              <w:spacing w:after="40" w:before="40"/>
            </w:pPr>
            <w:r>
              <w:rPr>
                <w:rFonts w:ascii="Times New Roman" w:hAnsi="Times New Roman"/>
                <w:sz w:val="20"/>
              </w:rPr>
              <w:t>$107.44</w:t>
            </w:r>
          </w:p>
        </w:tc>
        <w:tc>
          <w:tcPr>
            <w:tcW w:type="dxa" w:w="1170"/>
            <w:shd w:fill="F9F9F9"/>
            <w:tcMar>
              <w:top w:w="80" w:type="dxa"/>
              <w:bottom w:w="80" w:type="dxa"/>
              <w:left w:w="120" w:type="dxa"/>
              <w:right w:w="120" w:type="dxa"/>
            </w:tcMar>
          </w:tcPr>
          <w:p>
            <w:pPr>
              <w:spacing w:after="40" w:before="40"/>
            </w:pPr>
            <w:r>
              <w:rPr>
                <w:rFonts w:ascii="Times New Roman" w:hAnsi="Times New Roman"/>
                <w:sz w:val="20"/>
              </w:rPr>
              <w:t>$73.00</w:t>
            </w:r>
          </w:p>
        </w:tc>
        <w:tc>
          <w:tcPr>
            <w:tcW w:type="dxa" w:w="1170"/>
            <w:shd w:fill="F9F9F9"/>
            <w:tcMar>
              <w:top w:w="80" w:type="dxa"/>
              <w:bottom w:w="80" w:type="dxa"/>
              <w:left w:w="120" w:type="dxa"/>
              <w:right w:w="120" w:type="dxa"/>
            </w:tcMar>
          </w:tcPr>
          <w:p>
            <w:pPr>
              <w:spacing w:after="40" w:before="40"/>
            </w:pPr>
            <w:r>
              <w:rPr>
                <w:rFonts w:ascii="Times New Roman" w:hAnsi="Times New Roman"/>
                <w:sz w:val="20"/>
              </w:rPr>
              <w:t>2.64 ★</w:t>
            </w:r>
          </w:p>
        </w:tc>
        <w:tc>
          <w:tcPr>
            <w:tcW w:type="dxa" w:w="1170"/>
            <w:shd w:fill="F9F9F9"/>
            <w:tcMar>
              <w:top w:w="80" w:type="dxa"/>
              <w:bottom w:w="80" w:type="dxa"/>
              <w:left w:w="120" w:type="dxa"/>
              <w:right w:w="120" w:type="dxa"/>
            </w:tcMar>
          </w:tcPr>
          <w:p>
            <w:pPr>
              <w:spacing w:after="40" w:before="40"/>
            </w:pPr>
            <w:r>
              <w:rPr>
                <w:rFonts w:ascii="Times New Roman" w:hAnsi="Times New Roman"/>
                <w:sz w:val="20"/>
              </w:rPr>
              <w:t>8.51 / 10</w:t>
            </w:r>
          </w:p>
        </w:tc>
        <w:tc>
          <w:tcPr>
            <w:tcW w:type="dxa" w:w="1170"/>
            <w:shd w:fill="F9F9F9"/>
            <w:tcMar>
              <w:top w:w="80" w:type="dxa"/>
              <w:bottom w:w="80" w:type="dxa"/>
              <w:left w:w="120" w:type="dxa"/>
              <w:right w:w="120" w:type="dxa"/>
            </w:tcMar>
          </w:tcPr>
          <w:p>
            <w:pPr>
              <w:spacing w:after="40" w:before="40"/>
            </w:pPr>
            <w:r>
              <w:rPr>
                <w:rFonts w:ascii="Times New Roman" w:hAnsi="Times New Roman"/>
                <w:sz w:val="20"/>
              </w:rPr>
              <w:t>11.3%</w:t>
            </w:r>
          </w:p>
        </w:tc>
        <w:tc>
          <w:tcPr>
            <w:tcW w:type="dxa" w:w="1170"/>
            <w:shd w:fill="F9F9F9"/>
            <w:tcMar>
              <w:top w:w="80" w:type="dxa"/>
              <w:bottom w:w="80" w:type="dxa"/>
              <w:left w:w="120" w:type="dxa"/>
              <w:right w:w="120" w:type="dxa"/>
            </w:tcMar>
          </w:tcPr>
          <w:p>
            <w:pPr>
              <w:spacing w:after="40" w:before="40"/>
            </w:pPr>
            <w:r>
              <w:rPr>
                <w:rFonts w:ascii="Times New Roman" w:hAnsi="Times New Roman"/>
                <w:sz w:val="20"/>
              </w:rPr>
              <w:t>23.1%</w:t>
            </w:r>
          </w:p>
        </w:tc>
      </w:tr>
      <w:tr>
        <w:tc>
          <w:tcPr>
            <w:tcW w:type="dxa" w:w="1170"/>
            <w:tcMar>
              <w:top w:w="80" w:type="dxa"/>
              <w:bottom w:w="80" w:type="dxa"/>
              <w:left w:w="120" w:type="dxa"/>
              <w:right w:w="120" w:type="dxa"/>
            </w:tcMar>
          </w:tcPr>
          <w:p>
            <w:pPr>
              <w:spacing w:after="40" w:before="40"/>
            </w:pPr>
            <w:r>
              <w:rPr>
                <w:rFonts w:ascii="Times New Roman" w:hAnsi="Times New Roman"/>
                <w:sz w:val="20"/>
              </w:rPr>
              <w:t>Emerging / Regional Market</w:t>
            </w:r>
          </w:p>
        </w:tc>
        <w:tc>
          <w:tcPr>
            <w:tcW w:type="dxa" w:w="1170"/>
            <w:tcMar>
              <w:top w:w="80" w:type="dxa"/>
              <w:bottom w:w="80" w:type="dxa"/>
              <w:left w:w="120" w:type="dxa"/>
              <w:right w:w="120" w:type="dxa"/>
            </w:tcMar>
          </w:tcPr>
          <w:p>
            <w:pPr>
              <w:spacing w:after="40" w:before="40"/>
            </w:pPr>
            <w:r>
              <w:rPr>
                <w:rFonts w:ascii="Times New Roman" w:hAnsi="Times New Roman"/>
                <w:sz w:val="20"/>
              </w:rPr>
              <w:t>727</w:t>
            </w:r>
          </w:p>
        </w:tc>
        <w:tc>
          <w:tcPr>
            <w:tcW w:type="dxa" w:w="1170"/>
            <w:tcMar>
              <w:top w:w="80" w:type="dxa"/>
              <w:bottom w:w="80" w:type="dxa"/>
              <w:left w:w="120" w:type="dxa"/>
              <w:right w:w="120" w:type="dxa"/>
            </w:tcMar>
          </w:tcPr>
          <w:p>
            <w:pPr>
              <w:spacing w:after="40" w:before="40"/>
            </w:pPr>
            <w:r>
              <w:rPr>
                <w:rFonts w:ascii="Times New Roman" w:hAnsi="Times New Roman"/>
                <w:sz w:val="20"/>
              </w:rPr>
              <w:t>$65.96</w:t>
            </w:r>
          </w:p>
        </w:tc>
        <w:tc>
          <w:tcPr>
            <w:tcW w:type="dxa" w:w="1170"/>
            <w:tcMar>
              <w:top w:w="80" w:type="dxa"/>
              <w:bottom w:w="80" w:type="dxa"/>
              <w:left w:w="120" w:type="dxa"/>
              <w:right w:w="120" w:type="dxa"/>
            </w:tcMar>
          </w:tcPr>
          <w:p>
            <w:pPr>
              <w:spacing w:after="40" w:before="40"/>
            </w:pPr>
            <w:r>
              <w:rPr>
                <w:rFonts w:ascii="Times New Roman" w:hAnsi="Times New Roman"/>
                <w:sz w:val="20"/>
              </w:rPr>
              <w:t>$35.00</w:t>
            </w:r>
          </w:p>
        </w:tc>
        <w:tc>
          <w:tcPr>
            <w:tcW w:type="dxa" w:w="1170"/>
            <w:tcMar>
              <w:top w:w="80" w:type="dxa"/>
              <w:bottom w:w="80" w:type="dxa"/>
              <w:left w:w="120" w:type="dxa"/>
              <w:right w:w="120" w:type="dxa"/>
            </w:tcMar>
          </w:tcPr>
          <w:p>
            <w:pPr>
              <w:spacing w:after="40" w:before="40"/>
            </w:pPr>
            <w:r>
              <w:rPr>
                <w:rFonts w:ascii="Times New Roman" w:hAnsi="Times New Roman"/>
                <w:sz w:val="20"/>
              </w:rPr>
              <w:t>2.04 ★</w:t>
            </w:r>
          </w:p>
        </w:tc>
        <w:tc>
          <w:tcPr>
            <w:tcW w:type="dxa" w:w="1170"/>
            <w:tcMar>
              <w:top w:w="80" w:type="dxa"/>
              <w:bottom w:w="80" w:type="dxa"/>
              <w:left w:w="120" w:type="dxa"/>
              <w:right w:w="120" w:type="dxa"/>
            </w:tcMar>
          </w:tcPr>
          <w:p>
            <w:pPr>
              <w:spacing w:after="40" w:before="40"/>
            </w:pPr>
            <w:r>
              <w:rPr>
                <w:rFonts w:ascii="Times New Roman" w:hAnsi="Times New Roman"/>
                <w:sz w:val="20"/>
              </w:rPr>
              <w:t>7.00 / 10</w:t>
            </w:r>
          </w:p>
        </w:tc>
        <w:tc>
          <w:tcPr>
            <w:tcW w:type="dxa" w:w="1170"/>
            <w:tcMar>
              <w:top w:w="80" w:type="dxa"/>
              <w:bottom w:w="80" w:type="dxa"/>
              <w:left w:w="120" w:type="dxa"/>
              <w:right w:w="120" w:type="dxa"/>
            </w:tcMar>
          </w:tcPr>
          <w:p>
            <w:pPr>
              <w:spacing w:after="40" w:before="40"/>
            </w:pPr>
            <w:r>
              <w:rPr>
                <w:rFonts w:ascii="Times New Roman" w:hAnsi="Times New Roman"/>
                <w:sz w:val="20"/>
              </w:rPr>
              <w:t>2.3%</w:t>
            </w:r>
          </w:p>
        </w:tc>
        <w:tc>
          <w:tcPr>
            <w:tcW w:type="dxa" w:w="1170"/>
            <w:tcMar>
              <w:top w:w="80" w:type="dxa"/>
              <w:bottom w:w="80" w:type="dxa"/>
              <w:left w:w="120" w:type="dxa"/>
              <w:right w:w="120" w:type="dxa"/>
            </w:tcMar>
          </w:tcPr>
          <w:p>
            <w:pPr>
              <w:spacing w:after="40" w:before="40"/>
            </w:pPr>
            <w:r>
              <w:rPr>
                <w:rFonts w:ascii="Times New Roman" w:hAnsi="Times New Roman"/>
                <w:sz w:val="20"/>
              </w:rPr>
              <w:t>50.6%</w:t>
            </w:r>
          </w:p>
        </w:tc>
      </w:tr>
    </w:tbl>
    <w:p/>
    <w:p>
      <w:r>
        <w:t xml:space="preserve">The findings substantiate </w:t>
      </w:r>
      <w:r>
        <w:rPr>
          <w:b/>
        </w:rPr>
        <w:t>$H_4$</w:t>
      </w:r>
      <w:r>
        <w:t>:</w:t>
      </w:r>
    </w:p>
    <w:p>
      <w:r>
        <w:rPr>
          <w:i/>
        </w:rPr>
        <w:t xml:space="preserve"> </w:t>
      </w:r>
      <w:r>
        <w:rPr>
          <w:i/>
        </w:rPr>
        <w:t>Amenity Bundling in Emerging Markets:</w:t>
      </w:r>
      <w:r>
        <w:rPr>
          <w:i/>
        </w:rPr>
        <w:t xml:space="preserve"> In price-sensitive emerging markets (e.g., Cox's Bazar, Dhaka, Chittagong, Sylhet), </w:t>
      </w:r>
      <w:r>
        <w:rPr>
          <w:i/>
        </w:rPr>
        <w:t>$50.6\%$ of hotels bundle complimentary breakfast</w:t>
      </w:r>
      <w:r>
        <w:t>* into their base rate to remain competitive, compared to only $14.1\%$ in metropolitan centers.</w:t>
      </w:r>
    </w:p>
    <w:p>
      <w:r>
        <w:rPr>
          <w:i/>
        </w:rPr>
        <w:t xml:space="preserve"> </w:t>
      </w:r>
      <w:r>
        <w:rPr>
          <w:i/>
        </w:rPr>
        <w:t>Spatial Rent Density in Metropoles:</w:t>
      </w:r>
      <w:r>
        <w:rPr>
          <w:i/>
        </w:rPr>
        <w:t xml:space="preserve"> Metropolitan hubs command a </w:t>
      </w:r>
      <w:r>
        <w:rPr>
          <w:i/>
        </w:rPr>
        <w:t>$+293\%$ price premium over emerging destinations</w:t>
      </w:r>
      <w:r>
        <w:t>* ($\$259.25$ vs. $\$65.96$), driven not by physical leisure amenities (swimming pool prevalence is only $0.8\%$), but by extreme spatial land-rent density and proximity to business centers.</w:t>
      </w:r>
    </w:p>
    <w:p>
      <w:pPr>
        <w:keepNext/>
        <w:spacing w:before="320" w:after="120"/>
      </w:pPr>
      <w:r>
        <w:rPr>
          <w:rFonts w:ascii="Times New Roman" w:hAnsi="Times New Roman"/>
          <w:b/>
          <w:color w:val="003366"/>
          <w:sz w:val="28"/>
        </w:rPr>
        <w:t>5. Discussion</w:t>
      </w:r>
    </w:p>
    <w:p>
      <w:pPr>
        <w:keepNext/>
        <w:spacing w:before="240" w:after="80"/>
      </w:pPr>
      <w:r>
        <w:rPr>
          <w:rFonts w:ascii="Times New Roman" w:hAnsi="Times New Roman"/>
          <w:b/>
          <w:i/>
          <w:color w:val="222222"/>
          <w:sz w:val="25"/>
        </w:rPr>
        <w:t>5.1 Reconciling Econometric Theory with Machine Learning (XAI)</w:t>
      </w:r>
    </w:p>
    <w:p>
      <w:r>
        <w:t>This research resolves a long-standing impasse in hospitality economics: the forced choice between econometric interpretability and machine learning predictive power. By embedding Tree-SHAP into gradient boosted tree architectures, we achieve both high out-of-sample accuracy ($R^2 = 0.8807$) and transparent marginal willingness-to-pay valuations.</w:t>
      </w:r>
    </w:p>
    <w:p>
      <w:r>
        <w:t>Our findings demonstrate that classical linear models suffer from severe specification error ($R^2$ deficit of $\sim 11\%$, MAPE inflation of $+12.6\%$) because they cannot model multi-way interaction synergies—such as the interaction between high review counts and luxury star tiers—or the discrete psychological threshold jumps observed in reputation ratings (e.g., crossing from 7.9 to 8.0).</w:t>
      </w:r>
    </w:p>
    <w:p>
      <w:pPr>
        <w:keepNext/>
        <w:spacing w:before="240" w:after="80"/>
      </w:pPr>
      <w:r>
        <w:rPr>
          <w:rFonts w:ascii="Times New Roman" w:hAnsi="Times New Roman"/>
          <w:b/>
          <w:i/>
          <w:color w:val="222222"/>
          <w:sz w:val="25"/>
        </w:rPr>
        <w:t>5.2 The Hegemony of Reputation Capital over Star Ratings</w:t>
      </w:r>
    </w:p>
    <w:p>
      <w:r>
        <w:t>A central theoretical insight of this paper is the empirical subordination of physical star classifications to digital reputation capital. While traditional travel guidebooks relied on star ratings as the definitive quality proxy, contemporary OTA consumers rely on peer review volume (</w:t>
      </w:r>
      <w:r>
        <w:rPr>
          <w:rFonts w:ascii="Consolas" w:hAnsi="Consolas"/>
          <w:color w:val="882222"/>
          <w:sz w:val="21"/>
        </w:rPr>
        <w:t>review_count</w:t>
      </w:r>
      <w:r>
        <w:t xml:space="preserve"> $\text{SHAP} = 0.1998$) and score (</w:t>
      </w:r>
      <w:r>
        <w:rPr>
          <w:rFonts w:ascii="Consolas" w:hAnsi="Consolas"/>
          <w:color w:val="882222"/>
          <w:sz w:val="21"/>
        </w:rPr>
        <w:t>review_score_overall</w:t>
      </w:r>
      <w:r>
        <w:t xml:space="preserve"> $\text{SHAP} = 0.1478$).</w:t>
      </w:r>
    </w:p>
    <w:p>
      <w:r>
        <w:t xml:space="preserve">Under Signaling Theory (Spence, 1973), review volume acts as a </w:t>
      </w:r>
      <w:r>
        <w:rPr>
          <w:b/>
        </w:rPr>
        <w:t>social proof heuristic</w:t>
      </w:r>
      <w:r>
        <w:t xml:space="preserve"> indicating property reliability and operational continuity, while review scores provide granular quality verification. Hoteliers can no longer rely solely on physical star infrastructure to justify premium pricing; digital reputation management directly dictates pricing power.</w:t>
      </w:r>
    </w:p>
    <w:p>
      <w:pPr>
        <w:keepNext/>
        <w:spacing w:before="240" w:after="80"/>
      </w:pPr>
      <w:r>
        <w:rPr>
          <w:rFonts w:ascii="Times New Roman" w:hAnsi="Times New Roman"/>
          <w:b/>
          <w:i/>
          <w:color w:val="222222"/>
          <w:sz w:val="25"/>
        </w:rPr>
        <w:t>5.3 Algorithmic Dynamic Yield Management</w:t>
      </w:r>
    </w:p>
    <w:p>
      <w:r>
        <w:t xml:space="preserve">The empirical identification of a </w:t>
      </w:r>
      <w:r>
        <w:rPr>
          <w:b/>
        </w:rPr>
        <w:t>$+37.9\%$ price surge</w:t>
      </w:r>
      <w:r>
        <w:t xml:space="preserve"> within the 30-day booking window provides quantitative evidence of algorithmic dynamic pricing in action. While classical economics assumes prices adjust smoothly to clear markets, OTA revenue algorithms implement steep, non-linear step functions as available inventory depletes and consumer booking urgency increases.</w:t>
      </w:r>
    </w:p>
    <w:p>
      <w:pPr>
        <w:keepNext/>
        <w:spacing w:before="320" w:after="120"/>
      </w:pPr>
      <w:r>
        <w:rPr>
          <w:rFonts w:ascii="Times New Roman" w:hAnsi="Times New Roman"/>
          <w:b/>
          <w:color w:val="003366"/>
          <w:sz w:val="28"/>
        </w:rPr>
        <w:t>6. Policy &amp; Managerial Implications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EAEAEA"/>
            <w:tcMar>
              <w:top w:w="80" w:type="dxa"/>
              <w:bottom w:w="80" w:type="dxa"/>
              <w:left w:w="120" w:type="dxa"/>
              <w:right w:w="120" w:type="dxa"/>
            </w:tcMar>
          </w:tcPr>
          <w:p>
            <w:pPr>
              <w:spacing w:after="40" w:before="40"/>
            </w:pPr>
            <w:r>
              <w:rPr>
                <w:rFonts w:ascii="Times New Roman" w:hAnsi="Times New Roman"/>
                <w:b/>
                <w:sz w:val="20"/>
              </w:rPr>
              <w:t>▼</w:t>
            </w:r>
          </w:p>
        </w:tc>
        <w:tc>
          <w:tcPr>
            <w:tcW w:type="dxa" w:w="3120"/>
            <w:shd w:fill="EAEAEA"/>
            <w:tcMar>
              <w:top w:w="80" w:type="dxa"/>
              <w:bottom w:w="80" w:type="dxa"/>
              <w:left w:w="120" w:type="dxa"/>
              <w:right w:w="120" w:type="dxa"/>
            </w:tcMar>
          </w:tcPr>
          <w:p>
            <w:pPr>
              <w:spacing w:after="40" w:before="40"/>
            </w:pPr>
            <w:r>
              <w:rPr>
                <w:rFonts w:ascii="Times New Roman" w:hAnsi="Times New Roman"/>
                <w:b/>
                <w:sz w:val="20"/>
              </w:rPr>
              <w:t>▼</w:t>
            </w:r>
          </w:p>
        </w:tc>
        <w:tc>
          <w:tcPr>
            <w:tcW w:type="dxa" w:w="3120"/>
            <w:shd w:fill="EAEAEA"/>
            <w:tcMar>
              <w:top w:w="80" w:type="dxa"/>
              <w:bottom w:w="80" w:type="dxa"/>
              <w:left w:w="120" w:type="dxa"/>
              <w:right w:w="120" w:type="dxa"/>
            </w:tcMar>
          </w:tcPr>
          <w:p>
            <w:pPr>
              <w:spacing w:after="40" w:before="40"/>
            </w:pPr>
            <w:r>
              <w:rPr>
                <w:rFonts w:ascii="Times New Roman" w:hAnsi="Times New Roman"/>
                <w:b/>
                <w:sz w:val="20"/>
              </w:rPr>
              <w:t>▼</w:t>
            </w:r>
          </w:p>
        </w:tc>
      </w:tr>
      <w:tr>
        <w:tc>
          <w:tcPr>
            <w:tcW w:type="dxa" w:w="3120"/>
            <w:shd w:fill="F9F9F9"/>
            <w:tcMar>
              <w:top w:w="80" w:type="dxa"/>
              <w:bottom w:w="80" w:type="dxa"/>
              <w:left w:w="120" w:type="dxa"/>
              <w:right w:w="120" w:type="dxa"/>
            </w:tcMar>
          </w:tcPr>
          <w:p>
            <w:pPr>
              <w:spacing w:after="40" w:before="40"/>
            </w:pPr>
            <w:r>
              <w:rPr>
                <w:rFonts w:ascii="Times New Roman" w:hAnsi="Times New Roman"/>
                <w:sz w:val="20"/>
              </w:rPr>
              <w:t>[1. Hotel Revenue Management]</w:t>
            </w:r>
          </w:p>
        </w:tc>
        <w:tc>
          <w:tcPr>
            <w:tcW w:type="dxa" w:w="3120"/>
            <w:shd w:fill="F9F9F9"/>
            <w:tcMar>
              <w:top w:w="80" w:type="dxa"/>
              <w:bottom w:w="80" w:type="dxa"/>
              <w:left w:w="120" w:type="dxa"/>
              <w:right w:w="120" w:type="dxa"/>
            </w:tcMar>
          </w:tcPr>
          <w:p>
            <w:pPr>
              <w:spacing w:after="40" w:before="40"/>
            </w:pPr>
            <w:r>
              <w:rPr>
                <w:rFonts w:ascii="Times New Roman" w:hAnsi="Times New Roman"/>
                <w:sz w:val="20"/>
              </w:rPr>
              <w:t>[2. Municipal Urban Planning]</w:t>
            </w:r>
          </w:p>
        </w:tc>
        <w:tc>
          <w:tcPr>
            <w:tcW w:type="dxa" w:w="3120"/>
            <w:shd w:fill="F9F9F9"/>
            <w:tcMar>
              <w:top w:w="80" w:type="dxa"/>
              <w:bottom w:w="80" w:type="dxa"/>
              <w:left w:w="120" w:type="dxa"/>
              <w:right w:w="120" w:type="dxa"/>
            </w:tcMar>
          </w:tcPr>
          <w:p>
            <w:pPr>
              <w:spacing w:after="40" w:before="40"/>
            </w:pPr>
            <w:r>
              <w:rPr>
                <w:rFonts w:ascii="Times New Roman" w:hAnsi="Times New Roman"/>
                <w:sz w:val="20"/>
              </w:rPr>
              <w:t>[3. Fair Tourism Taxation]</w:t>
            </w:r>
          </w:p>
        </w:tc>
      </w:tr>
      <w:tr>
        <w:tc>
          <w:tcPr>
            <w:tcW w:type="dxa" w:w="3120"/>
            <w:tcMar>
              <w:top w:w="80" w:type="dxa"/>
              <w:bottom w:w="80" w:type="dxa"/>
              <w:left w:w="120" w:type="dxa"/>
              <w:right w:w="120" w:type="dxa"/>
            </w:tcMar>
          </w:tcPr>
          <w:p>
            <w:pPr>
              <w:spacing w:after="40" w:before="40"/>
            </w:pPr>
            <w:r>
              <w:rPr>
                <w:rFonts w:ascii="Times New Roman" w:hAnsi="Times New Roman"/>
                <w:sz w:val="20"/>
              </w:rPr>
              <w:t>• Shift capital from physical</w:t>
            </w:r>
          </w:p>
        </w:tc>
        <w:tc>
          <w:tcPr>
            <w:tcW w:type="dxa" w:w="3120"/>
            <w:tcMar>
              <w:top w:w="80" w:type="dxa"/>
              <w:bottom w:w="80" w:type="dxa"/>
              <w:left w:w="120" w:type="dxa"/>
              <w:right w:w="120" w:type="dxa"/>
            </w:tcMar>
          </w:tcPr>
          <w:p>
            <w:pPr>
              <w:spacing w:after="40" w:before="40"/>
            </w:pPr>
            <w:r>
              <w:rPr>
                <w:rFonts w:ascii="Times New Roman" w:hAnsi="Times New Roman"/>
                <w:sz w:val="20"/>
              </w:rPr>
              <w:t>• Quantify transport ROI via</w:t>
            </w:r>
          </w:p>
        </w:tc>
        <w:tc>
          <w:tcPr>
            <w:tcW w:type="dxa" w:w="3120"/>
            <w:tcMar>
              <w:top w:w="80" w:type="dxa"/>
              <w:bottom w:w="80" w:type="dxa"/>
              <w:left w:w="120" w:type="dxa"/>
              <w:right w:w="120" w:type="dxa"/>
            </w:tcMar>
          </w:tcPr>
          <w:p>
            <w:pPr>
              <w:spacing w:after="40" w:before="40"/>
            </w:pPr>
            <w:r>
              <w:rPr>
                <w:rFonts w:ascii="Times New Roman" w:hAnsi="Times New Roman"/>
                <w:sz w:val="20"/>
              </w:rPr>
              <w:t>• Replace regressive flat</w:t>
            </w:r>
          </w:p>
        </w:tc>
      </w:tr>
      <w:tr>
        <w:tc>
          <w:tcPr>
            <w:tcW w:type="dxa" w:w="3120"/>
            <w:shd w:fill="F9F9F9"/>
            <w:tcMar>
              <w:top w:w="80" w:type="dxa"/>
              <w:bottom w:w="80" w:type="dxa"/>
              <w:left w:w="120" w:type="dxa"/>
              <w:right w:w="120" w:type="dxa"/>
            </w:tcMar>
          </w:tcPr>
          <w:p>
            <w:pPr>
              <w:spacing w:after="40" w:before="40"/>
            </w:pPr>
            <w:r>
              <w:rPr>
                <w:rFonts w:ascii="Times New Roman" w:hAnsi="Times New Roman"/>
                <w:sz w:val="20"/>
              </w:rPr>
              <w:t>amenities to reputation</w:t>
            </w:r>
          </w:p>
        </w:tc>
        <w:tc>
          <w:tcPr>
            <w:tcW w:type="dxa" w:w="3120"/>
            <w:shd w:fill="F9F9F9"/>
            <w:tcMar>
              <w:top w:w="80" w:type="dxa"/>
              <w:bottom w:w="80" w:type="dxa"/>
              <w:left w:w="120" w:type="dxa"/>
              <w:right w:w="120" w:type="dxa"/>
            </w:tcMar>
          </w:tcPr>
          <w:p>
            <w:pPr>
              <w:spacing w:after="40" w:before="40"/>
            </w:pPr>
            <w:r>
              <w:rPr>
                <w:rFonts w:ascii="Times New Roman" w:hAnsi="Times New Roman"/>
                <w:sz w:val="20"/>
              </w:rPr>
              <w:t>spatial rent gradient (ΔP/km)</w:t>
            </w:r>
          </w:p>
        </w:tc>
        <w:tc>
          <w:tcPr>
            <w:tcW w:type="dxa" w:w="3120"/>
            <w:shd w:fill="F9F9F9"/>
            <w:tcMar>
              <w:top w:w="80" w:type="dxa"/>
              <w:bottom w:w="80" w:type="dxa"/>
              <w:left w:w="120" w:type="dxa"/>
              <w:right w:w="120" w:type="dxa"/>
            </w:tcMar>
          </w:tcPr>
          <w:p>
            <w:pPr>
              <w:spacing w:after="40" w:before="40"/>
            </w:pPr>
            <w:r>
              <w:rPr>
                <w:rFonts w:ascii="Times New Roman" w:hAnsi="Times New Roman"/>
                <w:sz w:val="20"/>
              </w:rPr>
              <w:t>bed taxes with value-based</w:t>
            </w:r>
          </w:p>
        </w:tc>
      </w:tr>
      <w:tr>
        <w:tc>
          <w:tcPr>
            <w:tcW w:type="dxa" w:w="3120"/>
            <w:tcMar>
              <w:top w:w="80" w:type="dxa"/>
              <w:bottom w:w="80" w:type="dxa"/>
              <w:left w:w="120" w:type="dxa"/>
              <w:right w:w="120" w:type="dxa"/>
            </w:tcMar>
          </w:tcPr>
          <w:p>
            <w:pPr>
              <w:spacing w:after="40" w:before="40"/>
            </w:pPr>
            <w:r>
              <w:rPr>
                <w:rFonts w:ascii="Times New Roman" w:hAnsi="Times New Roman"/>
                <w:sz w:val="20"/>
              </w:rPr>
              <w:t>management &amp; guest service</w:t>
            </w:r>
          </w:p>
        </w:tc>
        <w:tc>
          <w:tcPr>
            <w:tcW w:type="dxa" w:w="3120"/>
            <w:tcMar>
              <w:top w:w="80" w:type="dxa"/>
              <w:bottom w:w="80" w:type="dxa"/>
              <w:left w:w="120" w:type="dxa"/>
              <w:right w:w="120" w:type="dxa"/>
            </w:tcMar>
          </w:tcPr>
          <w:p>
            <w:pPr>
              <w:spacing w:after="40" w:before="40"/>
            </w:pPr>
            <w:r>
              <w:rPr>
                <w:rFonts w:ascii="Times New Roman" w:hAnsi="Times New Roman"/>
                <w:sz w:val="20"/>
              </w:rPr>
              <w:t>• Target infrastructure in</w:t>
            </w:r>
          </w:p>
        </w:tc>
        <w:tc>
          <w:tcPr>
            <w:tcW w:type="dxa" w:w="3120"/>
            <w:tcMar>
              <w:top w:w="80" w:type="dxa"/>
              <w:bottom w:w="80" w:type="dxa"/>
              <w:left w:w="120" w:type="dxa"/>
              <w:right w:w="120" w:type="dxa"/>
            </w:tcMar>
          </w:tcPr>
          <w:p>
            <w:pPr>
              <w:spacing w:after="40" w:before="40"/>
            </w:pPr>
            <w:r>
              <w:rPr>
                <w:rFonts w:ascii="Times New Roman" w:hAnsi="Times New Roman"/>
                <w:sz w:val="20"/>
              </w:rPr>
              <w:t>progressive dynamic levies</w:t>
            </w:r>
          </w:p>
        </w:tc>
      </w:tr>
      <w:tr>
        <w:tc>
          <w:tcPr>
            <w:tcW w:type="dxa" w:w="3120"/>
            <w:shd w:fill="F9F9F9"/>
            <w:tcMar>
              <w:top w:w="80" w:type="dxa"/>
              <w:bottom w:w="80" w:type="dxa"/>
              <w:left w:w="120" w:type="dxa"/>
              <w:right w:w="120" w:type="dxa"/>
            </w:tcMar>
          </w:tcPr>
          <w:p>
            <w:pPr>
              <w:spacing w:after="40" w:before="40"/>
            </w:pPr>
            <w:r>
              <w:rPr>
                <w:rFonts w:ascii="Times New Roman" w:hAnsi="Times New Roman"/>
                <w:sz w:val="20"/>
              </w:rPr>
              <w:t>• Optimize dynamic booking</w:t>
            </w:r>
          </w:p>
        </w:tc>
        <w:tc>
          <w:tcPr>
            <w:tcW w:type="dxa" w:w="3120"/>
            <w:shd w:fill="F9F9F9"/>
            <w:tcMar>
              <w:top w:w="80" w:type="dxa"/>
              <w:bottom w:w="80" w:type="dxa"/>
              <w:left w:w="120" w:type="dxa"/>
              <w:right w:w="120" w:type="dxa"/>
            </w:tcMar>
          </w:tcPr>
          <w:p>
            <w:pPr>
              <w:spacing w:after="40" w:before="40"/>
            </w:pPr>
            <w:r>
              <w:rPr>
                <w:rFonts w:ascii="Times New Roman" w:hAnsi="Times New Roman"/>
                <w:sz w:val="20"/>
              </w:rPr>
              <w:t>emerging regional tourism hubs</w:t>
            </w:r>
          </w:p>
        </w:tc>
        <w:tc>
          <w:tcPr>
            <w:tcW w:type="dxa" w:w="3120"/>
            <w:shd w:fill="F9F9F9"/>
            <w:tcMar>
              <w:top w:w="80" w:type="dxa"/>
              <w:bottom w:w="80" w:type="dxa"/>
              <w:left w:w="120" w:type="dxa"/>
              <w:right w:w="120" w:type="dxa"/>
            </w:tcMar>
          </w:tcPr>
          <w:p>
            <w:pPr>
              <w:spacing w:after="40" w:before="40"/>
            </w:pPr>
            <w:r>
              <w:rPr>
                <w:rFonts w:ascii="Times New Roman" w:hAnsi="Times New Roman"/>
                <w:sz w:val="20"/>
              </w:rPr>
              <w:t>• Regulate anti-consumer</w:t>
            </w:r>
          </w:p>
        </w:tc>
      </w:tr>
      <w:tr>
        <w:tc>
          <w:tcPr>
            <w:tcW w:type="dxa" w:w="3120"/>
            <w:tcMar>
              <w:top w:w="80" w:type="dxa"/>
              <w:bottom w:w="80" w:type="dxa"/>
              <w:left w:w="120" w:type="dxa"/>
              <w:right w:w="120" w:type="dxa"/>
            </w:tcMar>
          </w:tcPr>
          <w:p>
            <w:pPr>
              <w:spacing w:after="40" w:before="40"/>
            </w:pPr>
            <w:r>
              <w:rPr>
                <w:rFonts w:ascii="Times New Roman" w:hAnsi="Times New Roman"/>
                <w:sz w:val="20"/>
              </w:rPr>
              <w:t>pace curves (30-day surge)</w:t>
            </w:r>
          </w:p>
        </w:tc>
        <w:tc>
          <w:tcPr>
            <w:tcW w:type="dxa" w:w="3120"/>
            <w:tcMar>
              <w:top w:w="80" w:type="dxa"/>
              <w:bottom w:w="80" w:type="dxa"/>
              <w:left w:w="120" w:type="dxa"/>
              <w:right w:w="120" w:type="dxa"/>
            </w:tcMar>
          </w:tcPr>
          <w:p>
            <w:pPr>
              <w:spacing w:after="40" w:before="40"/>
            </w:pPr>
            <w:r>
              <w:rPr>
                <w:rFonts w:ascii="Times New Roman" w:hAnsi="Times New Roman"/>
                <w:sz w:val="20"/>
              </w:rPr>
              <w:t>scarcity exploitation</w:t>
            </w:r>
          </w:p>
        </w:tc>
        <w:tc>
          <w:tcPr>
            <w:tcW w:type="dxa" w:w="3120"/>
            <w:tcMar>
              <w:top w:w="80" w:type="dxa"/>
              <w:bottom w:w="80" w:type="dxa"/>
              <w:left w:w="120" w:type="dxa"/>
              <w:right w:w="120" w:type="dxa"/>
            </w:tcMar>
          </w:tcPr>
          <w:p>
            <w:pPr>
              <w:spacing w:after="40" w:before="40"/>
            </w:pPr>
            <w:r>
              <w:rPr>
                <w:rFonts w:ascii="Times New Roman" w:hAnsi="Times New Roman"/>
                <w:sz w:val="20"/>
              </w:rPr>
            </w:r>
          </w:p>
        </w:tc>
      </w:tr>
    </w:tbl>
    <w:p/>
    <w:p>
      <w:pPr>
        <w:keepNext/>
        <w:spacing w:before="240" w:after="80"/>
      </w:pPr>
      <w:r>
        <w:rPr>
          <w:rFonts w:ascii="Times New Roman" w:hAnsi="Times New Roman"/>
          <w:b/>
          <w:i/>
          <w:color w:val="222222"/>
          <w:sz w:val="25"/>
        </w:rPr>
        <w:t>6.1 Managerial Implications for Hoteliers</w:t>
      </w:r>
    </w:p>
    <w:p>
      <w:r>
        <w:t xml:space="preserve">1. </w:t>
      </w:r>
      <w:r>
        <w:rPr>
          <w:b/>
        </w:rPr>
        <w:t>Reputation ROI vs. Physical Capex:</w:t>
      </w:r>
      <w:r>
        <w:t xml:space="preserve"> Given that reputation metrics exert higher marginal pricing influence than physical star tiers, hotel asset managers should reallocate capital expenditure from low-utilization physical amenities (e.g., expensive fitness centers) toward guest-experience touchpoints that drive 9.0+ review scores (cleanliness, staff responsiveness, seamless check-in).</w:t>
      </w:r>
    </w:p>
    <w:p>
      <w:r>
        <w:t xml:space="preserve">2. </w:t>
      </w:r>
      <w:r>
        <w:rPr>
          <w:b/>
        </w:rPr>
        <w:t>Dynamic Lead-Time Pricing Optimization:</w:t>
      </w:r>
      <w:r>
        <w:t xml:space="preserve"> Independent and boutique hotels can benchmark their dynamic pricing curves against the empirical $+37.9\%$ 30-day baseline to avoid premature discounting or suboptimal early-bird pricing.</w:t>
      </w:r>
    </w:p>
    <w:p>
      <w:pPr>
        <w:keepNext/>
        <w:spacing w:before="240" w:after="80"/>
      </w:pPr>
      <w:r>
        <w:rPr>
          <w:rFonts w:ascii="Times New Roman" w:hAnsi="Times New Roman"/>
          <w:b/>
          <w:i/>
          <w:color w:val="222222"/>
          <w:sz w:val="25"/>
        </w:rPr>
        <w:t>6.2 Public Policy &amp; Municipal Urban Planning</w:t>
      </w:r>
    </w:p>
    <w:p>
      <w:r>
        <w:t xml:space="preserve">1. </w:t>
      </w:r>
      <w:r>
        <w:rPr>
          <w:b/>
        </w:rPr>
        <w:t>Public Transit Investment Valuation:</w:t>
      </w:r>
      <w:r>
        <w:t xml:space="preserve"> By measuring the spatial rent decay gradient ($\text{SHAP} = 0.0631$), municipal transport authorities can calculate the private real estate and hotel yield value unlocked by extending subway lines, bus rapid transit (BRT), or airport rail links.</w:t>
      </w:r>
    </w:p>
    <w:p>
      <w:r>
        <w:t xml:space="preserve">2. </w:t>
      </w:r>
      <w:r>
        <w:rPr>
          <w:b/>
        </w:rPr>
        <w:t>Developing Destination Infrastructure:</w:t>
      </w:r>
      <w:r>
        <w:t xml:space="preserve"> In emerging regional destinations (e.g., Cox's Bazar / Sylhet), where lower average review scores ($7.00 / 10$) and low pool prevalence suppress pricing power, national tourism boards should prioritize standardized hospitality training certifications and subsidized digital connectivity rather than luxury resort development.</w:t>
      </w:r>
    </w:p>
    <w:p>
      <w:pPr>
        <w:keepNext/>
        <w:spacing w:before="240" w:after="80"/>
      </w:pPr>
      <w:r>
        <w:rPr>
          <w:rFonts w:ascii="Times New Roman" w:hAnsi="Times New Roman"/>
          <w:b/>
          <w:i/>
          <w:color w:val="222222"/>
          <w:sz w:val="25"/>
        </w:rPr>
        <w:t>6.3 Smart Tourism Taxation &amp; Consumer Protection</w:t>
      </w:r>
    </w:p>
    <w:p>
      <w:r>
        <w:t xml:space="preserve">1. </w:t>
      </w:r>
      <w:r>
        <w:rPr>
          <w:b/>
        </w:rPr>
        <w:t>Progressive Bed Taxes:</w:t>
      </w:r>
      <w:r>
        <w:t xml:space="preserve"> Many tourist cities impose flat bed taxes (e.g., \$3/night). Municipal tax authorities can leverage this hedonic valuation framework to implement </w:t>
      </w:r>
      <w:r>
        <w:rPr>
          <w:b/>
        </w:rPr>
        <w:t>progressive, value-adjusted tourism levies</w:t>
      </w:r>
      <w:r>
        <w:t xml:space="preserve"> indexed to dynamic room rates and property quality tiers.</w:t>
      </w:r>
    </w:p>
    <w:p>
      <w:r>
        <w:t xml:space="preserve">2. </w:t>
      </w:r>
      <w:r>
        <w:rPr>
          <w:b/>
        </w:rPr>
        <w:t>Algorithmic Pricing Transparency:</w:t>
      </w:r>
      <w:r>
        <w:t xml:space="preserve"> Regulators and competition authorities can monitor OTA urgency tags ("</w:t>
      </w:r>
      <w:r>
        <w:rPr>
          <w:i/>
        </w:rPr>
        <w:t>Only 1 room left!</w:t>
      </w:r>
      <w:r>
        <w:t>") and dynamic surges to ensure algorithmic yield management does not cross into anti-competitive price gouging during peak demand or emergency events.</w:t>
      </w:r>
    </w:p>
    <w:p>
      <w:pPr>
        <w:keepNext/>
        <w:spacing w:before="320" w:after="120"/>
      </w:pPr>
      <w:r>
        <w:rPr>
          <w:rFonts w:ascii="Times New Roman" w:hAnsi="Times New Roman"/>
          <w:b/>
          <w:color w:val="003366"/>
          <w:sz w:val="28"/>
        </w:rPr>
        <w:t>7. Conclusion, Limitations &amp; Future Work</w:t>
      </w:r>
    </w:p>
    <w:p>
      <w:r>
        <w:t>This study establishes an Explainable Machine Learning (XAI) framework for hedonic hotel pricing using a comprehensive panel dataset of 4,426 properties across 34 global destinations and three booking lead times. We demonstrate that non-linear ensemble learners significantly outperform classical econometric regressions ($R^2 = 0.8807$ vs. $0.7714$), identify the dominance of consumer reputation capital over physical star classifications, quantify a $+37.9\%$ dynamic price surge within the 30-day booking horizon, and establish the context-dependent nature of amenity bundling across tourism typologies.</w:t>
      </w:r>
    </w:p>
    <w:p>
      <w:pPr>
        <w:keepNext/>
        <w:spacing w:before="240" w:after="80"/>
      </w:pPr>
      <w:r>
        <w:rPr>
          <w:rFonts w:ascii="Times New Roman" w:hAnsi="Times New Roman"/>
          <w:b/>
          <w:i/>
          <w:color w:val="222222"/>
          <w:sz w:val="25"/>
        </w:rPr>
        <w:t>Limitations &amp; Future Research</w:t>
      </w:r>
    </w:p>
    <w:p>
      <w:r>
        <w:t xml:space="preserve">1. </w:t>
      </w:r>
      <w:r>
        <w:rPr>
          <w:b/>
        </w:rPr>
        <w:t>Multimodal NLP Integration:</w:t>
      </w:r>
      <w:r>
        <w:t xml:space="preserve"> While this study incorporates structured numerical sub-scores, future research should integrate Large Language Models (LLMs) to perform Aspect-Based Sentiment Analysis (ABSA) on free-text customer reviews.</w:t>
      </w:r>
    </w:p>
    <w:p>
      <w:r>
        <w:t xml:space="preserve">2. </w:t>
      </w:r>
      <w:r>
        <w:rPr>
          <w:b/>
        </w:rPr>
        <w:t>High-Frequency Panel Tracking:</w:t>
      </w:r>
      <w:r>
        <w:t xml:space="preserve"> Extending data collection to daily dynamic tracking across an entire calendar year would enable fine-grained modeling of seasonal festival spikes and macroeconomic exchange rate fluctuations.</w:t>
      </w:r>
    </w:p>
    <w:p>
      <w:pPr>
        <w:keepNext/>
        <w:spacing w:before="320" w:after="120"/>
      </w:pPr>
      <w:r>
        <w:rPr>
          <w:rFonts w:ascii="Times New Roman" w:hAnsi="Times New Roman"/>
          <w:b/>
          <w:color w:val="003366"/>
          <w:sz w:val="28"/>
        </w:rPr>
        <w:t>References</w:t>
      </w:r>
    </w:p>
    <w:p>
      <w:r>
        <w:rPr>
          <w:i/>
        </w:rPr>
        <w:t xml:space="preserve"> Alonso, W. (1964). </w:t>
      </w:r>
      <w:r>
        <w:t>Location and land use: Toward a general theory of land rent*. Harvard University Press.</w:t>
      </w:r>
    </w:p>
    <w:p>
      <w:r>
        <w:rPr>
          <w:i/>
        </w:rPr>
        <w:t xml:space="preserve"> Breiman, L. (2001). Random forests. </w:t>
      </w:r>
      <w:r>
        <w:t>Machine Learning*, 45(1), 5-32.</w:t>
      </w:r>
    </w:p>
    <w:p>
      <w:r>
        <w:rPr>
          <w:i/>
        </w:rPr>
        <w:t xml:space="preserve"> Chen, C. F., &amp; Rothschild, R. (2010). An application of hedonic pricing analysis to the case of hotel rooms in Taipei. </w:t>
      </w:r>
      <w:r>
        <w:t>Tourism Economics*, 16(3), 685-694.</w:t>
      </w:r>
    </w:p>
    <w:p>
      <w:r>
        <w:rPr>
          <w:i/>
        </w:rPr>
        <w:t xml:space="preserve"> Chen, T., &amp; Guestrin, C. (2016). XGBoost: A scalable tree boosting system. </w:t>
      </w:r>
      <w:r>
        <w:t>ACM SIGKDD International Conference on Knowledge Discovery and Data Mining*, 785-794.</w:t>
      </w:r>
    </w:p>
    <w:p>
      <w:r>
        <w:rPr>
          <w:i/>
        </w:rPr>
        <w:t xml:space="preserve"> Espinet, J. M., Saez, M., Coenders, G., &amp; Fluvià, M. (2003). Effect on prices of the attributes of holiday hotels: a hedonic prices approach. </w:t>
      </w:r>
      <w:r>
        <w:t>Tourism Economics*, 9(2), 165-177.</w:t>
      </w:r>
    </w:p>
    <w:p>
      <w:r>
        <w:rPr>
          <w:i/>
        </w:rPr>
        <w:t xml:space="preserve"> Giacalone, M., Santarcangelo, V., &amp; Schirripa Spagnolo, F. (2023). Hedonic price models and explainable machine learning: An application to Airbnb listings. </w:t>
      </w:r>
      <w:r>
        <w:t>Decisions in Economics and Finance*, 46(2), 485-512.</w:t>
      </w:r>
    </w:p>
    <w:p>
      <w:r>
        <w:rPr>
          <w:i/>
        </w:rPr>
        <w:t xml:space="preserve"> Ke, G., Meng, Q., Finley, T., Wang, T., Chen, W., Ma, W., ... &amp; Liu, T. Y. (2017). LightGBM: A highly efficient gradient boosting decision tree. </w:t>
      </w:r>
      <w:r>
        <w:t>Advances in Neural Information Processing Systems (NeurIPS)*, 30, 3146-3154.</w:t>
      </w:r>
    </w:p>
    <w:p>
      <w:r>
        <w:rPr>
          <w:i/>
        </w:rPr>
        <w:t xml:space="preserve"> Lancaster, K. J. (1966). A new approach to consumer theory. </w:t>
      </w:r>
      <w:r>
        <w:t>Journal of Political Economy*, 74(2), 132-157.</w:t>
      </w:r>
    </w:p>
    <w:p>
      <w:r>
        <w:rPr>
          <w:i/>
        </w:rPr>
        <w:t xml:space="preserve"> Li, J., Xu, L., Tang, L., Wang, S., &amp; Li, L. (2019). Big data in tourism research: A literature review. </w:t>
      </w:r>
      <w:r>
        <w:t>Tourism Management*, 68, 301-323.</w:t>
      </w:r>
    </w:p>
    <w:p>
      <w:r>
        <w:rPr>
          <w:i/>
        </w:rPr>
        <w:t xml:space="preserve"> Lundberg, S. M., &amp; Lee, S. I. (2017). A unified approach to interpreting model predictions. </w:t>
      </w:r>
      <w:r>
        <w:t>Advances in Neural Information Processing Systems (NeurIPS)*, 30, 4765-4774.</w:t>
      </w:r>
    </w:p>
    <w:p>
      <w:r>
        <w:rPr>
          <w:i/>
        </w:rPr>
        <w:t xml:space="preserve"> Moro, S., Rita, P., &amp; Oliveira, C. (2023). Factors influencing hotel room prices: An explainable artificial intelligence approach. </w:t>
      </w:r>
      <w:r>
        <w:t>International Journal of Hospitality Management*, 114, 103567.</w:t>
      </w:r>
    </w:p>
    <w:p>
      <w:r>
        <w:rPr>
          <w:i/>
        </w:rPr>
        <w:t xml:space="preserve"> Rosen, S. (1974). Hedonic prices and implicit markets: product differentiation in pure competition. </w:t>
      </w:r>
      <w:r>
        <w:t>Journal of Political Economy*, 82(1), 34-55.</w:t>
      </w:r>
    </w:p>
    <w:p>
      <w:r>
        <w:rPr>
          <w:i/>
        </w:rPr>
        <w:t xml:space="preserve"> Sanchez-Perez, M., Illescas-Manzano, M. D., &amp; Martinez-Puertas, S. (2020). Modeling hotel room prices using machine learning: An empirical evaluation. </w:t>
      </w:r>
      <w:r>
        <w:t>Journal of Hospitality &amp; Tourism Research*, 44(6), 940-966.</w:t>
      </w:r>
    </w:p>
    <w:p>
      <w:r>
        <w:rPr>
          <w:i/>
        </w:rPr>
        <w:t xml:space="preserve"> Schamel, G. (2012). Weekend vs. midweek hotel room rates. </w:t>
      </w:r>
      <w:r>
        <w:t>Tourism Economics*, 18(4), 801-815.</w:t>
      </w:r>
    </w:p>
    <w:p>
      <w:r>
        <w:rPr>
          <w:i/>
        </w:rPr>
        <w:t xml:space="preserve"> Shapley, L. S. (1953). A value for n-person games. </w:t>
      </w:r>
      <w:r>
        <w:t>Contributions to the Theory of Games*, 2(28), 307-317.</w:t>
      </w:r>
    </w:p>
    <w:p>
      <w:r>
        <w:rPr>
          <w:i/>
        </w:rPr>
        <w:t xml:space="preserve"> Spence, M. (1973). Job market signaling. </w:t>
      </w:r>
      <w:r>
        <w:t>The Quarterly Journal of Economics*, 87(3), 355-374.</w:t>
      </w:r>
    </w:p>
    <w:p>
      <w:r>
        <w:rPr>
          <w:i/>
        </w:rPr>
        <w:t xml:space="preserve"> Sun, S., Wang, D., &amp; Law, R. (2022). Pricing strategy of online travel agencies: A game-theoretic and explainable machine learning approach. </w:t>
      </w:r>
      <w:r>
        <w:t>Tourism Management*, 91, 104523.</w:t>
      </w:r>
    </w:p>
    <w:p>
      <w:r>
        <w:rPr>
          <w:i/>
        </w:rPr>
        <w:t xml:space="preserve"> Thrane, C. (2007). Examining the price determine structure in the hotel industry: A hedonic approach. </w:t>
      </w:r>
      <w:r>
        <w:t>Scandinavian Journal of Hospitality and Tourism*, 7(3), 268-281.</w:t>
      </w:r>
    </w:p>
    <w:p>
      <w:r>
        <w:rPr>
          <w:i/>
        </w:rPr>
        <w:t xml:space="preserve"> Viglia, G., Minazzi, R., &amp; Mauri, A. (2016). The impact of online review ratings and review numbers on dynamic prices. </w:t>
      </w:r>
      <w:r>
        <w:t>International Journal of Hospitality Management*, 54, 43-50.</w:t>
      </w:r>
    </w:p>
    <w:p>
      <w:r>
        <w:rPr>
          <w:i/>
        </w:rPr>
        <w:t xml:space="preserve"> Wang, D., &amp; Nicolau, J. L. (2017). Price determinants of sharing economy based accommodation: Rental living in Airbnb. </w:t>
      </w:r>
      <w:r>
        <w:t>International Journal of Hospitality Management*, 62, 120-131.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