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Namlameis — Project Improvement Roadmap &amp; Feature Plan</w:t>
      </w:r>
    </w:p>
    <w:p>
      <w:pPr>
        <w:pStyle w:val="Subtitle"/>
      </w:pPr>
      <w:r>
        <w:t xml:space="preserve">A strategy and feature roadmap for taking the site from launch-ready to category-leading. Prepared 30 June 2026.</w:t>
      </w:r>
    </w:p>
    <w:p>
      <w:pPr>
        <w:pStyle w:val="Heading1"/>
      </w:pPr>
      <w:r>
        <w:t xml:space="preserve">1. Executive Summary</w:t>
      </w:r>
    </w:p>
    <w:p>
      <w:r>
        <w:t xml:space="preserve">Namlameis is a static Next.js 16 marketing website for a Salzburg-based cybersecurity and AI-security firm. Technically it is in strong shape: it builds and lints cleanly, generates 40 static routes, ships a strict security-header policy (CSP, HSTS, frame-ancestors, and more), and has a complete SEO layer (sitemap, robots, dynamic Open Graph image, per-page metadata). The contact form is a hardened server action with Zod validation, a honeypot, and per-IP rate limiting.</w:t>
      </w:r>
    </w:p>
    <w:p>
      <w:r>
        <w:t xml:space="preserve">Two gaps dominate everything else. First, the site runs two design systems in parallel: 18 pages are on the polished, design-comp-accurate look, while 17 pages (Solutions, Industries, Platform, About, Leadership, Contact, and Legal) are still on an earlier styling. Second, several go-live items remain: the contact form submits nowhere, the legal pages are placeholder copy, and the Research page advertises a "first paper" that does not yet exist.</w:t>
      </w:r>
    </w:p>
    <w:p>
      <w:r>
        <w:t xml:space="preserve">Strategically, the opportunity is clear. The firm's five data-security services are written, by design, as the human-led counterpart to automated platforms such as Cyera, Varonis, and the wider DSPM / AI-SPM market. The differentiator is human depth plus breadth (offensive security and reputation defense that those platforms do not offer). The blocking gap is proof: no published research, no case studies, no metrics, and no analyst recognition yet.</w:t>
      </w:r>
    </w:p>
    <w:p>
      <w:pPr>
        <w:pStyle w:val="Heading1"/>
      </w:pPr>
      <w:r>
        <w:t xml:space="preserve">2. Current State — Audit Findings</w:t>
      </w:r>
    </w:p>
    <w:p>
      <w:pPr>
        <w:pStyle w:val="Heading2"/>
      </w:pPr>
      <w:r>
        <w:t xml:space="preserve">Strengths</w:t>
      </w:r>
    </w:p>
    <w:p>
      <w:pPr>
        <w:spacing w:after="60"/>
        <w:ind w:left="432" w:hanging="216"/>
      </w:pPr>
      <w:r>
        <w:t xml:space="preserve">•   Healthy build and lint (exit 0); fully static SSG; 40 routes.</w:t>
      </w:r>
    </w:p>
    <w:p>
      <w:pPr>
        <w:spacing w:after="60"/>
        <w:ind w:left="432" w:hanging="216"/>
      </w:pPr>
      <w:r>
        <w:t xml:space="preserve">•   Strong, genuinely thoughtful security headers and a hardened contact form (validation, honeypot, rate limiting).</w:t>
      </w:r>
    </w:p>
    <w:p>
      <w:pPr>
        <w:spacing w:after="60"/>
        <w:ind w:left="432" w:hanging="216"/>
      </w:pPr>
      <w:r>
        <w:t xml:space="preserve">•   Complete SEO: sitemap, robots, dynamic OG image, per-page metadata, structured-data-ready markup.</w:t>
      </w:r>
    </w:p>
    <w:p>
      <w:pPr>
        <w:spacing w:after="60"/>
        <w:ind w:left="432" w:hanging="216"/>
      </w:pPr>
      <w:r>
        <w:t xml:space="preserve">•   A mature, design-comp-accurate visual system for the converted pages, with a shared motion language and a reusable detail-page template.</w:t>
      </w:r>
    </w:p>
    <w:p>
      <w:pPr>
        <w:spacing w:after="60"/>
        <w:ind w:left="432" w:hanging="216"/>
      </w:pPr>
      <w:r>
        <w:t xml:space="preserve">•   High-quality, consistent copy with a coherent brand metaphor (the ant colony) and region-appropriate regulatory references (GDPR, Austrian DPA, DORA, NIS2, EU AI Act).</w:t>
      </w:r>
    </w:p>
    <w:p>
      <w:pPr>
        <w:pStyle w:val="Heading2"/>
      </w:pPr>
      <w:r>
        <w:t xml:space="preserve">Issues found in this audit</w:t>
      </w:r>
    </w:p>
    <w:p>
      <w:pPr>
        <w:spacing w:after="60"/>
        <w:ind w:left="432" w:hanging="216"/>
      </w:pPr>
      <w:r>
        <w:t xml:space="preserve">•   Dual design system — 17 pages still on the earlier styling; the two looks do not match.</w:t>
      </w:r>
    </w:p>
    <w:p>
      <w:pPr>
        <w:spacing w:after="60"/>
        <w:ind w:left="432" w:hanging="216"/>
      </w:pPr>
      <w:r>
        <w:t xml:space="preserve">•   Disciplines count contradicts itself: the homepage says five, About says four (and omits Data Security), and Vision says three (Cyber, AI, Narrative). The About figure is stale.</w:t>
      </w:r>
    </w:p>
    <w:p>
      <w:pPr>
        <w:spacing w:after="60"/>
        <w:ind w:left="432" w:hanging="216"/>
      </w:pPr>
      <w:r>
        <w:t xml:space="preserve">•   The Research page's featured "first paper" links to the page it is already on — a dead self-link with no paper behind it.</w:t>
      </w:r>
    </w:p>
    <w:p>
      <w:pPr>
        <w:spacing w:after="60"/>
        <w:ind w:left="432" w:hanging="216"/>
      </w:pPr>
      <w:r>
        <w:t xml:space="preserve">•   One Solutions card uses a longer title ("Vulnerability Discovery &amp; Offensive Security") than the homepage, navbar, and footer, which all use the short form.</w:t>
      </w:r>
    </w:p>
    <w:p>
      <w:pPr>
        <w:spacing w:after="60"/>
        <w:ind w:left="432" w:hanging="216"/>
      </w:pPr>
      <w:r>
        <w:t xml:space="preserve">•   Dead and inaccurate navigation data is exported from the site config but never imported anywhere, and is itself wrong (missing Vision, Research, Platform, Products, Services).</w:t>
      </w:r>
    </w:p>
    <w:p>
      <w:pPr>
        <w:spacing w:after="60"/>
        <w:ind w:left="432" w:hanging="216"/>
      </w:pPr>
      <w:r>
        <w:t xml:space="preserve">•   The homepage "landscape" chart axis skips a year (2021, 2022, 2023, 2024, 2026).</w:t>
      </w:r>
    </w:p>
    <w:p>
      <w:pPr>
        <w:spacing w:after="60"/>
        <w:ind w:left="432" w:hanging="216"/>
      </w:pPr>
      <w:r>
        <w:t xml:space="preserve">•   Placeholder legal copy (privacy, terms, security) — correctly noindexed for now.</w:t>
      </w:r>
    </w:p>
    <w:p>
      <w:pPr>
        <w:spacing w:after="60"/>
        <w:ind w:left="432" w:hanging="216"/>
      </w:pPr>
      <w:r>
        <w:t xml:space="preserve">•   The contact form logs to the server console only; nothing is persisted or emailed, and the rate limiter is in-memory (per instance only).</w:t>
      </w:r>
    </w:p>
    <w:p>
      <w:pPr>
        <w:spacing w:after="60"/>
        <w:ind w:left="432" w:hanging="216"/>
      </w:pPr>
      <w:r>
        <w:t xml:space="preserve">•   No published research, no case studies, no metrics, and no real imagery (leadership uses monogram avatars).</w:t>
      </w:r>
    </w:p>
    <w:p>
      <w:pPr>
        <w:pStyle w:val="Heading1"/>
      </w:pPr>
      <w:r>
        <w:t xml:space="preserve">3. Strategic Positioning</w:t>
      </w:r>
    </w:p>
    <w:p>
      <w:r>
        <w:t xml:space="preserve">The closest market analogue is Cyera, an AI-native data-security platform and a Forrester "Leader." The relationship is not head-to-head competition: every Namlameis data-security service is tagged in the source code as "mirrors the leader's DSPM / access detective / AI-SPM / consolidated DLP / managed service," mapping one-to-one onto Cyera's product modules. Namlameis is positioned as the expert, human layer on top of — or instead of — such platforms.</w:t>
      </w:r>
    </w:p>
    <w:p>
      <w:r>
        <w:t xml:space="preserve">This is a defensible and genuinely strong position, for three reasons. (1) The wedge is breadth: offensive security (vulnerability discovery, red teaming) and reputation and narrative defense are things pure DSPM platforms do not do. (2) The thesis — "machines find the known; we find the unknown" — is a clean counter to an automation vendor. (3) Many enterprises buy a platform and still need humans to tune, govern, and respond, which is an adjacent, easier sale for a young firm than fighting a Forrester Leader on its own turf.</w:t>
      </w:r>
    </w:p>
    <w:p>
      <w:r>
        <w:t xml:space="preserve">The single biggest strategic gap is proof. Cyera wins on named enterprise customers, hard metrics, and analyst recognition. Until Namlameis has at least one published paper, one case study (anonymized is fine to start), and one defensible number, it will read as assertion rather than evidence.</w:t>
      </w:r>
    </w:p>
    <w:p>
      <w:pPr>
        <w:pStyle w:val="Heading1"/>
      </w:pPr>
      <w:r>
        <w:t xml:space="preserve">4. Phase 1 — Finish and Stabilize (before launch)</w:t>
      </w:r>
    </w:p>
    <w:p>
      <w:pPr>
        <w:spacing w:after="60"/>
        <w:ind w:left="432" w:hanging="216"/>
      </w:pPr>
      <w:r>
        <w:t xml:space="preserve">•   Convert the remaining 17 pages (Solutions, Industries, Platform, About, Leadership, Contact, Legal) to the new design-comp styling, then retire the legacy components and the old Tailwind tokens.</w:t>
      </w:r>
    </w:p>
    <w:p>
      <w:pPr>
        <w:spacing w:after="60"/>
        <w:ind w:left="432" w:hanging="216"/>
      </w:pPr>
      <w:r>
        <w:t xml:space="preserve">•   Fix the content inconsistencies from the audit: align the disciplines count, fix the Research self-link, normalize the solution-02 card title, delete the dead navigation data, and correct the chart axis.</w:t>
      </w:r>
    </w:p>
    <w:p>
      <w:pPr>
        <w:spacing w:after="60"/>
        <w:ind w:left="432" w:hanging="216"/>
      </w:pPr>
      <w:r>
        <w:t xml:space="preserve">•   Wire the contact form to a real sink — email via Resend and/or a database row — and back the rate limiter with a shared store such as Upstash or Redis.</w:t>
      </w:r>
    </w:p>
    <w:p>
      <w:pPr>
        <w:spacing w:after="60"/>
        <w:ind w:left="432" w:hanging="216"/>
      </w:pPr>
      <w:r>
        <w:t xml:space="preserve">•   Replace placeholder legal copy with real privacy, terms, and security text; keep them noindexed until finalized, then index.</w:t>
      </w:r>
    </w:p>
    <w:p>
      <w:pPr>
        <w:spacing w:after="60"/>
        <w:ind w:left="432" w:hanging="216"/>
      </w:pPr>
      <w:r>
        <w:t xml:space="preserve">•   Generate real per-page Open Graph images and supply final logo and leadership assets.</w:t>
      </w:r>
    </w:p>
    <w:p>
      <w:pPr>
        <w:spacing w:after="60"/>
        <w:ind w:left="432" w:hanging="216"/>
      </w:pPr>
      <w:r>
        <w:t xml:space="preserve">•   Tighten the CSP to a nonce-based policy (remove unsafe-inline) via middleware, accepting that this forces dynamic rendering on form routes.</w:t>
      </w:r>
    </w:p>
    <w:p>
      <w:pPr>
        <w:spacing w:after="60"/>
        <w:ind w:left="432" w:hanging="216"/>
      </w:pPr>
      <w:r>
        <w:t xml:space="preserve">•   Add CI: build, lint, and typecheck on every pull request, with preview deploys.</w:t>
      </w:r>
    </w:p>
    <w:p>
      <w:pPr>
        <w:pStyle w:val="Heading1"/>
      </w:pPr>
      <w:r>
        <w:t xml:space="preserve">5. Phase 2 — Credibility and Content Engine (the differentiator)</w:t>
      </w:r>
    </w:p>
    <w:p>
      <w:pPr>
        <w:spacing w:after="60"/>
        <w:ind w:left="432" w:hanging="216"/>
      </w:pPr>
      <w:r>
        <w:t xml:space="preserve">•   Make the Threat-Briefing Hub real: publish the first research paper (the promised "Unseen Attack Surface" piece on LLM-application vulnerabilities), with tagged, searchable, MDX-driven content.</w:t>
      </w:r>
    </w:p>
    <w:p>
      <w:pPr>
        <w:spacing w:after="60"/>
        <w:ind w:left="432" w:hanging="216"/>
      </w:pPr>
      <w:r>
        <w:t xml:space="preserve">•   Add anonymized case studies (challenge, approach, outcome, a headline metric) — even one or two changes the credibility equation.</w:t>
      </w:r>
    </w:p>
    <w:p>
      <w:pPr>
        <w:spacing w:after="60"/>
        <w:ind w:left="432" w:hanging="216"/>
      </w:pPr>
      <w:r>
        <w:t xml:space="preserve">•   Turn the Trust Center into real content: encryption and access posture, compliance alignment, a responsible-disclosure channel with a PGP key, and a certifications roadmap.</w:t>
      </w:r>
    </w:p>
    <w:p>
      <w:pPr>
        <w:spacing w:after="60"/>
        <w:ind w:left="432" w:hanging="216"/>
      </w:pPr>
      <w:r>
        <w:t xml:space="preserve">•   Stand up a lightweight blog / insights feed with RSS, plus on-site search across research and guides.</w:t>
      </w:r>
    </w:p>
    <w:p>
      <w:pPr>
        <w:spacing w:after="60"/>
        <w:ind w:left="432" w:hanging="216"/>
      </w:pPr>
      <w:r>
        <w:t xml:space="preserve">•   Add newsletter capture wired to the email provider, so briefings reach a growing audience.</w:t>
      </w:r>
    </w:p>
    <w:p>
      <w:pPr>
        <w:pStyle w:val="Heading1"/>
      </w:pPr>
      <w:r>
        <w:t xml:space="preserve">6. Phase 3 — Feature Additions</w:t>
      </w:r>
    </w:p>
    <w:p>
      <w:r>
        <w:t xml:space="preserve">The following capabilities are grouped by goal. They are options, not all mandatory; prioritize by impact and effort (see Section 7).</w:t>
      </w:r>
    </w:p>
    <w:p>
      <w:pPr>
        <w:pStyle w:val="Heading2"/>
      </w:pPr>
      <w:r>
        <w:t xml:space="preserve">A. Lead capture and conversion</w:t>
      </w:r>
    </w:p>
    <w:p>
      <w:pPr>
        <w:spacing w:after="60"/>
        <w:ind w:left="432" w:hanging="216"/>
      </w:pPr>
      <w:r>
        <w:t xml:space="preserve">•   Working contact form with CRM and email integration (Resend plus a database), replacing the console-only log.</w:t>
      </w:r>
    </w:p>
    <w:p>
      <w:pPr>
        <w:spacing w:after="60"/>
        <w:ind w:left="432" w:hanging="216"/>
      </w:pPr>
      <w:r>
        <w:t xml:space="preserve">•   An interactive "Assess your AI security" self-assessment tool (5–8 questions) that returns a short risk snapshot and captures the lead — mirroring Cyera's assessment funnel.</w:t>
      </w:r>
    </w:p>
    <w:p>
      <w:pPr>
        <w:spacing w:after="60"/>
        <w:ind w:left="432" w:hanging="216"/>
      </w:pPr>
      <w:r>
        <w:t xml:space="preserve">•   Multiple conversion paths: newsletter subscribe, briefing request, and a dedicated vulnerability-disclosure form.</w:t>
      </w:r>
    </w:p>
    <w:p>
      <w:pPr>
        <w:spacing w:after="60"/>
        <w:ind w:left="432" w:hanging="216"/>
      </w:pPr>
      <w:r>
        <w:t xml:space="preserve">•   Embedded meeting scheduling (for example Cal.com) so a briefing can be booked in one click.</w:t>
      </w:r>
    </w:p>
    <w:p>
      <w:pPr>
        <w:pStyle w:val="Heading2"/>
      </w:pPr>
      <w:r>
        <w:t xml:space="preserve">B. Content and research engine</w:t>
      </w:r>
    </w:p>
    <w:p>
      <w:pPr>
        <w:spacing w:after="60"/>
        <w:ind w:left="432" w:hanging="216"/>
      </w:pPr>
      <w:r>
        <w:t xml:space="preserve">•   MDX publishing pipeline for research and guides, with categories, tags, authors, and search.</w:t>
      </w:r>
    </w:p>
    <w:p>
      <w:pPr>
        <w:spacing w:after="60"/>
        <w:ind w:left="432" w:hanging="216"/>
      </w:pPr>
      <w:r>
        <w:t xml:space="preserve">•   RSS / Atom feed and a sitemap-news entry for research.</w:t>
      </w:r>
    </w:p>
    <w:p>
      <w:pPr>
        <w:spacing w:after="60"/>
        <w:ind w:left="432" w:hanging="216"/>
      </w:pPr>
      <w:r>
        <w:t xml:space="preserve">•   Gated premium reports that capture a verified work email before download.</w:t>
      </w:r>
    </w:p>
    <w:p>
      <w:pPr>
        <w:spacing w:after="60"/>
        <w:ind w:left="432" w:hanging="216"/>
      </w:pPr>
      <w:r>
        <w:t xml:space="preserve">•   Newsletter with subscribe, preferences, and unsubscribe, wired to the email provider.</w:t>
      </w:r>
    </w:p>
    <w:p>
      <w:pPr>
        <w:pStyle w:val="Heading2"/>
      </w:pPr>
      <w:r>
        <w:t xml:space="preserve">C. Trust and credibility</w:t>
      </w:r>
    </w:p>
    <w:p>
      <w:pPr>
        <w:spacing w:after="60"/>
        <w:ind w:left="432" w:hanging="216"/>
      </w:pPr>
      <w:r>
        <w:t xml:space="preserve">•   Trust Center with live status indicators, a certifications and badges section, and a sub-processor list.</w:t>
      </w:r>
    </w:p>
    <w:p>
      <w:pPr>
        <w:spacing w:after="60"/>
        <w:ind w:left="432" w:hanging="216"/>
      </w:pPr>
      <w:r>
        <w:t xml:space="preserve">•   Public responsible-disclosure portal (intake form, scope, PGP key, optional Hall of Fame).</w:t>
      </w:r>
    </w:p>
    <w:p>
      <w:pPr>
        <w:spacing w:after="60"/>
        <w:ind w:left="432" w:hanging="216"/>
      </w:pPr>
      <w:r>
        <w:t xml:space="preserve">•   Customer stories module with logos, quotes, and outcomes.</w:t>
      </w:r>
    </w:p>
    <w:p>
      <w:pPr>
        <w:spacing w:after="60"/>
        <w:ind w:left="432" w:hanging="216"/>
      </w:pPr>
      <w:r>
        <w:t xml:space="preserve">•   A real, sourced metrics section to replace the illustrative "landscape in numbers" charts, with footnoted sources.</w:t>
      </w:r>
    </w:p>
    <w:p>
      <w:pPr>
        <w:pStyle w:val="Heading2"/>
      </w:pPr>
      <w:r>
        <w:t xml:space="preserve">D. Productization (make the in-house suite real)</w:t>
      </w:r>
    </w:p>
    <w:p>
      <w:pPr>
        <w:spacing w:after="60"/>
        <w:ind w:left="432" w:hanging="216"/>
      </w:pPr>
      <w:r>
        <w:t xml:space="preserve">•   Client Portal with authentication, a live engagement view, and findings tracking.</w:t>
      </w:r>
    </w:p>
    <w:p>
      <w:pPr>
        <w:spacing w:after="60"/>
        <w:ind w:left="432" w:hanging="216"/>
      </w:pPr>
      <w:r>
        <w:t xml:space="preserve">•   Request Intake and triage with an admin dashboard, routing, and notifications.</w:t>
      </w:r>
    </w:p>
    <w:p>
      <w:pPr>
        <w:spacing w:after="60"/>
        <w:ind w:left="432" w:hanging="216"/>
      </w:pPr>
      <w:r>
        <w:t xml:space="preserve">•   Findings Dashboard with severity, business impact, remediation status, and one-click PDF export.</w:t>
      </w:r>
    </w:p>
    <w:p>
      <w:pPr>
        <w:spacing w:after="60"/>
        <w:ind w:left="432" w:hanging="216"/>
      </w:pPr>
      <w:r>
        <w:t xml:space="preserve">•   Secure Data Vault: encrypted, access-governed, audit-logged store with time-boxed sharing links.</w:t>
      </w:r>
    </w:p>
    <w:p>
      <w:r>
        <w:t xml:space="preserve">Note: these four turn "a platform around the service" from marketing language into a real product, and they are the largest engineering investment on this list.</w:t>
      </w:r>
    </w:p>
    <w:p>
      <w:pPr>
        <w:pStyle w:val="Heading2"/>
      </w:pPr>
      <w:r>
        <w:t xml:space="preserve">E. SEO and growth</w:t>
      </w:r>
    </w:p>
    <w:p>
      <w:pPr>
        <w:spacing w:after="60"/>
        <w:ind w:left="432" w:hanging="216"/>
      </w:pPr>
      <w:r>
        <w:t xml:space="preserve">•   Dynamic per-page Open Graph images (already scaffolded; expand to all detail pages).</w:t>
      </w:r>
    </w:p>
    <w:p>
      <w:pPr>
        <w:spacing w:after="60"/>
        <w:ind w:left="432" w:hanging="216"/>
      </w:pPr>
      <w:r>
        <w:t xml:space="preserve">•   Structured data (JSON-LD): Organization, BreadcrumbList, FAQPage, and Article for research, to win rich results.</w:t>
      </w:r>
    </w:p>
    <w:p>
      <w:pPr>
        <w:spacing w:after="60"/>
        <w:ind w:left="432" w:hanging="216"/>
      </w:pPr>
      <w:r>
        <w:t xml:space="preserve">•   Programmatic regulatory-guide pages (GDPR, DORA, NIS2, EU AI Act) crossed with industry, for high-intent long-tail search.</w:t>
      </w:r>
    </w:p>
    <w:p>
      <w:pPr>
        <w:spacing w:after="60"/>
        <w:ind w:left="432" w:hanging="216"/>
      </w:pPr>
      <w:r>
        <w:t xml:space="preserve">•   Privacy-first analytics (Plausible or PostHog) with conversion tracking.</w:t>
      </w:r>
    </w:p>
    <w:p>
      <w:pPr>
        <w:pStyle w:val="Heading2"/>
      </w:pPr>
      <w:r>
        <w:t xml:space="preserve">F. Internationalization</w:t>
      </w:r>
    </w:p>
    <w:p>
      <w:pPr>
        <w:spacing w:after="60"/>
        <w:ind w:left="432" w:hanging="216"/>
      </w:pPr>
      <w:r>
        <w:t xml:space="preserve">•   Multi-language support, starting with German (the firm is in Salzburg) alongside English, with a locale switcher and localized metadata.</w:t>
      </w:r>
    </w:p>
    <w:p>
      <w:pPr>
        <w:pStyle w:val="Heading2"/>
      </w:pPr>
      <w:r>
        <w:t xml:space="preserve">G. Accessibility and performance</w:t>
      </w:r>
    </w:p>
    <w:p>
      <w:pPr>
        <w:spacing w:after="60"/>
        <w:ind w:left="432" w:hanging="216"/>
      </w:pPr>
      <w:r>
        <w:t xml:space="preserve">•   Target WCAG 2.2 AA: audit color contrast (especially teal on white and on navy), focus states, alt text, and heading order.</w:t>
      </w:r>
    </w:p>
    <w:p>
      <w:pPr>
        <w:spacing w:after="60"/>
        <w:ind w:left="432" w:hanging="216"/>
      </w:pPr>
      <w:r>
        <w:t xml:space="preserve">•   Target Lighthouse 95+ across performance, accessibility, best practices, and SEO on every page.</w:t>
      </w:r>
    </w:p>
    <w:p>
      <w:pPr>
        <w:spacing w:after="60"/>
        <w:ind w:left="432" w:hanging="216"/>
      </w:pPr>
      <w:r>
        <w:t xml:space="preserve">•   Verify reduced-motion behavior and add a keyboard-accessible mobile menu.</w:t>
      </w:r>
    </w:p>
    <w:p>
      <w:pPr>
        <w:pStyle w:val="Heading2"/>
      </w:pPr>
      <w:r>
        <w:t xml:space="preserve">H. Operations and developer experience</w:t>
      </w:r>
    </w:p>
    <w:p>
      <w:pPr>
        <w:spacing w:after="60"/>
        <w:ind w:left="432" w:hanging="216"/>
      </w:pPr>
      <w:r>
        <w:t xml:space="preserve">•   CI with build, lint, and typecheck; preview deploys per pull request.</w:t>
      </w:r>
    </w:p>
    <w:p>
      <w:pPr>
        <w:spacing w:after="60"/>
        <w:ind w:left="432" w:hanging="216"/>
      </w:pPr>
      <w:r>
        <w:t xml:space="preserve">•   Nonce-based CSP via middleware to remove unsafe-inline.</w:t>
      </w:r>
    </w:p>
    <w:p>
      <w:pPr>
        <w:spacing w:after="60"/>
        <w:ind w:left="432" w:hanging="216"/>
      </w:pPr>
      <w:r>
        <w:t xml:space="preserve">•   Error and performance monitoring (for example Sentry).</w:t>
      </w:r>
    </w:p>
    <w:p>
      <w:pPr>
        <w:spacing w:after="60"/>
        <w:ind w:left="432" w:hanging="216"/>
      </w:pPr>
      <w:r>
        <w:t xml:space="preserve">•   Uptime monitoring and status page; periodic dependency and security updates.</w:t>
      </w:r>
    </w:p>
    <w:p>
      <w:pPr>
        <w:pStyle w:val="Heading1"/>
      </w:pPr>
      <w:r>
        <w:t xml:space="preserve">7. Prioritization — Impact vs Effort</w:t>
      </w:r>
    </w:p>
    <w:p>
      <w:pPr>
        <w:pStyle w:val="Heading3"/>
      </w:pPr>
      <w:r>
        <w:t xml:space="preserve">Quick wins (high impact, low effort)</w:t>
      </w:r>
    </w:p>
    <w:p>
      <w:pPr>
        <w:spacing w:after="60"/>
        <w:ind w:left="432" w:hanging="216"/>
      </w:pPr>
      <w:r>
        <w:t xml:space="preserve">•   Fix the audit content issues (disciplines count, Research self-link, card title, dead data, chart axis).</w:t>
      </w:r>
    </w:p>
    <w:p>
      <w:pPr>
        <w:spacing w:after="60"/>
        <w:ind w:left="432" w:hanging="216"/>
      </w:pPr>
      <w:r>
        <w:t xml:space="preserve">•   Wire the contact form to email and a database; add a shared rate limiter.</w:t>
      </w:r>
    </w:p>
    <w:p>
      <w:pPr>
        <w:spacing w:after="60"/>
        <w:ind w:left="432" w:hanging="216"/>
      </w:pPr>
      <w:r>
        <w:t xml:space="preserve">•   Generate real OG images; delete legacy components after conversion.</w:t>
      </w:r>
    </w:p>
    <w:p>
      <w:pPr>
        <w:pStyle w:val="Heading3"/>
      </w:pPr>
      <w:r>
        <w:t xml:space="preserve">High-impact, medium effort</w:t>
      </w:r>
    </w:p>
    <w:p>
      <w:pPr>
        <w:spacing w:after="60"/>
        <w:ind w:left="432" w:hanging="216"/>
      </w:pPr>
      <w:r>
        <w:t xml:space="preserve">•   Convert the remaining 17 pages to the new design.</w:t>
      </w:r>
    </w:p>
    <w:p>
      <w:pPr>
        <w:spacing w:after="60"/>
        <w:ind w:left="432" w:hanging="216"/>
      </w:pPr>
      <w:r>
        <w:t xml:space="preserve">•   Publish the first research paper and one anonymized case study.</w:t>
      </w:r>
    </w:p>
    <w:p>
      <w:pPr>
        <w:spacing w:after="60"/>
        <w:ind w:left="432" w:hanging="216"/>
      </w:pPr>
      <w:r>
        <w:t xml:space="preserve">•   Add analytics, JSON-LD structured data, and real Trust Center copy.</w:t>
      </w:r>
    </w:p>
    <w:p>
      <w:pPr>
        <w:spacing w:after="60"/>
        <w:ind w:left="432" w:hanging="216"/>
      </w:pPr>
      <w:r>
        <w:t xml:space="preserve">•   Add an "AI security self-assessment" lead tool.</w:t>
      </w:r>
    </w:p>
    <w:p>
      <w:pPr>
        <w:pStyle w:val="Heading3"/>
      </w:pPr>
      <w:r>
        <w:t xml:space="preserve">Strategic bets (high impact, high effort)</w:t>
      </w:r>
    </w:p>
    <w:p>
      <w:pPr>
        <w:spacing w:after="60"/>
        <w:ind w:left="432" w:hanging="216"/>
      </w:pPr>
      <w:r>
        <w:t xml:space="preserve">•   The content and research engine (MDX, search, RSS, newsletter, gated reports).</w:t>
      </w:r>
    </w:p>
    <w:p>
      <w:pPr>
        <w:spacing w:after="60"/>
        <w:ind w:left="432" w:hanging="216"/>
      </w:pPr>
      <w:r>
        <w:t xml:space="preserve">•   Productizing the in-house suite (Client Portal, Intake, Findings Dashboard, Data Vault).</w:t>
      </w:r>
    </w:p>
    <w:p>
      <w:pPr>
        <w:spacing w:after="60"/>
        <w:ind w:left="432" w:hanging="216"/>
      </w:pPr>
      <w:r>
        <w:t xml:space="preserve">•   Multi-language and programmatic SEO guides.</w:t>
      </w:r>
    </w:p>
    <w:p>
      <w:pPr>
        <w:pStyle w:val="Heading1"/>
      </w:pPr>
      <w:r>
        <w:t xml:space="preserve">8. Recommended 90-Day Sequence</w:t>
      </w:r>
    </w:p>
    <w:p>
      <w:pPr>
        <w:pStyle w:val="Heading3"/>
      </w:pPr>
      <w:r>
        <w:t xml:space="preserve">Days 1–30 — Stabilize and ship</w:t>
      </w:r>
    </w:p>
    <w:p>
      <w:pPr>
        <w:spacing w:after="60"/>
        <w:ind w:left="432" w:hanging="216"/>
      </w:pPr>
      <w:r>
        <w:t xml:space="preserve">•   Fix all audit content issues; convert Contact, About, and Legal first (highest-traffic trust pages).</w:t>
      </w:r>
    </w:p>
    <w:p>
      <w:pPr>
        <w:spacing w:after="60"/>
        <w:ind w:left="432" w:hanging="216"/>
      </w:pPr>
      <w:r>
        <w:t xml:space="preserve">•   Wire the contact form to email and a database with a shared rate limiter.</w:t>
      </w:r>
    </w:p>
    <w:p>
      <w:pPr>
        <w:spacing w:after="60"/>
        <w:ind w:left="432" w:hanging="216"/>
      </w:pPr>
      <w:r>
        <w:t xml:space="preserve">•   Add CI, real OG images, and privacy-first analytics.</w:t>
      </w:r>
    </w:p>
    <w:p>
      <w:pPr>
        <w:pStyle w:val="Heading3"/>
      </w:pPr>
      <w:r>
        <w:t xml:space="preserve">Days 31–60 — Convert and prove</w:t>
      </w:r>
    </w:p>
    <w:p>
      <w:pPr>
        <w:spacing w:after="60"/>
        <w:ind w:left="432" w:hanging="216"/>
      </w:pPr>
      <w:r>
        <w:t xml:space="preserve">•   Convert the remaining pages (Solutions, Industries, Platform, Leadership); retire legacy components.</w:t>
      </w:r>
    </w:p>
    <w:p>
      <w:pPr>
        <w:spacing w:after="60"/>
        <w:ind w:left="432" w:hanging="216"/>
      </w:pPr>
      <w:r>
        <w:t xml:space="preserve">•   Publish the first research paper and one anonymized case study; add JSON-LD.</w:t>
      </w:r>
    </w:p>
    <w:p>
      <w:pPr>
        <w:spacing w:after="60"/>
        <w:ind w:left="432" w:hanging="216"/>
      </w:pPr>
      <w:r>
        <w:t xml:space="preserve">•   Stand up the newsletter and the Trust Center real copy.</w:t>
      </w:r>
    </w:p>
    <w:p>
      <w:pPr>
        <w:pStyle w:val="Heading3"/>
      </w:pPr>
      <w:r>
        <w:t xml:space="preserve">Days 61–90 — Differentiate</w:t>
      </w:r>
    </w:p>
    <w:p>
      <w:pPr>
        <w:spacing w:after="60"/>
        <w:ind w:left="432" w:hanging="216"/>
      </w:pPr>
      <w:r>
        <w:t xml:space="preserve">•   Ship the "AI security self-assessment" lead tool and the content engine (search, RSS, gated report).</w:t>
      </w:r>
    </w:p>
    <w:p>
      <w:pPr>
        <w:spacing w:after="60"/>
        <w:ind w:left="432" w:hanging="216"/>
      </w:pPr>
      <w:r>
        <w:t xml:space="preserve">•   Begin productization (start with the Client Portal and Findings Dashboard).</w:t>
      </w:r>
    </w:p>
    <w:p>
      <w:pPr>
        <w:spacing w:after="60"/>
        <w:ind w:left="432" w:hanging="216"/>
      </w:pPr>
      <w:r>
        <w:t xml:space="preserve">•   Plan German localization and programmatic regulatory guides.</w:t>
      </w:r>
    </w:p>
    <w:p>
      <w:pPr>
        <w:pStyle w:val="Heading1"/>
      </w:pPr>
      <w:r>
        <w:t xml:space="preserve">9. How to know it is "best" (success metrics)</w:t>
      </w:r>
    </w:p>
    <w:p>
      <w:pPr>
        <w:spacing w:after="60"/>
        <w:ind w:left="432" w:hanging="216"/>
      </w:pPr>
      <w:r>
        <w:t xml:space="preserve">•   Technical: Lighthouse 95+ on all key pages; WCAG 2.2 AA pass; zero build, lint, or typecheck errors in CI.</w:t>
      </w:r>
    </w:p>
    <w:p>
      <w:pPr>
        <w:spacing w:after="60"/>
        <w:ind w:left="432" w:hanging="216"/>
      </w:pPr>
      <w:r>
        <w:t xml:space="preserve">•   Content: at least one published research paper and one case study live by day 60.</w:t>
      </w:r>
    </w:p>
    <w:p>
      <w:pPr>
        <w:spacing w:after="60"/>
        <w:ind w:left="432" w:hanging="216"/>
      </w:pPr>
      <w:r>
        <w:t xml:space="preserve">•   Growth: contact-form submissions captured end-to-end; newsletter subscribers growing; assessment-tool completions tracked.</w:t>
      </w:r>
    </w:p>
    <w:p>
      <w:pPr>
        <w:spacing w:after="60"/>
        <w:ind w:left="432" w:hanging="216"/>
      </w:pPr>
      <w:r>
        <w:t xml:space="preserve">•   Trust: real legal copy indexed; Trust Center populated; first certification identified and in progress.</w:t>
      </w:r>
    </w:p>
    <w:p>
      <w:pPr>
        <w:spacing w:after="60"/>
        <w:ind w:left="432" w:hanging="216"/>
      </w:pPr>
      <w:r>
        <w:t xml:space="preserve">•   Positioning: a clear "platform vs practice" narrative that names the human-led advantage against automated DSPM / AI-SPM tools.</w:t>
      </w:r>
    </w:p>
    <w:p>
      <w:pPr>
        <w:pStyle w:val="Heading1"/>
      </w:pPr>
      <w:r>
        <w:t xml:space="preserve">10. Notes and caveats</w:t>
      </w:r>
    </w:p>
    <w:p>
      <w:pPr>
        <w:spacing w:after="60"/>
        <w:ind w:left="432" w:hanging="216"/>
      </w:pPr>
      <w:r>
        <w:t xml:space="preserve">•   "Defense-grade" is a quality descriptor, not a claim of government accreditation; keep it that way in all copy.</w:t>
      </w:r>
    </w:p>
    <w:p>
      <w:pPr>
        <w:spacing w:after="60"/>
        <w:ind w:left="432" w:hanging="216"/>
      </w:pPr>
      <w:r>
        <w:t xml:space="preserve">•   Keep the legal pages noindexed until the real copy is finalized, then index them.</w:t>
      </w:r>
    </w:p>
    <w:p>
      <w:pPr>
        <w:spacing w:after="60"/>
        <w:ind w:left="432" w:hanging="216"/>
      </w:pPr>
      <w:r>
        <w:t xml:space="preserve">•   Illustrative statistics on the homepage ("72%", "the landscape in numbers") should either be footnoted with a source or clearly framed as illustrative before launch.</w:t>
      </w:r>
    </w:p>
    <w:p>
      <w:pPr>
        <w:spacing w:after="60"/>
        <w:ind w:left="432" w:hanging="216"/>
      </w:pPr>
      <w:r>
        <w:t xml:space="preserve">•   This roadmap is independent of the codebase; implementation should follow the conversion-status notes in the project README.</w:t>
      </w:r>
    </w:p>
    <w:sectPr>
      <w:pgSz w:w="12240" w:h="15840"/>
      <w:pgMar w:top="1080" w:right="1080" w:bottom="1080" w:left="108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1"/>
        <w:szCs w:val="21"/>
        <w:color w:val="1A2433"/>
      </w:rPr>
    </w:rPrDefault>
    <w:pPrDefault>
      <w:pPr>
        <w:spacing w:after="120" w:line="276" w:lineRule="auto"/>
      </w:pPr>
    </w:pPrDefault>
  </w:docDefaults>
  <w:style w:type="paragraph" w:default="1" w:styleId="Normal">
    <w:name w:val="Normal"/>
  </w:style>
  <w:style w:type="paragraph" w:styleId="Title">
    <w:name w:val="Title"/>
    <w:basedOn w:val="Normal"/>
    <w:pPr>
      <w:spacing w:after="80"/>
    </w:pPr>
    <w:rPr>
      <w:b/>
      <w:color w:val="0B1A2E"/>
      <w:sz w:val="52"/>
      <w:szCs w:val="52"/>
    </w:rPr>
  </w:style>
  <w:style w:type="paragraph" w:styleId="Subtitle">
    <w:name w:val="Subtitle"/>
    <w:basedOn w:val="Normal"/>
    <w:pPr>
      <w:spacing w:after="240"/>
    </w:pPr>
    <w:rPr>
      <w:i/>
      <w:color w:val="5A6B7B"/>
      <w:sz w:val="24"/>
      <w:szCs w:val="24"/>
    </w:rPr>
  </w:style>
  <w:style w:type="paragraph" w:styleId="Heading1">
    <w:name w:val="heading 1"/>
    <w:basedOn w:val="Normal"/>
    <w:next w:val="Normal"/>
    <w:pPr>
      <w:keepNext/>
      <w:spacing w:before="320" w:after="140"/>
      <w:outlineLvl w:val="0"/>
    </w:pPr>
    <w:rPr>
      <w:b/>
      <w:color w:val="0B1A2E"/>
      <w:sz w:val="32"/>
      <w:szCs w:val="32"/>
    </w:rPr>
  </w:style>
  <w:style w:type="paragraph" w:styleId="Heading2">
    <w:name w:val="heading 2"/>
    <w:basedOn w:val="Normal"/>
    <w:next w:val="Normal"/>
    <w:pPr>
      <w:keepNext/>
      <w:spacing w:before="260" w:after="100"/>
      <w:outlineLvl w:val="1"/>
    </w:pPr>
    <w:rPr>
      <w:b/>
      <w:color w:val="16B9A6"/>
      <w:sz w:val="26"/>
      <w:szCs w:val="26"/>
    </w:rPr>
  </w:style>
  <w:style w:type="paragraph" w:styleId="Heading3">
    <w:name w:val="heading 3"/>
    <w:basedOn w:val="Normal"/>
    <w:next w:val="Normal"/>
    <w:pPr>
      <w:keepNext/>
      <w:spacing w:before="200" w:after="80"/>
      <w:outlineLvl w:val="2"/>
    </w:pPr>
    <w:rPr>
      <w:b/>
      <w:color w:val="0A1424"/>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