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4000(B)</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Batch: 16th</w:t>
      </w:r>
    </w:p>
    <w:p>
      <w:pPr>
        <w:spacing w:after="20" w:before="0" w:line="264" w:lineRule="auto"/>
        <w:jc w:val="center"/>
      </w:pPr>
      <w:r>
        <w:rPr>
          <w:rFonts w:ascii="Times New Roman" w:hAnsi="Times New Roman"/>
          <w:b w:val="0"/>
          <w:i w:val="0"/>
          <w:sz w:val="24"/>
        </w:rPr>
        <w:t>Semester: 8th</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(a typed intent object is a structured, checkable record of what the user asked for). The final evaluation uses two static nopCommerce corpora (nopCommerce is an open-source online-store platform that ships with its own admin reports): a 500-question natural-language benchmark, and nopCommerce's own twenty standard admin reports checked against the platform's own report implementations. On the 500-question live benchmark, AEGIS parsed 499 of 500 prompts, answered 423 and executed 422 of 425 supported requests, and rejected or clarified 72 of 75 realistic boundary requests. Against the twenty admin reports, every request compiled to SQL and fifteen reproduced the platform's own result set exactly, the remaining five agreeing on every value and differing only in row count and label column. The same model without the semantic layer, writing SQL directly, executed 365 of 425 supported questions but also answered 25 of the 75 questions it should have declined. Per-stage timing shows that substantially all latency is the model reading the question, while every deterministic stage after it completes in a few milliseconds. These results support the thesis's central claim that AEGIS is a bounded architecture for safe natural-language analytics over an approved semantic layer, not an unlimited text-to-SQL engine.</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2</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7</w:t>
      </w:r>
    </w:p>
    <w:p>
      <w:pPr>
        <w:spacing w:after="160" w:before="80" w:line="360" w:lineRule="auto"/>
        <w:ind w:left="0"/>
        <w:jc w:val="both"/>
        <w:tabs>
          <w:tab w:val="right" w:leader="dot" w:pos="8640"/>
        </w:tabs>
      </w:pPr>
      <w:r>
        <w:rPr>
          <w:rFonts w:ascii="Times New Roman" w:hAnsi="Times New Roman"/>
          <w:b/>
          <w:sz w:val="24"/>
        </w:rPr>
        <w:t>Chapter 3: Methodology</w:t>
        <w:tab/>
        <w:t>8</w:t>
      </w:r>
    </w:p>
    <w:p>
      <w:pPr>
        <w:spacing w:after="80" w:before="0" w:line="360" w:lineRule="auto"/>
        <w:ind w:left="432"/>
        <w:jc w:val="both"/>
        <w:tabs>
          <w:tab w:val="right" w:leader="dot" w:pos="8640"/>
        </w:tabs>
      </w:pPr>
      <w:r>
        <w:rPr>
          <w:rFonts w:ascii="Times New Roman" w:hAnsi="Times New Roman"/>
          <w:b w:val="0"/>
          <w:sz w:val="23"/>
        </w:rPr>
        <w:t>3.1 Research Paradigm</w:t>
        <w:tab/>
        <w:t>8</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8</w:t>
      </w:r>
    </w:p>
    <w:p>
      <w:pPr>
        <w:spacing w:after="80" w:before="0" w:line="360" w:lineRule="auto"/>
        <w:ind w:left="432"/>
        <w:jc w:val="both"/>
        <w:tabs>
          <w:tab w:val="right" w:leader="dot" w:pos="8640"/>
        </w:tabs>
      </w:pPr>
      <w:r>
        <w:rPr>
          <w:rFonts w:ascii="Times New Roman" w:hAnsi="Times New Roman"/>
          <w:b w:val="0"/>
          <w:sz w:val="23"/>
        </w:rPr>
        <w:t>3.3 Design Principles</w:t>
        <w:tab/>
        <w:t>9</w:t>
      </w:r>
    </w:p>
    <w:p>
      <w:pPr>
        <w:spacing w:after="80" w:before="0" w:line="360" w:lineRule="auto"/>
        <w:ind w:left="432"/>
        <w:jc w:val="both"/>
        <w:tabs>
          <w:tab w:val="right" w:leader="dot" w:pos="8640"/>
        </w:tabs>
      </w:pPr>
      <w:r>
        <w:rPr>
          <w:rFonts w:ascii="Times New Roman" w:hAnsi="Times New Roman"/>
          <w:b w:val="0"/>
          <w:sz w:val="23"/>
        </w:rPr>
        <w:t>3.4 Formal Model</w:t>
        <w:tab/>
        <w:t>10</w:t>
      </w:r>
    </w:p>
    <w:p>
      <w:pPr>
        <w:spacing w:after="80" w:before="0" w:line="360" w:lineRule="auto"/>
        <w:ind w:left="432"/>
        <w:jc w:val="both"/>
        <w:tabs>
          <w:tab w:val="right" w:leader="dot" w:pos="8640"/>
        </w:tabs>
      </w:pPr>
      <w:r>
        <w:rPr>
          <w:rFonts w:ascii="Times New Roman" w:hAnsi="Times New Roman"/>
          <w:b w:val="0"/>
          <w:sz w:val="23"/>
        </w:rPr>
        <w:t>3.5 Threat Model</w:t>
        <w:tab/>
        <w:t>10</w:t>
      </w:r>
    </w:p>
    <w:p>
      <w:pPr>
        <w:spacing w:after="80" w:before="0" w:line="360" w:lineRule="auto"/>
        <w:ind w:left="432"/>
        <w:jc w:val="both"/>
        <w:tabs>
          <w:tab w:val="right" w:leader="dot" w:pos="8640"/>
        </w:tabs>
      </w:pPr>
      <w:r>
        <w:rPr>
          <w:rFonts w:ascii="Times New Roman" w:hAnsi="Times New Roman"/>
          <w:b w:val="0"/>
          <w:sz w:val="23"/>
        </w:rPr>
        <w:t>3.6 System Architecture</w:t>
        <w:tab/>
        <w:t>12</w:t>
      </w:r>
    </w:p>
    <w:p>
      <w:pPr>
        <w:spacing w:after="80" w:before="0" w:line="360" w:lineRule="auto"/>
        <w:ind w:left="432"/>
        <w:jc w:val="both"/>
        <w:tabs>
          <w:tab w:val="right" w:leader="dot" w:pos="8640"/>
        </w:tabs>
      </w:pPr>
      <w:r>
        <w:rPr>
          <w:rFonts w:ascii="Times New Roman" w:hAnsi="Times New Roman"/>
          <w:b w:val="0"/>
          <w:sz w:val="23"/>
        </w:rPr>
        <w:t>3.7 Semantic Layer Design</w:t>
        <w:tab/>
        <w:t>13</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15</w:t>
      </w:r>
    </w:p>
    <w:p>
      <w:pPr>
        <w:spacing w:after="80" w:before="0" w:line="360" w:lineRule="auto"/>
        <w:ind w:left="432"/>
        <w:jc w:val="both"/>
        <w:tabs>
          <w:tab w:val="right" w:leader="dot" w:pos="8640"/>
        </w:tabs>
      </w:pPr>
      <w:r>
        <w:rPr>
          <w:rFonts w:ascii="Times New Roman" w:hAnsi="Times New Roman"/>
          <w:b w:val="0"/>
          <w:sz w:val="23"/>
        </w:rPr>
        <w:t>3.9 Safe Query Compiler</w:t>
        <w:tab/>
        <w:t>17</w:t>
      </w:r>
    </w:p>
    <w:p>
      <w:pPr>
        <w:spacing w:after="80" w:before="0" w:line="360" w:lineRule="auto"/>
        <w:ind w:left="432"/>
        <w:jc w:val="both"/>
        <w:tabs>
          <w:tab w:val="right" w:leader="dot" w:pos="8640"/>
        </w:tabs>
      </w:pPr>
      <w:r>
        <w:rPr>
          <w:rFonts w:ascii="Times New Roman" w:hAnsi="Times New Roman"/>
          <w:b w:val="0"/>
          <w:sz w:val="23"/>
        </w:rPr>
        <w:t>3.10 Visualization Selector</w:t>
        <w:tab/>
        <w:t>20</w:t>
      </w:r>
    </w:p>
    <w:p>
      <w:pPr>
        <w:spacing w:after="80" w:before="0" w:line="360" w:lineRule="auto"/>
        <w:ind w:left="432"/>
        <w:jc w:val="both"/>
        <w:tabs>
          <w:tab w:val="right" w:leader="dot" w:pos="8640"/>
        </w:tabs>
      </w:pPr>
      <w:r>
        <w:rPr>
          <w:rFonts w:ascii="Times New Roman" w:hAnsi="Times New Roman"/>
          <w:b w:val="0"/>
          <w:sz w:val="23"/>
        </w:rPr>
        <w:t>3.11 Widget Persistence and Reuse</w:t>
        <w:tab/>
        <w:t>20</w:t>
      </w:r>
    </w:p>
    <w:p>
      <w:pPr>
        <w:spacing w:after="160" w:before="80" w:line="360" w:lineRule="auto"/>
        <w:ind w:left="0"/>
        <w:jc w:val="both"/>
        <w:tabs>
          <w:tab w:val="right" w:leader="dot" w:pos="8640"/>
        </w:tabs>
      </w:pPr>
      <w:r>
        <w:rPr>
          <w:rFonts w:ascii="Times New Roman" w:hAnsi="Times New Roman"/>
          <w:b/>
          <w:sz w:val="24"/>
        </w:rPr>
        <w:t>Chapter 4: Experimental Work</w:t>
        <w:tab/>
        <w:t>21</w:t>
      </w:r>
    </w:p>
    <w:p>
      <w:pPr>
        <w:spacing w:after="80" w:before="0" w:line="360" w:lineRule="auto"/>
        <w:ind w:left="432"/>
        <w:jc w:val="both"/>
        <w:tabs>
          <w:tab w:val="right" w:leader="dot" w:pos="8640"/>
        </w:tabs>
      </w:pPr>
      <w:r>
        <w:rPr>
          <w:rFonts w:ascii="Times New Roman" w:hAnsi="Times New Roman"/>
          <w:b w:val="0"/>
          <w:sz w:val="23"/>
        </w:rPr>
        <w:t>4.1 Implementation</w:t>
        <w:tab/>
        <w:t>21</w:t>
      </w:r>
    </w:p>
    <w:p>
      <w:pPr>
        <w:spacing w:after="80" w:before="0" w:line="360" w:lineRule="auto"/>
        <w:ind w:left="432"/>
        <w:jc w:val="both"/>
        <w:tabs>
          <w:tab w:val="right" w:leader="dot" w:pos="8640"/>
        </w:tabs>
      </w:pPr>
      <w:r>
        <w:rPr>
          <w:rFonts w:ascii="Times New Roman" w:hAnsi="Times New Roman"/>
          <w:b w:val="0"/>
          <w:sz w:val="23"/>
        </w:rPr>
        <w:t>4.2 Experimental Environment</w:t>
        <w:tab/>
        <w:t>22</w:t>
      </w:r>
    </w:p>
    <w:p>
      <w:pPr>
        <w:spacing w:after="80" w:before="0" w:line="360" w:lineRule="auto"/>
        <w:ind w:left="432"/>
        <w:jc w:val="both"/>
        <w:tabs>
          <w:tab w:val="right" w:leader="dot" w:pos="8640"/>
        </w:tabs>
      </w:pPr>
      <w:r>
        <w:rPr>
          <w:rFonts w:ascii="Times New Roman" w:hAnsi="Times New Roman"/>
          <w:b w:val="0"/>
          <w:sz w:val="23"/>
        </w:rPr>
        <w:t>4.3 Benchmark Dataset Construction</w:t>
        <w:tab/>
        <w:t>22</w:t>
      </w:r>
    </w:p>
    <w:p>
      <w:pPr>
        <w:spacing w:after="80" w:before="0" w:line="360" w:lineRule="auto"/>
        <w:ind w:left="432"/>
        <w:jc w:val="both"/>
        <w:tabs>
          <w:tab w:val="right" w:leader="dot" w:pos="8640"/>
        </w:tabs>
      </w:pPr>
      <w:r>
        <w:rPr>
          <w:rFonts w:ascii="Times New Roman" w:hAnsi="Times New Roman"/>
          <w:b w:val="0"/>
          <w:sz w:val="23"/>
        </w:rPr>
        <w:t>4.4 Baseline and Oracle Comparisons</w:t>
        <w:tab/>
        <w:t>23</w:t>
      </w:r>
    </w:p>
    <w:p>
      <w:pPr>
        <w:spacing w:after="80" w:before="0" w:line="360" w:lineRule="auto"/>
        <w:ind w:left="432"/>
        <w:jc w:val="both"/>
        <w:tabs>
          <w:tab w:val="right" w:leader="dot" w:pos="8640"/>
        </w:tabs>
      </w:pPr>
      <w:r>
        <w:rPr>
          <w:rFonts w:ascii="Times New Roman" w:hAnsi="Times New Roman"/>
          <w:b w:val="0"/>
          <w:sz w:val="23"/>
        </w:rPr>
        <w:t>4.5 Evaluation Procedure</w:t>
        <w:tab/>
        <w:t>25</w:t>
      </w:r>
    </w:p>
    <w:p>
      <w:pPr>
        <w:spacing w:after="160" w:before="80" w:line="360" w:lineRule="auto"/>
        <w:ind w:left="0"/>
        <w:jc w:val="both"/>
        <w:tabs>
          <w:tab w:val="right" w:leader="dot" w:pos="8640"/>
        </w:tabs>
      </w:pPr>
      <w:r>
        <w:rPr>
          <w:rFonts w:ascii="Times New Roman" w:hAnsi="Times New Roman"/>
          <w:b/>
          <w:sz w:val="24"/>
        </w:rPr>
        <w:t>Chapter 5: Results and Discussion</w:t>
        <w:tab/>
        <w:t>26</w:t>
      </w:r>
    </w:p>
    <w:p>
      <w:pPr>
        <w:spacing w:after="80" w:before="0" w:line="360" w:lineRule="auto"/>
        <w:ind w:left="432"/>
        <w:jc w:val="both"/>
        <w:tabs>
          <w:tab w:val="right" w:leader="dot" w:pos="8640"/>
        </w:tabs>
      </w:pPr>
      <w:r>
        <w:rPr>
          <w:rFonts w:ascii="Times New Roman" w:hAnsi="Times New Roman"/>
          <w:b w:val="0"/>
          <w:sz w:val="23"/>
        </w:rPr>
        <w:t>5.1 Evaluation Overview</w:t>
        <w:tab/>
        <w:t>26</w:t>
      </w:r>
    </w:p>
    <w:p>
      <w:pPr>
        <w:spacing w:after="80" w:before="0" w:line="360" w:lineRule="auto"/>
        <w:ind w:left="432"/>
        <w:jc w:val="both"/>
        <w:tabs>
          <w:tab w:val="right" w:leader="dot" w:pos="8640"/>
        </w:tabs>
      </w:pPr>
      <w:r>
        <w:rPr>
          <w:rFonts w:ascii="Times New Roman" w:hAnsi="Times New Roman"/>
          <w:b w:val="0"/>
          <w:sz w:val="23"/>
        </w:rPr>
        <w:t>5.2 500-Question Natural-Language Benchmark</w:t>
        <w:tab/>
        <w:t>26</w:t>
      </w:r>
    </w:p>
    <w:p>
      <w:pPr>
        <w:spacing w:after="80" w:before="0" w:line="360" w:lineRule="auto"/>
        <w:ind w:left="432"/>
        <w:jc w:val="both"/>
        <w:tabs>
          <w:tab w:val="right" w:leader="dot" w:pos="8640"/>
        </w:tabs>
      </w:pPr>
      <w:r>
        <w:rPr>
          <w:rFonts w:ascii="Times New Roman" w:hAnsi="Times New Roman"/>
          <w:b w:val="0"/>
          <w:sz w:val="23"/>
        </w:rPr>
        <w:t>5.3 Fidelity Against nopCommerce's Own Report Logic</w:t>
        <w:tab/>
        <w:t>28</w:t>
      </w:r>
    </w:p>
    <w:p>
      <w:pPr>
        <w:spacing w:after="80" w:before="0" w:line="360" w:lineRule="auto"/>
        <w:ind w:left="432"/>
        <w:jc w:val="both"/>
        <w:tabs>
          <w:tab w:val="right" w:leader="dot" w:pos="8640"/>
        </w:tabs>
      </w:pPr>
      <w:r>
        <w:rPr>
          <w:rFonts w:ascii="Times New Roman" w:hAnsi="Times New Roman"/>
          <w:b w:val="0"/>
          <w:sz w:val="23"/>
        </w:rPr>
        <w:t>5.4 Latency</w:t>
        <w:tab/>
        <w:t>29</w:t>
      </w:r>
    </w:p>
    <w:p>
      <w:pPr>
        <w:spacing w:after="80" w:before="0" w:line="360" w:lineRule="auto"/>
        <w:ind w:left="432"/>
        <w:jc w:val="both"/>
        <w:tabs>
          <w:tab w:val="right" w:leader="dot" w:pos="8640"/>
        </w:tabs>
      </w:pPr>
      <w:r>
        <w:rPr>
          <w:rFonts w:ascii="Times New Roman" w:hAnsi="Times New Roman"/>
          <w:b w:val="0"/>
          <w:sz w:val="23"/>
        </w:rPr>
        <w:t>5.5 Safety Evaluation</w:t>
        <w:tab/>
        <w:t>29</w:t>
      </w:r>
    </w:p>
    <w:p>
      <w:pPr>
        <w:spacing w:after="80" w:before="0" w:line="360" w:lineRule="auto"/>
        <w:ind w:left="432"/>
        <w:jc w:val="both"/>
        <w:tabs>
          <w:tab w:val="right" w:leader="dot" w:pos="8640"/>
        </w:tabs>
      </w:pPr>
      <w:r>
        <w:rPr>
          <w:rFonts w:ascii="Times New Roman" w:hAnsi="Times New Roman"/>
          <w:b w:val="0"/>
          <w:sz w:val="23"/>
        </w:rPr>
        <w:t>5.6 Comparison With Direct LLM-to-SQL</w:t>
        <w:tab/>
        <w:t>30</w:t>
      </w:r>
    </w:p>
    <w:p>
      <w:pPr>
        <w:spacing w:after="80" w:before="0" w:line="360" w:lineRule="auto"/>
        <w:ind w:left="432"/>
        <w:jc w:val="both"/>
        <w:tabs>
          <w:tab w:val="right" w:leader="dot" w:pos="8640"/>
        </w:tabs>
      </w:pPr>
      <w:r>
        <w:rPr>
          <w:rFonts w:ascii="Times New Roman" w:hAnsi="Times New Roman"/>
          <w:b w:val="0"/>
          <w:sz w:val="23"/>
        </w:rPr>
        <w:t>5.7 Interpretation</w:t>
        <w:tab/>
        <w:t>31</w:t>
      </w:r>
    </w:p>
    <w:p>
      <w:pPr>
        <w:spacing w:after="160" w:before="80" w:line="360" w:lineRule="auto"/>
        <w:ind w:left="0"/>
        <w:jc w:val="both"/>
        <w:tabs>
          <w:tab w:val="right" w:leader="dot" w:pos="8640"/>
        </w:tabs>
      </w:pPr>
      <w:r>
        <w:rPr>
          <w:rFonts w:ascii="Times New Roman" w:hAnsi="Times New Roman"/>
          <w:b/>
          <w:sz w:val="24"/>
        </w:rPr>
        <w:t>Chapter 6: Limitations and Future Work</w:t>
        <w:tab/>
        <w:t>32</w:t>
      </w:r>
    </w:p>
    <w:p>
      <w:pPr>
        <w:spacing w:after="80" w:before="0" w:line="360" w:lineRule="auto"/>
        <w:ind w:left="432"/>
        <w:jc w:val="both"/>
        <w:tabs>
          <w:tab w:val="right" w:leader="dot" w:pos="8640"/>
        </w:tabs>
      </w:pPr>
      <w:r>
        <w:rPr>
          <w:rFonts w:ascii="Times New Roman" w:hAnsi="Times New Roman"/>
          <w:b w:val="0"/>
          <w:sz w:val="23"/>
        </w:rPr>
        <w:t>6.1 Limitations</w:t>
        <w:tab/>
        <w:t>32</w:t>
      </w:r>
    </w:p>
    <w:p>
      <w:pPr>
        <w:spacing w:after="80" w:before="0" w:line="360" w:lineRule="auto"/>
        <w:ind w:left="432"/>
        <w:jc w:val="both"/>
        <w:tabs>
          <w:tab w:val="right" w:leader="dot" w:pos="8640"/>
        </w:tabs>
      </w:pPr>
      <w:r>
        <w:rPr>
          <w:rFonts w:ascii="Times New Roman" w:hAnsi="Times New Roman"/>
          <w:b w:val="0"/>
          <w:sz w:val="23"/>
        </w:rPr>
        <w:t>6.2 Future Work</w:t>
        <w:tab/>
        <w:t>33</w:t>
      </w:r>
    </w:p>
    <w:p>
      <w:pPr>
        <w:spacing w:after="160" w:before="80" w:line="360" w:lineRule="auto"/>
        <w:ind w:left="0"/>
        <w:jc w:val="both"/>
        <w:tabs>
          <w:tab w:val="right" w:leader="dot" w:pos="8640"/>
        </w:tabs>
      </w:pPr>
      <w:r>
        <w:rPr>
          <w:rFonts w:ascii="Times New Roman" w:hAnsi="Times New Roman"/>
          <w:b/>
          <w:sz w:val="24"/>
        </w:rPr>
        <w:t>Chapter 7: Conclusion</w:t>
        <w:tab/>
        <w:t>35</w:t>
      </w:r>
    </w:p>
    <w:p>
      <w:pPr>
        <w:spacing w:after="160" w:before="80" w:line="360" w:lineRule="auto"/>
        <w:ind w:left="0"/>
        <w:jc w:val="both"/>
        <w:tabs>
          <w:tab w:val="right" w:leader="dot" w:pos="8640"/>
        </w:tabs>
      </w:pPr>
      <w:r>
        <w:rPr>
          <w:rFonts w:ascii="Times New Roman" w:hAnsi="Times New Roman"/>
          <w:b/>
          <w:sz w:val="24"/>
        </w:rPr>
        <w:t>References</w:t>
        <w:tab/>
        <w:t>36</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8</w:t>
      </w:r>
    </w:p>
    <w:p>
      <w:pPr>
        <w:spacing w:after="80" w:before="0" w:line="360" w:lineRule="auto"/>
        <w:jc w:val="both"/>
        <w:tabs>
          <w:tab w:val="right" w:leader="dot" w:pos="8640"/>
        </w:tabs>
      </w:pPr>
      <w:r>
        <w:rPr>
          <w:rFonts w:ascii="Times New Roman" w:hAnsi="Times New Roman"/>
          <w:sz w:val="24"/>
        </w:rPr>
        <w:t>Figure 2: AEGIS architecture pipeline</w:t>
        <w:tab/>
        <w:t>13</w:t>
      </w:r>
    </w:p>
    <w:p>
      <w:pPr>
        <w:spacing w:after="80" w:before="0" w:line="360" w:lineRule="auto"/>
        <w:jc w:val="both"/>
        <w:tabs>
          <w:tab w:val="right" w:leader="dot" w:pos="8640"/>
        </w:tabs>
      </w:pPr>
      <w:r>
        <w:rPr>
          <w:rFonts w:ascii="Times New Roman" w:hAnsi="Times New Roman"/>
          <w:sz w:val="24"/>
        </w:rPr>
        <w:t>Figure 3: Semantic layer modularity</w:t>
        <w:tab/>
        <w:t>14</w:t>
      </w:r>
    </w:p>
    <w:p>
      <w:pPr>
        <w:spacing w:after="80" w:before="0" w:line="360" w:lineRule="auto"/>
        <w:jc w:val="both"/>
        <w:tabs>
          <w:tab w:val="right" w:leader="dot" w:pos="8640"/>
        </w:tabs>
      </w:pPr>
      <w:r>
        <w:rPr>
          <w:rFonts w:ascii="Times New Roman" w:hAnsi="Times New Roman"/>
          <w:sz w:val="24"/>
        </w:rPr>
        <w:t>Figure 4: Vocabulary injection and structured intent validation workflow</w:t>
        <w:tab/>
        <w:t>17</w:t>
      </w:r>
    </w:p>
    <w:p>
      <w:pPr>
        <w:spacing w:after="80" w:before="0" w:line="360" w:lineRule="auto"/>
        <w:jc w:val="both"/>
        <w:tabs>
          <w:tab w:val="right" w:leader="dot" w:pos="8640"/>
        </w:tabs>
      </w:pPr>
      <w:r>
        <w:rPr>
          <w:rFonts w:ascii="Times New Roman" w:hAnsi="Times New Roman"/>
          <w:sz w:val="24"/>
        </w:rPr>
        <w:t>Figure 5: Two-layer SQL safety defence</w:t>
        <w:tab/>
        <w:t>19</w:t>
      </w:r>
    </w:p>
    <w:p>
      <w:pPr>
        <w:spacing w:after="80" w:before="0" w:line="360" w:lineRule="auto"/>
        <w:jc w:val="both"/>
        <w:tabs>
          <w:tab w:val="right" w:leader="dot" w:pos="8640"/>
        </w:tabs>
      </w:pPr>
      <w:r>
        <w:rPr>
          <w:rFonts w:ascii="Times New Roman" w:hAnsi="Times New Roman"/>
          <w:sz w:val="24"/>
        </w:rPr>
        <w:t>Figure 6: Widget lifecycle and refresh model</w:t>
        <w:tab/>
        <w:t>20</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2.1: Comparative summary of related systems</w:t>
        <w:tab/>
        <w:t>7</w:t>
      </w:r>
    </w:p>
    <w:p>
      <w:pPr>
        <w:spacing w:after="80" w:before="0" w:line="360" w:lineRule="auto"/>
        <w:jc w:val="both"/>
        <w:tabs>
          <w:tab w:val="right" w:leader="dot" w:pos="8640"/>
        </w:tabs>
      </w:pPr>
      <w:r>
        <w:rPr>
          <w:rFonts w:ascii="Times New Roman" w:hAnsi="Times New Roman"/>
          <w:sz w:val="24"/>
        </w:rPr>
        <w:t>Table 3.1: AEGIS reporting pattern taxonomy</w:t>
        <w:tab/>
        <w:t>9</w:t>
      </w:r>
    </w:p>
    <w:p>
      <w:pPr>
        <w:spacing w:after="80" w:before="0" w:line="360" w:lineRule="auto"/>
        <w:jc w:val="both"/>
        <w:tabs>
          <w:tab w:val="right" w:leader="dot" w:pos="8640"/>
        </w:tabs>
      </w:pPr>
      <w:r>
        <w:rPr>
          <w:rFonts w:ascii="Times New Roman" w:hAnsi="Times New Roman"/>
          <w:sz w:val="24"/>
        </w:rPr>
        <w:t>Table 3.2: Semantic layer implementation contract</w:t>
        <w:tab/>
        <w:t>15</w:t>
      </w:r>
    </w:p>
    <w:p>
      <w:pPr>
        <w:spacing w:after="80" w:before="0" w:line="360" w:lineRule="auto"/>
        <w:jc w:val="both"/>
        <w:tabs>
          <w:tab w:val="right" w:leader="dot" w:pos="8640"/>
        </w:tabs>
      </w:pPr>
      <w:r>
        <w:rPr>
          <w:rFonts w:ascii="Times New Roman" w:hAnsi="Times New Roman"/>
          <w:sz w:val="24"/>
        </w:rPr>
        <w:t>Table 3.3: AEGIS analytical patterns</w:t>
        <w:tab/>
        <w:t>18</w:t>
      </w:r>
    </w:p>
    <w:p>
      <w:pPr>
        <w:spacing w:after="80" w:before="0" w:line="360" w:lineRule="auto"/>
        <w:jc w:val="both"/>
        <w:tabs>
          <w:tab w:val="right" w:leader="dot" w:pos="8640"/>
        </w:tabs>
      </w:pPr>
      <w:r>
        <w:rPr>
          <w:rFonts w:ascii="Times New Roman" w:hAnsi="Times New Roman"/>
          <w:sz w:val="24"/>
        </w:rPr>
        <w:t>Table 3.4: Visualization selector mapping</w:t>
        <w:tab/>
        <w:t>20</w:t>
      </w:r>
    </w:p>
    <w:p>
      <w:pPr>
        <w:spacing w:after="80" w:before="0" w:line="360" w:lineRule="auto"/>
        <w:jc w:val="both"/>
        <w:tabs>
          <w:tab w:val="right" w:leader="dot" w:pos="8640"/>
        </w:tabs>
      </w:pPr>
      <w:r>
        <w:rPr>
          <w:rFonts w:ascii="Times New Roman" w:hAnsi="Times New Roman"/>
          <w:sz w:val="24"/>
        </w:rPr>
        <w:t>Table 4.1: Prototype module-to-architecture mapping</w:t>
        <w:tab/>
        <w:t>22</w:t>
      </w:r>
    </w:p>
    <w:p>
      <w:pPr>
        <w:spacing w:after="80" w:before="0" w:line="360" w:lineRule="auto"/>
        <w:jc w:val="both"/>
        <w:tabs>
          <w:tab w:val="right" w:leader="dot" w:pos="8640"/>
        </w:tabs>
      </w:pPr>
      <w:r>
        <w:rPr>
          <w:rFonts w:ascii="Times New Roman" w:hAnsi="Times New Roman"/>
          <w:sz w:val="24"/>
        </w:rPr>
        <w:t>Table 4.2: Experimental setup</w:t>
        <w:tab/>
        <w:t>22</w:t>
      </w:r>
    </w:p>
    <w:p>
      <w:pPr>
        <w:spacing w:after="80" w:before="0" w:line="360" w:lineRule="auto"/>
        <w:jc w:val="both"/>
        <w:tabs>
          <w:tab w:val="right" w:leader="dot" w:pos="8640"/>
        </w:tabs>
      </w:pPr>
      <w:r>
        <w:rPr>
          <w:rFonts w:ascii="Times New Roman" w:hAnsi="Times New Roman"/>
          <w:sz w:val="24"/>
        </w:rPr>
        <w:t>Table 4.3: Static evaluation datasets</w:t>
        <w:tab/>
        <w:t>23</w:t>
      </w:r>
    </w:p>
    <w:p>
      <w:pPr>
        <w:spacing w:after="80" w:before="0" w:line="360" w:lineRule="auto"/>
        <w:jc w:val="both"/>
        <w:tabs>
          <w:tab w:val="right" w:leader="dot" w:pos="8640"/>
        </w:tabs>
      </w:pPr>
      <w:r>
        <w:rPr>
          <w:rFonts w:ascii="Times New Roman" w:hAnsi="Times New Roman"/>
          <w:sz w:val="24"/>
        </w:rPr>
        <w:t>Table 5.1: Evaluation artifacts</w:t>
        <w:tab/>
        <w:t>26</w:t>
      </w:r>
    </w:p>
    <w:p>
      <w:pPr>
        <w:spacing w:after="80" w:before="0" w:line="360" w:lineRule="auto"/>
        <w:jc w:val="both"/>
        <w:tabs>
          <w:tab w:val="right" w:leader="dot" w:pos="8640"/>
        </w:tabs>
      </w:pPr>
      <w:r>
        <w:rPr>
          <w:rFonts w:ascii="Times New Roman" w:hAnsi="Times New Roman"/>
          <w:sz w:val="24"/>
        </w:rPr>
        <w:t>Table 5.2: 500-question live benchmark results</w:t>
        <w:tab/>
        <w:t>27</w:t>
      </w:r>
    </w:p>
    <w:p>
      <w:pPr>
        <w:spacing w:after="80" w:before="0" w:line="360" w:lineRule="auto"/>
        <w:jc w:val="both"/>
        <w:tabs>
          <w:tab w:val="right" w:leader="dot" w:pos="8640"/>
        </w:tabs>
      </w:pPr>
      <w:r>
        <w:rPr>
          <w:rFonts w:ascii="Times New Roman" w:hAnsi="Times New Roman"/>
          <w:sz w:val="24"/>
        </w:rPr>
        <w:t>Table 5.3: nopCommerce standard admin report fidelity</w:t>
        <w:tab/>
        <w:t>28</w:t>
      </w:r>
    </w:p>
    <w:p>
      <w:pPr>
        <w:spacing w:after="80" w:before="0" w:line="360" w:lineRule="auto"/>
        <w:jc w:val="both"/>
        <w:tabs>
          <w:tab w:val="right" w:leader="dot" w:pos="8640"/>
        </w:tabs>
      </w:pPr>
      <w:r>
        <w:rPr>
          <w:rFonts w:ascii="Times New Roman" w:hAnsi="Times New Roman"/>
          <w:sz w:val="24"/>
        </w:rPr>
        <w:t>Table 5.4: Per-stage latency over 425 supported questions</w:t>
        <w:tab/>
        <w:t>29</w:t>
      </w:r>
    </w:p>
    <w:p>
      <w:pPr>
        <w:spacing w:after="80" w:before="0" w:line="360" w:lineRule="auto"/>
        <w:jc w:val="both"/>
        <w:tabs>
          <w:tab w:val="right" w:leader="dot" w:pos="8640"/>
        </w:tabs>
      </w:pPr>
      <w:r>
        <w:rPr>
          <w:rFonts w:ascii="Times New Roman" w:hAnsi="Times New Roman"/>
          <w:sz w:val="24"/>
        </w:rPr>
        <w:t>Table 5.5: Safety interpretation</w:t>
        <w:tab/>
        <w:t>30</w:t>
      </w:r>
    </w:p>
    <w:p>
      <w:pPr>
        <w:spacing w:after="80" w:before="0" w:line="360" w:lineRule="auto"/>
        <w:jc w:val="both"/>
        <w:tabs>
          <w:tab w:val="right" w:leader="dot" w:pos="8640"/>
        </w:tabs>
      </w:pPr>
      <w:r>
        <w:rPr>
          <w:rFonts w:ascii="Times New Roman" w:hAnsi="Times New Roman"/>
          <w:sz w:val="24"/>
        </w:rPr>
        <w:t>Table 5.6: Measured comparison over the same 500 questions</w:t>
        <w:tab/>
        <w:t>30</w:t>
      </w:r>
    </w:p>
    <w:p>
      <w:pPr>
        <w:spacing w:after="80" w:before="0" w:line="360" w:lineRule="auto"/>
        <w:jc w:val="both"/>
        <w:tabs>
          <w:tab w:val="right" w:leader="dot" w:pos="8640"/>
        </w:tabs>
      </w:pPr>
      <w:r>
        <w:rPr>
          <w:rFonts w:ascii="Times New Roman" w:hAnsi="Times New Roman"/>
          <w:sz w:val="24"/>
        </w:rPr>
        <w:t>Table 5.7: Structural comparison</w:t>
        <w:tab/>
        <w:t>31</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The system lets users describe reporting needs in plain English and produces dashboard widgets that can be saved, refreshed, and reused in daily work,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A user should be able to ask "which categories have the highest refund rates this month?" and get a correct, visual answer without writing SQL. Benchmarks such as Spider [1] and BIRD [2] show clear progress. But there is still a gap between benchmark SQL generation and production-ready reporting, where answers must respect business definitions, permissions, safety rules, and reusable dashboard presentation.</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mainly about building a smarter model. They are about designing the system around the model. AEGIS splits the work into stages. The LLM (large language model) understands the request and returns a structured description. Fixed rules and pre-approved templates then match business terms, build SQL, select the chart, and save the widget.</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a model can generate SQL from natural language. This thesis asks how a large language model can understand language while the system prevents it from generating executable SQL.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not better SQL generation. It is constrained analytical artifact generation. The design removes SQL generation from the LLM's role and gives the system safety and semantic-fidelity properties that prompt-only systems cannot guarantee.</w:t>
      </w:r>
    </w:p>
    <w:p>
      <w:pPr>
        <w:spacing w:after="0" w:before="0" w:line="360" w:lineRule="auto"/>
        <w:jc w:val="both"/>
      </w:pPr>
      <w:r>
        <w:rPr>
          <w:rFonts w:ascii="Times New Roman" w:hAnsi="Times New Roman"/>
          <w:b w:val="0"/>
          <w:i w:val="0"/>
          <w:sz w:val="24"/>
        </w:rPr>
        <w:t>AEGIS does not propose a new LLM. The model is interchangeable across APIs that expose an OpenAI-compatible /v1/chat/completions interface. Because the LLM's only contract with the rest of the system is to produce a typed JSON intent object, model upgrades can improve language understanding without changing the compiler or safety infrastructure. This model independence is part of the architecture. The evaluation in Chapter 5 used an LLM API exposed through an OpenAI-compatible interface; the SQL compiler and safety layer did not depend on that provider.</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The objective of this thesis is to design and evaluate AEGIS, a constraint-based architecture that lets an LLM understand reporting requests without allowing it to generate executable SQL. Query construction, validation, visualization, and widget persistence are handled by deterministic system components.</w:t>
      </w:r>
    </w:p>
    <w:p>
      <w:pPr>
        <w:spacing w:after="120" w:before="0" w:line="360" w:lineRule="auto"/>
        <w:jc w:val="both"/>
      </w:pPr>
      <w:r>
        <w:rPr>
          <w:rFonts w:ascii="Times New Roman" w:hAnsi="Times New Roman"/>
          <w:b w:val="0"/>
          <w:i w:val="0"/>
          <w:sz w:val="24"/>
        </w:rPr>
        <w:t>The specific objectives and contributions are:</w:t>
      </w:r>
    </w:p>
    <w:p>
      <w:pPr>
        <w:pStyle w:val="ListNumber"/>
        <w:spacing w:after="80" w:line="360" w:lineRule="auto"/>
      </w:pPr>
      <w:r>
        <w:rPr>
          <w:rFonts w:ascii="Times New Roman" w:hAnsi="Times New Roman"/>
          <w:sz w:val="24"/>
        </w:rPr>
        <w:t>A natural-language analytics architecture where the LLM is structurally prevented from writing executable SQL.</w:t>
      </w:r>
    </w:p>
    <w:p>
      <w:pPr>
        <w:pStyle w:val="ListNumber"/>
        <w:spacing w:after="80" w:line="360" w:lineRule="auto"/>
      </w:pPr>
      <w:r>
        <w:rPr>
          <w:rFonts w:ascii="Times New Roman" w:hAnsi="Times New Roman"/>
          <w:sz w:val="24"/>
        </w:rPr>
        <w:t>A closed semantic layer that maps business questions to approved metrics, dimensions, filters, analytical patterns, and join paths.</w:t>
      </w:r>
    </w:p>
    <w:p>
      <w:pPr>
        <w:pStyle w:val="ListNumber"/>
        <w:spacing w:after="80" w:line="360" w:lineRule="auto"/>
      </w:pPr>
      <w:r>
        <w:rPr>
          <w:rFonts w:ascii="Times New Roman" w:hAnsi="Times New Roman"/>
          <w:sz w:val="24"/>
        </w:rPr>
        <w:t>A deterministic query compiler that builds SQL from approved templates instead of model-written SQL.</w:t>
      </w:r>
    </w:p>
    <w:p>
      <w:pPr>
        <w:pStyle w:val="ListNumber"/>
        <w:spacing w:after="80" w:line="360" w:lineRule="auto"/>
      </w:pPr>
      <w:r>
        <w:rPr>
          <w:rFonts w:ascii="Times New Roman" w:hAnsi="Times New Roman"/>
          <w:sz w:val="24"/>
        </w:rPr>
        <w:t>A two-layer SQL safety mechanism combining structural prevention with post-compilation validation.</w:t>
      </w:r>
    </w:p>
    <w:p>
      <w:pPr>
        <w:pStyle w:val="ListNumber"/>
        <w:spacing w:after="80" w:line="360" w:lineRule="auto"/>
      </w:pPr>
      <w:r>
        <w:rPr>
          <w:rFonts w:ascii="Times New Roman" w:hAnsi="Times New Roman"/>
          <w:sz w:val="24"/>
        </w:rPr>
        <w:t>A widget-oriented workflow that turns natural-language answers into reusable dashboard artifacts.</w:t>
      </w:r>
    </w:p>
    <w:p>
      <w:pPr>
        <w:pStyle w:val="ListNumber"/>
        <w:spacing w:after="80" w:line="360" w:lineRule="auto"/>
      </w:pPr>
      <w:r>
        <w:rPr>
          <w:rFonts w:ascii="Times New Roman" w:hAnsi="Times New Roman"/>
          <w:sz w:val="24"/>
        </w:rPr>
        <w:t>A static nopCommerce evaluation corpus consisting of a 500-question natural-language benchmark and nopCommerce's own twenty standard admin reports, checked against the platform's own report implementations rather than against an expected-answer set written by the authors of the system under test.</w:t>
      </w:r>
    </w:p>
    <w:p>
      <w:pPr>
        <w:pStyle w:val="ListNumber"/>
        <w:spacing w:after="80" w:line="360" w:lineRule="auto"/>
      </w:pPr>
      <w:r>
        <w:rPr>
          <w:rFonts w:ascii="Times New Roman" w:hAnsi="Times New Roman"/>
          <w:sz w:val="24"/>
        </w:rPr>
        <w:t>An empirical evaluation showing broad supported-request coverage, strong boundary rejection, a measured direct LLM-to-SQL baseline under identical conditions, per-stage latency, and a visible remaining Admin fidelity gap rather than a suspicious claim of perfect performance.</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(running attacker-supplied text as SQL)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permission-controlled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2.1: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Prototype</w:t>
            </w:r>
          </w:p>
        </w:tc>
      </w:tr>
    </w:tbl>
    <w:p>
      <w:pPr>
        <w:spacing w:after="80"/>
      </w:pP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permission-controlled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fixed list of approved terms (a bounded vocabulary), a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Design Science Research because the main contribution is a built and evaluated artifact, the AEGIS system. The method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structure: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Static nopCommerce datasets evaluate supported-request coverage, boundary rejection, Admin fidelity, execution validity, and remaining implementation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2264877"/>
            <wp:docPr id="3" name="Picture 3"/>
            <wp:cNvGraphicFramePr>
              <a:graphicFrameLocks noChangeAspect="1"/>
            </wp:cNvGraphicFramePr>
            <a:graphic>
              <a:graphicData uri="http://schemas.openxmlformats.org/drawingml/2006/picture">
                <pic:pic>
                  <pic:nvPicPr>
                    <pic:cNvPr id="0" name="mermaid-figure-01-dsr-workflow.png"/>
                    <pic:cNvPicPr/>
                  </pic:nvPicPr>
                  <pic:blipFill>
                    <a:blip r:embed="rId12"/>
                    <a:stretch>
                      <a:fillRect/>
                    </a:stretch>
                  </pic:blipFill>
                  <pic:spPr>
                    <a:xfrm>
                      <a:off x="0" y="0"/>
                      <a:ext cx="5715000" cy="2264877"/>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3.3) was derived from a design-time review of representative e-commerce and administrative reporting requests while designing AEGIS. The purpose of this review was to identify recurring business-question shapes that the system should support, such as KPI summaries, rankings, trends, comparisons, exception reports, and reusable tabular views.</w:t>
      </w:r>
    </w:p>
    <w:p>
      <w:pPr>
        <w:spacing w:after="200" w:before="0" w:line="360" w:lineRule="auto"/>
        <w:jc w:val="both"/>
      </w:pPr>
      <w:r>
        <w:rPr>
          <w:rFonts w:ascii="Times New Roman" w:hAnsi="Times New Roman"/>
          <w:b w:val="0"/>
          <w:i w:val="0"/>
          <w:sz w:val="24"/>
        </w:rPr>
        <w:t>Table 3.1 summarizes the reporting patterns used by the AEGIS compiler and shows how they appear in ordinary e-commerce analytics. The taxonomy is a design artifact used to structure the semantic layer and compiler templates, not an independently validated user study.</w:t>
      </w:r>
    </w:p>
    <w:p>
      <w:pPr>
        <w:spacing w:before="200" w:after="80"/>
        <w:jc w:val="center"/>
        <w:keepNext/>
      </w:pPr>
      <w:r>
        <w:rPr>
          <w:rFonts w:ascii="Times New Roman" w:hAnsi="Times New Roman"/>
          <w:b/>
          <w:sz w:val="22"/>
        </w:rPr>
        <w:t>Table 3.1: AEGIS reporting pattern taxonomy.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3168"/>
        <w:gridCol w:w="352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Single-number business summary</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Total revenue this month</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Top or bottom entities by metric</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Top products by revenue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Rows that meet an operational condition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over time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compared across groups or periods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order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Grouped business overview</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Orders by payment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Population split by lifecycle stage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New versus returning customers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Stepwise business process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Checkout progression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Relationship between two measures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Discount versus order value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Breakdown by business dimension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country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Detailed record listing</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Latest orders</w:t>
            </w:r>
          </w:p>
        </w:tc>
      </w:tr>
    </w:tbl>
    <w:p>
      <w:pPr>
        <w:spacing w:after="80"/>
      </w:pPr>
    </w:p>
    <w:p>
      <w:pPr>
        <w:spacing w:after="0" w:before="0" w:line="360" w:lineRule="auto"/>
        <w:jc w:val="both"/>
      </w:pPr>
      <w:r>
        <w:rPr>
          <w:rFonts w:ascii="Times New Roman" w:hAnsi="Times New Roman"/>
          <w:b w:val="0"/>
          <w:i w:val="0"/>
          <w:sz w:val="24"/>
        </w:rPr>
        <w:t>The classification shaped the methodology in three ways. First, it made the compiler finite: each supported request must fit an approved analytical pattern. Second, it encouraged business terminology rather than database column names, which supports the need for an explicit semantic layer. Third, many reporting needs are reusable with only a changed time window, filter, or segment, which supports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spacing w:after="80" w:line="360" w:lineRule="auto"/>
        <w:ind w:left="504" w:hanging="504"/>
      </w:pPr>
      <w:r>
        <w:rPr>
          <w:rFonts w:ascii="Times New Roman" w:hAnsi="Times New Roman"/>
          <w:sz w:val="24"/>
        </w:rPr>
        <w:t>1.</w:t>
      </w:r>
      <w:r>
        <w:rPr>
          <w:rFonts w:ascii="Times New Roman" w:hAnsi="Times New Roman"/>
          <w:sz w:val="24"/>
        </w:rPr>
        <w:tab/>
        <w:t>Separate understanding from execution. The LLM understands the question; fixed rules handle everything else.</w:t>
      </w:r>
    </w:p>
    <w:p>
      <w:pPr>
        <w:spacing w:after="80" w:line="360" w:lineRule="auto"/>
        <w:ind w:left="504" w:hanging="504"/>
      </w:pPr>
      <w:r>
        <w:rPr>
          <w:rFonts w:ascii="Times New Roman" w:hAnsi="Times New Roman"/>
          <w:sz w:val="24"/>
        </w:rPr>
        <w:t>2.</w:t>
      </w:r>
      <w:r>
        <w:rPr>
          <w:rFonts w:ascii="Times New Roman" w:hAnsi="Times New Roman"/>
          <w:sz w:val="24"/>
        </w:rPr>
        <w:tab/>
        <w:t>Define business terms explicitly. Metrics, dimensions, joins, and time rules are written once in a semantic layer, not inferred per query.</w:t>
      </w:r>
    </w:p>
    <w:p>
      <w:pPr>
        <w:spacing w:after="80" w:line="360" w:lineRule="auto"/>
        <w:ind w:left="504" w:hanging="504"/>
      </w:pPr>
      <w:r>
        <w:rPr>
          <w:rFonts w:ascii="Times New Roman" w:hAnsi="Times New Roman"/>
          <w:sz w:val="24"/>
        </w:rPr>
        <w:t>3.</w:t>
      </w:r>
      <w:r>
        <w:rPr>
          <w:rFonts w:ascii="Times New Roman" w:hAnsi="Times New Roman"/>
          <w:sz w:val="24"/>
        </w:rPr>
        <w:tab/>
        <w:t>Limit what SQL can be generated. SQL is built only from pre-approved, parameterized templates.</w:t>
      </w:r>
    </w:p>
    <w:p>
      <w:pPr>
        <w:spacing w:after="80" w:line="360" w:lineRule="auto"/>
        <w:ind w:left="504" w:hanging="504"/>
      </w:pPr>
      <w:r>
        <w:rPr>
          <w:rFonts w:ascii="Times New Roman" w:hAnsi="Times New Roman"/>
          <w:sz w:val="24"/>
        </w:rPr>
        <w:t>4.</w:t>
      </w:r>
      <w:r>
        <w:rPr>
          <w:rFonts w:ascii="Times New Roman" w:hAnsi="Times New Roman"/>
          <w:sz w:val="24"/>
        </w:rPr>
        <w:tab/>
        <w:t>Select visualizations by rule. Chart type is decided by question type, result shape, and established visualization design guidance, not by a learned model.</w:t>
      </w:r>
    </w:p>
    <w:p>
      <w:pPr>
        <w:spacing w:after="80" w:line="360" w:lineRule="auto"/>
        <w:ind w:left="504" w:hanging="504"/>
      </w:pPr>
      <w:r>
        <w:rPr>
          <w:rFonts w:ascii="Times New Roman" w:hAnsi="Times New Roman"/>
          <w:sz w:val="24"/>
        </w:rPr>
        <w:t>5.</w:t>
      </w:r>
      <w:r>
        <w:rPr>
          <w:rFonts w:ascii="Times New Roman" w:hAnsi="Times New Roman"/>
          <w:sz w:val="24"/>
        </w:rPr>
        <w:tab/>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an additional safety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Documenting out-of-scope threats is part of the contribution. Prior NL-to-SQL work rarely specifies the boundary of its safety claims, which makes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Structured Intent Validation: </w:t>
      </w:r>
      <w:r>
        <w:rPr>
          <w:rFonts w:ascii="Times New Roman" w:hAnsi="Times New Roman"/>
          <w:sz w:val="24"/>
        </w:rPr>
        <w:t>The server validates the LLM's structured intent against the semantic layer: metrics, dimensions, filters, patterns, and join rules must bind to approved objects. The original question is retained only for narrow non-executable cues such as write operations, direct credential or secret requests, and explicit prediction or causal-analysis requests outside the SQL-only prototype scope.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after the LLM has already finished, so no natural-language content can influence it. The prototype demonstrates this stage rather than enforcing it: the shipped role predicates are illustrative, the demonstration server invokes the rewriter with a single unrestricted role, and the stage is outside the evaluated path reported in Chapter 5. Section 6.1 states the consequence.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and Execution: </w:t>
      </w:r>
      <w:r>
        <w:rPr>
          <w:rFonts w:ascii="Times New Roman" w:hAnsi="Times New Roman"/>
          <w:sz w:val="24"/>
        </w:rPr>
        <w:t>A breadth-first search (an automatic search for the shortest chain of table joins, run by code rather than the model) over the join graph finds the minimal join path connecting the tables required by the resolved metric and dimension, and pre-compiled SQL expressions are substituted into a parameterized template (a fixed query skeleton whose structural slots are filled only from approved semantic-layer pieces, while user-supplied values are bound separately as parameters rather than pasted into the text). No SQL text is ever assembled from concatenated user input. A forbidden-pattern scan then rejects any non-SELECT construct, and the surviving statement is executed read-only with its literal values bound as parameters. Compilation and execution are one stage because the compiler emits the only statement that reaches the database; the two are drawn as separate modules in Figure 2 and timed separately in Table 5.4.</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806440" cy="3667003"/>
            <wp:docPr id="4" name="Picture 4"/>
            <wp:cNvGraphicFramePr>
              <a:graphicFrameLocks noChangeAspect="1"/>
            </wp:cNvGraphicFramePr>
            <a:graphic>
              <a:graphicData uri="http://schemas.openxmlformats.org/drawingml/2006/picture">
                <pic:pic>
                  <pic:nvPicPr>
                    <pic:cNvPr id="0" name="mermaid-figure-03-architecture-pipeline.png"/>
                    <pic:cNvPicPr/>
                  </pic:nvPicPr>
                  <pic:blipFill>
                    <a:blip r:embed="rId13"/>
                    <a:stretch>
                      <a:fillRect/>
                    </a:stretch>
                  </pic:blipFill>
                  <pic:spPr>
                    <a:xfrm>
                      <a:off x="0" y="0"/>
                      <a:ext cx="5806440" cy="3667003"/>
                    </a:xfrm>
                    <a:prstGeom prst="rect"/>
                  </pic:spPr>
                </pic:pic>
              </a:graphicData>
            </a:graphic>
          </wp:inline>
        </w:drawing>
      </w:r>
    </w:p>
    <w:p>
      <w:pPr>
        <w:spacing w:before="80" w:after="280"/>
        <w:jc w:val="center"/>
      </w:pPr>
      <w:r>
        <w:rPr>
          <w:rFonts w:ascii="Times New Roman" w:hAnsi="Times New Roman"/>
          <w:b/>
          <w:sz w:val="21"/>
        </w:rPr>
        <w:t>Figure 2: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dimensions, joins, predicates, and permissions are allowed to exist. The semantic layer is also the main per-deployment implementation surface: to support another system, the developer defines that system's approved business vocabulary and join paths while preserving the same AEGIS architecture.</w:t>
      </w:r>
    </w:p>
    <w:p>
      <w:pPr>
        <w:spacing w:after="200" w:before="0" w:line="360" w:lineRule="auto"/>
        <w:jc w:val="both"/>
      </w:pPr>
      <w:r>
        <w:rPr>
          <w:rFonts w:ascii="Times New Roman" w:hAnsi="Times New Roman"/>
          <w:b w:val="0"/>
          <w:i w:val="0"/>
          <w:sz w:val="24"/>
        </w:rPr>
        <w:t>Related systems describe their internal contract explicitly. Veezoo describes a Knowledge Graph, parser, query processor, and visualization engine [6]. G-SQL describes JSON schema serialization and rule-guided clause construction [9]. NL4DV exposes a JSON analytic specification for attributes, tasks, and visualization choices [11]. AEGIS follows that style by defining the semantic layer as an implementation contract, not as a vague concept.</w:t>
      </w:r>
    </w:p>
    <w:p>
      <w:pPr>
        <w:spacing w:before="160" w:after="80"/>
        <w:jc w:val="center"/>
        <w:keepNext/>
      </w:pPr>
      <w:r>
        <w:drawing>
          <wp:inline xmlns:a="http://schemas.openxmlformats.org/drawingml/2006/main" xmlns:pic="http://schemas.openxmlformats.org/drawingml/2006/picture">
            <wp:extent cx="5715000" cy="6163675"/>
            <wp:docPr id="5" name="Picture 5"/>
            <wp:cNvGraphicFramePr>
              <a:graphicFrameLocks noChangeAspect="1"/>
            </wp:cNvGraphicFramePr>
            <a:graphic>
              <a:graphicData uri="http://schemas.openxmlformats.org/drawingml/2006/picture">
                <pic:pic>
                  <pic:nvPicPr>
                    <pic:cNvPr id="0" name="mermaid-figure-04-semantic-layer-modularity.png"/>
                    <pic:cNvPicPr/>
                  </pic:nvPicPr>
                  <pic:blipFill>
                    <a:blip r:embed="rId14"/>
                    <a:stretch>
                      <a:fillRect/>
                    </a:stretch>
                  </pic:blipFill>
                  <pic:spPr>
                    <a:xfrm>
                      <a:off x="0" y="0"/>
                      <a:ext cx="5715000" cy="6163675"/>
                    </a:xfrm>
                    <a:prstGeom prst="rect"/>
                  </pic:spPr>
                </pic:pic>
              </a:graphicData>
            </a:graphic>
          </wp:inline>
        </w:drawing>
      </w:r>
    </w:p>
    <w:p>
      <w:pPr>
        <w:spacing w:before="80" w:after="280"/>
        <w:jc w:val="center"/>
      </w:pPr>
      <w:r>
        <w:rPr>
          <w:rFonts w:ascii="Times New Roman" w:hAnsi="Times New Roman"/>
          <w:b/>
          <w:sz w:val="21"/>
        </w:rPr>
        <w:t>Figure 3: Semantic layer modularity - composable blocks vs. free-form SQL generation</w:t>
      </w:r>
    </w:p>
    <w:p>
      <w:pPr>
        <w:spacing w:before="200" w:after="80"/>
        <w:jc w:val="center"/>
        <w:keepNext/>
      </w:pPr>
      <w:r>
        <w:rPr>
          <w:rFonts w:ascii="Times New Roman" w:hAnsi="Times New Roman"/>
          <w:b/>
          <w:sz w:val="22"/>
        </w:rPr>
        <w:t>Table 3.2: Semantic layer implementation contract.</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3672"/>
        <w:gridCol w:w="345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Required fields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nopCommerce example</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description, sql_expr, binding_table, required_joins, time_anchor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-&gt; SUM(COALESCE(o.OrderTotal,0)), bound to Order</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Grain rule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item_grain_equivalent when an order-level metric is grouped by item data</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by product uses line_item_revenue instead of duplicating order totals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sql_expr, binding_table, datatype, entity, group_expr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category_name -&gt; c.Name, reached through Product_Category_Mapping and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parameter field, datatype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payment_status -&gt; o.PaymentStatusId = :payment_status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Time anchor</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metric-specific date column for period filters</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customer_count uses cu.CreatedOnUtc; order_count uses o.CreatedOnUtc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source table, target table, ON clause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-&gt; OrderItem -&gt; Product -&gt;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Mandatory 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always-on table rule appended by the compiler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Product, and Customer include Deleted = 0</w:t>
            </w:r>
          </w:p>
        </w:tc>
      </w:tr>
    </w:tbl>
    <w:p>
      <w:pPr>
        <w:spacing w:after="80"/>
      </w:pPr>
    </w:p>
    <w:p>
      <w:pPr>
        <w:spacing w:after="80" w:before="0" w:line="360" w:lineRule="auto"/>
        <w:jc w:val="both"/>
      </w:pPr>
      <w:r>
        <w:rPr>
          <w:rFonts w:ascii="Times New Roman" w:hAnsi="Times New Roman"/>
          <w:b w:val="0"/>
          <w:i w:val="0"/>
          <w:sz w:val="24"/>
        </w:rPr>
        <w:t>A compact example of the implementation contract is shown below:</w:t>
      </w:r>
    </w:p>
    <w:p>
      <w:pPr>
        <w:spacing w:before="120" w:after="120" w:line="276" w:lineRule="auto"/>
        <w:ind w:left="576"/>
      </w:pPr>
      <w:r>
        <w:rPr>
          <w:rFonts w:ascii="Times New Roman" w:hAnsi="Times New Roman"/>
          <w:sz w:val="19"/>
        </w:rPr>
        <w:t>Metric(</w:t>
      </w:r>
      <w:r>
        <w:rPr>
          <w:rFonts w:ascii="Times New Roman" w:hAnsi="Times New Roman"/>
          <w:sz w:val="19"/>
        </w:rPr>
        <w:br/>
        <w:t xml:space="preserve">  id="revenue",</w:t>
      </w:r>
      <w:r>
        <w:rPr>
          <w:rFonts w:ascii="Times New Roman" w:hAnsi="Times New Roman"/>
          <w:sz w:val="19"/>
        </w:rPr>
        <w:br/>
        <w:t xml:space="preserve">  sql_expr="SUM(COALESCE(o.OrderTotal, 0))",</w:t>
      </w:r>
      <w:r>
        <w:rPr>
          <w:rFonts w:ascii="Times New Roman" w:hAnsi="Times New Roman"/>
          <w:sz w:val="19"/>
        </w:rPr>
        <w:br/>
        <w:t xml:space="preserve">  binding_table="Order",</w:t>
      </w:r>
      <w:r>
        <w:rPr>
          <w:rFonts w:ascii="Times New Roman" w:hAnsi="Times New Roman"/>
          <w:sz w:val="19"/>
        </w:rPr>
        <w:br/>
        <w:t xml:space="preserve">  time_anchor="o.CreatedOnUtc",</w:t>
      </w:r>
      <w:r>
        <w:rPr>
          <w:rFonts w:ascii="Times New Roman" w:hAnsi="Times New Roman"/>
          <w:sz w:val="19"/>
        </w:rPr>
        <w:br/>
        <w:t xml:space="preserve">  item_grain_equivalent="line_item_revenue")</w:t>
      </w:r>
      <w:r>
        <w:rPr>
          <w:rFonts w:ascii="Times New Roman" w:hAnsi="Times New Roman"/>
          <w:sz w:val="19"/>
        </w:rPr>
        <w:br/>
      </w:r>
      <w:r>
        <w:rPr>
          <w:rFonts w:ascii="Times New Roman" w:hAnsi="Times New Roman"/>
          <w:sz w:val="19"/>
        </w:rPr>
        <w:br/>
        <w:t>Dimension(</w:t>
      </w:r>
      <w:r>
        <w:rPr>
          <w:rFonts w:ascii="Times New Roman" w:hAnsi="Times New Roman"/>
          <w:sz w:val="19"/>
        </w:rPr>
        <w:br/>
        <w:t xml:space="preserve">  id="category_name",</w:t>
      </w:r>
      <w:r>
        <w:rPr>
          <w:rFonts w:ascii="Times New Roman" w:hAnsi="Times New Roman"/>
          <w:sz w:val="19"/>
        </w:rPr>
        <w:br/>
        <w:t xml:space="preserve">  sql_expr="c.Name",</w:t>
      </w:r>
      <w:r>
        <w:rPr>
          <w:rFonts w:ascii="Times New Roman" w:hAnsi="Times New Roman"/>
          <w:sz w:val="19"/>
        </w:rPr>
        <w:br/>
        <w:t xml:space="preserve">  binding_table="Category",</w:t>
      </w:r>
      <w:r>
        <w:rPr>
          <w:rFonts w:ascii="Times New Roman" w:hAnsi="Times New Roman"/>
          <w:sz w:val="19"/>
        </w:rPr>
        <w:br/>
        <w:t xml:space="preserve">  required_joins=["Product_Category_Mapping", "Category"])</w:t>
      </w:r>
    </w:p>
    <w:p>
      <w:pPr>
        <w:spacing w:after="0" w:before="0" w:line="360" w:lineRule="auto"/>
        <w:jc w:val="both"/>
      </w:pPr>
      <w:r>
        <w:rPr>
          <w:rFonts w:ascii="Times New Roman" w:hAnsi="Times New Roman"/>
          <w:b w:val="0"/>
          <w:i w:val="0"/>
          <w:sz w:val="24"/>
        </w:rPr>
        <w:t>In the nopCommerce prototype, the semantic layer defines the Approved metrics, dimensions, predicates, and join paths needed for the evaluated e-commerce analytics scope. The full nopCommerce schema is larger than this exposed vocabulary. Tables and fields that are not represented in the semantic layer cannot be requested through AEGIS, which is how the architecture keeps the answerable space useful but finite.</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Vocabulary injection makes Stage 1 practical. At startup, AEGIS builds the system prompt from the semantic layer. The prompt lists every approved metric and dimension identifier with a plain-English description. In the current prototype, 15 metrics and 34 dimensions take about 1,100 tokens. The LLM maps user phrasing to these identifiers without a hand-written synonym list. When the system owner adds a metric, the prompt vocabulary changes with the semantic layer.</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downstream validation runs. Stage 1 therefore relies on a typed IntentObject rather than free-form text. Malformed or off-schema output is rejected at the API boundary before structured intent validation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4983480" cy="6251655"/>
            <wp:docPr id="6" name="Picture 6"/>
            <wp:cNvGraphicFramePr>
              <a:graphicFrameLocks noChangeAspect="1"/>
            </wp:cNvGraphicFramePr>
            <a:graphic>
              <a:graphicData uri="http://schemas.openxmlformats.org/drawingml/2006/picture">
                <pic:pic>
                  <pic:nvPicPr>
                    <pic:cNvPr id="0" name="mermaid-figure-05-vocabulary-injection.png"/>
                    <pic:cNvPicPr/>
                  </pic:nvPicPr>
                  <pic:blipFill>
                    <a:blip r:embed="rId15"/>
                    <a:stretch>
                      <a:fillRect/>
                    </a:stretch>
                  </pic:blipFill>
                  <pic:spPr>
                    <a:xfrm>
                      <a:off x="0" y="0"/>
                      <a:ext cx="4983480" cy="6251655"/>
                    </a:xfrm>
                    <a:prstGeom prst="rect"/>
                  </pic:spPr>
                </pic:pic>
              </a:graphicData>
            </a:graphic>
          </wp:inline>
        </w:drawing>
      </w:r>
    </w:p>
    <w:p>
      <w:pPr>
        <w:spacing w:before="80" w:after="280"/>
        <w:jc w:val="center"/>
      </w:pPr>
      <w:r>
        <w:rPr>
          <w:rFonts w:ascii="Times New Roman" w:hAnsi="Times New Roman"/>
          <w:b/>
          <w:sz w:val="21"/>
        </w:rPr>
        <w:t>Figure 4: Vocabulary injection and structured intent validation workflow</w:t>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builds SQL from parameterized templates, one for each analytics pattern. It does not invent joins or expressions. It proves that a grounded plan can be rendered using only semantic-layer objects.</w:t>
      </w:r>
    </w:p>
    <w:p>
      <w:pPr>
        <w:spacing w:after="80" w:before="0" w:line="360" w:lineRule="auto"/>
        <w:jc w:val="both"/>
      </w:pPr>
      <w:r>
        <w:rPr>
          <w:rFonts w:ascii="Times New Roman" w:hAnsi="Times New Roman"/>
          <w:b w:val="0"/>
          <w:i w:val="0"/>
          <w:sz w:val="24"/>
        </w:rPr>
        <w:t>The compiler procedure is deterministic:</w:t>
      </w:r>
    </w:p>
    <w:p>
      <w:pPr>
        <w:spacing w:before="120" w:after="120" w:line="276" w:lineRule="auto"/>
        <w:ind w:left="576"/>
      </w:pPr>
      <w:r>
        <w:rPr>
          <w:rFonts w:ascii="Times New Roman" w:hAnsi="Times New Roman"/>
          <w:sz w:val="19"/>
        </w:rPr>
        <w:t>Input: AnalysisPlan(pattern, metric, dimension, filters, time_range)</w:t>
      </w:r>
      <w:r>
        <w:rPr>
          <w:rFonts w:ascii="Times New Roman" w:hAnsi="Times New Roman"/>
          <w:sz w:val="19"/>
        </w:rPr>
        <w:br/>
        <w:t>1. collect required tables from metric, dimension, and declared required_joins</w:t>
      </w:r>
      <w:r>
        <w:rPr>
          <w:rFonts w:ascii="Times New Roman" w:hAnsi="Times New Roman"/>
          <w:sz w:val="19"/>
        </w:rPr>
        <w:br/>
        <w:t>2. replace order-grain metrics with declared item-grain equivalents when needed</w:t>
      </w:r>
      <w:r>
        <w:rPr>
          <w:rFonts w:ascii="Times New Roman" w:hAnsi="Times New Roman"/>
          <w:sz w:val="19"/>
        </w:rPr>
        <w:br/>
        <w:t>3. resolve the minimal join path with BFS over the semantic join graph</w:t>
      </w:r>
      <w:r>
        <w:rPr>
          <w:rFonts w:ascii="Times New Roman" w:hAnsi="Times New Roman"/>
          <w:sz w:val="19"/>
        </w:rPr>
        <w:br/>
        <w:t>4. assemble SELECT from approved sql_expr values only</w:t>
      </w:r>
      <w:r>
        <w:rPr>
          <w:rFonts w:ascii="Times New Roman" w:hAnsi="Times New Roman"/>
          <w:sz w:val="19"/>
        </w:rPr>
        <w:br/>
        <w:t>5. assemble WHERE from normalized time_range and approved predicates</w:t>
      </w:r>
      <w:r>
        <w:rPr>
          <w:rFonts w:ascii="Times New Roman" w:hAnsi="Times New Roman"/>
          <w:sz w:val="19"/>
        </w:rPr>
        <w:br/>
        <w:t>6. append mandatory table predicates such as Deleted = 0</w:t>
      </w:r>
      <w:r>
        <w:rPr>
          <w:rFonts w:ascii="Times New Roman" w:hAnsi="Times New Roman"/>
          <w:sz w:val="19"/>
        </w:rPr>
        <w:br/>
        <w:t>7. add GROUP BY, ORDER BY, and LIMIT according to the analytical pattern</w:t>
      </w:r>
      <w:r>
        <w:rPr>
          <w:rFonts w:ascii="Times New Roman" w:hAnsi="Times New Roman"/>
          <w:sz w:val="19"/>
        </w:rPr>
        <w:br/>
        <w:t>8. reject the final SQL if it contains forbidden constructs</w:t>
      </w:r>
      <w:r>
        <w:rPr>
          <w:rFonts w:ascii="Times New Roman" w:hAnsi="Times New Roman"/>
          <w:sz w:val="19"/>
        </w:rPr>
        <w:br/>
        <w:t>Output: read-only SQL string, bound parameters, rationale log</w:t>
      </w:r>
    </w:p>
    <w:p>
      <w:pPr>
        <w:spacing w:after="200" w:before="0" w:line="360" w:lineRule="auto"/>
        <w:jc w:val="both"/>
      </w:pPr>
      <w:r>
        <w:rPr>
          <w:rFonts w:ascii="Times New Roman" w:hAnsi="Times New Roman"/>
          <w:b w:val="0"/>
          <w:i w:val="0"/>
          <w:sz w:val="24"/>
        </w:rPr>
        <w:t>The important implementation detail is that user text never becomes a table or column name (a SQL identifier). Identifiers come from Metric and Dimension objects. The values a user supplies are passed to the database separately as parameters, never pasted into the query text. Join clauses come from the join graph. If any slot cannot be grounded, the resolver returns reject or clarify rather than allowing the compiler to guess.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Two safety layers apply in sequence. Layer 1 is a parameterized query engine that separates SQL structure from user inputs. No user text is concatenated into the SQL string. Layer 2 is a post-compilation safety scanner that rejects any assembled query containing a forbidden construct, including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4892040" cy="8187814"/>
            <wp:docPr id="7" name="Picture 7"/>
            <wp:cNvGraphicFramePr>
              <a:graphicFrameLocks noChangeAspect="1"/>
            </wp:cNvGraphicFramePr>
            <a:graphic>
              <a:graphicData uri="http://schemas.openxmlformats.org/drawingml/2006/picture">
                <pic:pic>
                  <pic:nvPicPr>
                    <pic:cNvPr id="0" name="mermaid-figure-07-sql-safety-defense.png"/>
                    <pic:cNvPicPr/>
                  </pic:nvPicPr>
                  <pic:blipFill>
                    <a:blip r:embed="rId16"/>
                    <a:stretch>
                      <a:fillRect/>
                    </a:stretch>
                  </pic:blipFill>
                  <pic:spPr>
                    <a:xfrm>
                      <a:off x="0" y="0"/>
                      <a:ext cx="4892040" cy="8187814"/>
                    </a:xfrm>
                    <a:prstGeom prst="rect"/>
                  </pic:spPr>
                </pic:pic>
              </a:graphicData>
            </a:graphic>
          </wp:inline>
        </w:drawing>
      </w:r>
    </w:p>
    <w:p>
      <w:pPr>
        <w:spacing w:before="80" w:after="280"/>
        <w:jc w:val="center"/>
      </w:pPr>
      <w:r>
        <w:rPr>
          <w:rFonts w:ascii="Times New Roman" w:hAnsi="Times New Roman"/>
          <w:b/>
          <w:sz w:val="21"/>
        </w:rPr>
        <w:t>Figure 5: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5715000" cy="823846"/>
            <wp:docPr id="8" name="Picture 8"/>
            <wp:cNvGraphicFramePr>
              <a:graphicFrameLocks noChangeAspect="1"/>
            </wp:cNvGraphicFramePr>
            <a:graphic>
              <a:graphicData uri="http://schemas.openxmlformats.org/drawingml/2006/picture">
                <pic:pic>
                  <pic:nvPicPr>
                    <pic:cNvPr id="0" name="mermaid-figure-08-widget-lifecycle.png"/>
                    <pic:cNvPicPr/>
                  </pic:nvPicPr>
                  <pic:blipFill>
                    <a:blip r:embed="rId17"/>
                    <a:stretch>
                      <a:fillRect/>
                    </a:stretch>
                  </pic:blipFill>
                  <pic:spPr>
                    <a:xfrm>
                      <a:off x="0" y="0"/>
                      <a:ext cx="5715000" cy="823846"/>
                    </a:xfrm>
                    <a:prstGeom prst="rect"/>
                  </pic:spPr>
                </pic:pic>
              </a:graphicData>
            </a:graphic>
          </wp:inline>
        </w:drawing>
      </w:r>
    </w:p>
    <w:p>
      <w:pPr>
        <w:spacing w:before="80" w:after="280"/>
        <w:jc w:val="center"/>
      </w:pPr>
      <w:r>
        <w:rPr>
          <w:rFonts w:ascii="Times New Roman" w:hAnsi="Times New Roman"/>
          <w:b/>
          <w:sz w:val="21"/>
        </w:rPr>
        <w:t>Figure 6: Widget lifecycle and refresh model</w:t>
      </w:r>
    </w:p>
    <w:p>
      <w:pPr>
        <w:pageBreakBefore/>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plain HTML and JavaScript frontend and a Python FastAPI backend, targeting a nopCommerce-derived MySQL schema of 126 tables and 107 foreign-key constraints. The oracle queries (the trusted reference answers, taken from nopCommerce's own report code) are read from nopCommerce source at commit 64bdf2ff (version 5.00.0), and all twenty executed against this schema without a missing table or column, which is the evidence that the schema and the report logic agree on the entities those reports touch. The prototype follows the architecture from Chapter 3: the model extracts intent, the semantic layer supplies approved business definitions, and deterministic compiler templates produce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An LLM API exposed through an OpenAI-compatible /v1/chat/completions interface with structured JSON output enforcement. The prompt injects approved metric and dimension identifiers at request time. The compiler and safety layer are provider-independent because they consume only the typed intent object, not model-written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define approved metrics, dimensions, predicates, time anchors, join paths, grain rules, and mandatory platform filters.</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build read-only SQL from approved analytical patterns. The compiler logs the selected pattern, resolved tables, join path, metric expression, dimension expression, and safety result.</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chart selection maps analytical patterns and result shapes to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The prototype stores widget metadata locally with plan-hash deduplication. The interface is designed so production storage can be moved to a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Intent validator: </w:t>
      </w:r>
      <w:r>
        <w:rPr>
          <w:rFonts w:ascii="Times New Roman" w:hAnsi="Times New Roman"/>
          <w:sz w:val="24"/>
        </w:rPr>
        <w:t>Structured intent validation checks the LLM's normalized intent against the semantic layer, while the original question is used only for narrow safety and scope cues such as writes, direct secrets, and explicit non-SQL analysis modes.</w:t>
      </w:r>
    </w:p>
    <w:p>
      <w:pPr>
        <w:spacing w:before="200" w:after="80"/>
        <w:jc w:val="center"/>
        <w:keepNext/>
      </w:pPr>
      <w:r>
        <w:rPr>
          <w:rFonts w:ascii="Times New Roman" w:hAnsi="Times New Roman"/>
          <w:b/>
          <w:sz w:val="22"/>
        </w:rPr>
        <w:t>Table 4.1: Prototype module-to-architecture mapping.</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2376"/>
        <w:gridCol w:w="446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Architecture 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Implementation module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Main technical responsibility</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extraction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intent_parser.py, models.py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OpenAI-compatible structured JSON output into IntentObject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Grounding</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grounding.py,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Ranked semantic-layer binding with resolved, ambiguous, unsupported, or absent outcomes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validation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coverage.py,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Structured binding checks plus narrow raw-text safety/scope cues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Semantic layer</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semantic_layer.py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Metrics, dimensions, predicates, time anchors, join graph, and mandatory filters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Compilation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compiler.py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Pattern templates, BFS join-path resolution, parameter binding, and SQL safety scan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Visualization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visualization.py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Rule-based chart selection from pattern and result shape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Persistence</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widget_engine.py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Plan hashing, widget storage, refresh metadata, and reuse</w:t>
            </w:r>
          </w:p>
        </w:tc>
      </w:tr>
    </w:tbl>
    <w:p>
      <w:pPr>
        <w:spacing w:after="80"/>
      </w:pPr>
    </w:p>
    <w:p>
      <w:pPr>
        <w:spacing w:after="0" w:before="0" w:line="360" w:lineRule="auto"/>
        <w:jc w:val="both"/>
      </w:pPr>
      <w:r>
        <w:rPr>
          <w:rFonts w:ascii="Times New Roman" w:hAnsi="Times New Roman"/>
          <w:b w:val="0"/>
          <w:i w:val="0"/>
          <w:sz w:val="24"/>
        </w:rPr>
        <w:t>This module map makes the prototype auditable. The thesis architecture is more than a conceptual pipeline. Each stage has a corresponding implementation boundary.</w:t>
      </w:r>
    </w:p>
    <w:p>
      <w:pPr>
        <w:spacing w:before="320" w:after="160"/>
        <w:jc w:val="left"/>
      </w:pPr>
      <w:r>
        <w:rPr>
          <w:rFonts w:ascii="Times New Roman" w:hAnsi="Times New Roman"/>
          <w:b/>
          <w:sz w:val="28"/>
        </w:rPr>
        <w:t>4.2  Experimental Environment</w:t>
      </w:r>
    </w:p>
    <w:p>
      <w:pPr>
        <w:spacing w:before="200" w:after="80"/>
        <w:jc w:val="center"/>
        <w:keepNext/>
      </w:pPr>
      <w:r>
        <w:rPr>
          <w:rFonts w:ascii="Times New Roman" w:hAnsi="Times New Roman"/>
          <w:b/>
          <w:sz w:val="22"/>
        </w:rPr>
        <w:t>Table 4.2: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Local/Laragon or Docker-compatible MySQL evaluation database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Application 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nopCommerce-derived MySQL schema, 126 tables, 107 foreign keys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Report oracle source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nopCommerce source at commit 64bdf2ff (version 5.00.0)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customers, products, categories, manufacturers, payments, shipping, refunds, stores, countries, and search terms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interface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OpenAI-compatible /v1/chat/completions API</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Single-domain prototype evaluation over nopCommerce analytics</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leaderboard study. Its goal is to test whether the AEGIS architecture provides safe, Approved natural-language analytics for a realistic e-commerce schema. General text-to-SQL benchmarks such as Spider and BIRD are valuable for SQL generation research, but they do not measure reusable dashboard widgets, semantic layer control, or refusal of unsupported business questions.</w:t>
      </w:r>
    </w:p>
    <w:p>
      <w:pPr>
        <w:spacing w:before="200" w:after="80"/>
        <w:jc w:val="center"/>
        <w:keepNext/>
      </w:pPr>
      <w:r>
        <w:rPr>
          <w:rFonts w:ascii="Times New Roman" w:hAnsi="Times New Roman"/>
          <w:b/>
          <w:sz w:val="22"/>
        </w:rPr>
        <w:t>Table 4.3: Static evaluation datasets.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1584"/>
        <w:gridCol w:w="496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Dataset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Size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Natural-language benchmark</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500 questions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Breadth: 425 answerable questions and 75 realistic e-commerce boundary questions that should be declined.</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nopCommerce standard admin reports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20 reports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Fidelity: the platform's own admin report list, with the platform's own report implementations as the oracle.</w:t>
            </w:r>
          </w:p>
        </w:tc>
      </w:tr>
    </w:tbl>
    <w:p>
      <w:pPr>
        <w:spacing w:after="80"/>
      </w:pPr>
    </w:p>
    <w:p>
      <w:pPr>
        <w:spacing w:after="200" w:before="0" w:line="360" w:lineRule="auto"/>
        <w:jc w:val="both"/>
      </w:pPr>
      <w:r>
        <w:rPr>
          <w:rFonts w:ascii="Times New Roman" w:hAnsi="Times New Roman"/>
          <w:b w:val="0"/>
          <w:i w:val="0"/>
          <w:sz w:val="24"/>
        </w:rPr>
        <w:t>The two corpora differ in who chose them, and that difference is deliberate. The 500 questions were written for this study, so they measure how the architecture behaves across the range of language a store owner uses. The twenty reports were not: the list is nopCommerce's own admin menu and the comparison target is nopCommerce's own service-layer code, read from source. Comparing against a platform's shipped implementation is stronger evidence than comparing against an expected-answer set written by the same authors as the system under test, because the latter tends to agree with the implementation wherever both authors reasoned the same way.</w:t>
      </w:r>
    </w:p>
    <w:p>
      <w:pPr>
        <w:spacing w:after="0" w:before="0" w:line="360" w:lineRule="auto"/>
        <w:jc w:val="both"/>
      </w:pPr>
      <w:r>
        <w:rPr>
          <w:rFonts w:ascii="Times New Roman" w:hAnsi="Times New Roman"/>
          <w:b w:val="0"/>
          <w:i w:val="0"/>
          <w:sz w:val="24"/>
        </w:rPr>
        <w:t>All benchmark datasets are static repository artifacts. They are not regenerated during evaluation, because a thesis dataset must be inspectable and stable. The reported result files are also stored with the repository so a reader can compare the manuscript tables with the underlying evidence.</w:t>
      </w:r>
    </w:p>
    <w:p>
      <w:pPr>
        <w:spacing w:before="320" w:after="160"/>
        <w:jc w:val="left"/>
      </w:pPr>
      <w:r>
        <w:rPr>
          <w:rFonts w:ascii="Times New Roman" w:hAnsi="Times New Roman"/>
          <w:b/>
          <w:sz w:val="28"/>
        </w:rPr>
        <w:t>4.4  Baseline and Oracle Comparisons</w:t>
      </w:r>
    </w:p>
    <w:p>
      <w:pPr>
        <w:spacing w:after="200" w:before="0" w:line="360" w:lineRule="auto"/>
        <w:jc w:val="both"/>
      </w:pPr>
      <w:r>
        <w:rPr>
          <w:rFonts w:ascii="Times New Roman" w:hAnsi="Times New Roman"/>
          <w:b w:val="0"/>
          <w:i w:val="0"/>
          <w:sz w:val="24"/>
        </w:rPr>
        <w:t>The evaluation uses two kinds of comparison, and both are measured rather than argued. The first is a direct LLM-to-SQL baseline run under identical conditions. The second compares AEGIS output against nopCommerce's own admin report implementations. The second is the stronger evidence for result accuracy, because it checks returned business values rather than only whether SQL text was emitted.</w:t>
      </w:r>
    </w:p>
    <w:p>
      <w:pPr>
        <w:spacing w:after="80" w:line="360" w:lineRule="auto"/>
        <w:ind w:left="461" w:hanging="259"/>
      </w:pPr>
      <w:r>
        <w:rPr>
          <w:rFonts w:ascii="Times New Roman" w:hAnsi="Times New Roman"/>
          <w:sz w:val="24"/>
        </w:rPr>
        <w:t>•</w:t>
        <w:tab/>
      </w:r>
      <w:r>
        <w:rPr>
          <w:rFonts w:ascii="Times New Roman" w:hAnsi="Times New Roman"/>
          <w:b/>
          <w:sz w:val="24"/>
        </w:rPr>
        <w:t xml:space="preserve">Direct LLM-to-SQL baseline: </w:t>
      </w:r>
      <w:r>
        <w:rPr>
          <w:rFonts w:ascii="Times New Roman" w:hAnsi="Times New Roman"/>
          <w:sz w:val="24"/>
        </w:rPr>
        <w:t>The same model, through the same gateway (the service that relays requests to the language model), is asked to write MySQL directly for the same 500 questions against the same database, with no semantic layer in between. The arms therefore differ only in whether the model authors the query, which isolates the architectural variable rather than mixing it up with model or data differences. Both arms are scanned for forbidden constructs with the same pattern set, imported from the compiler rather than restated, so neither arm is judged by a more lenient rule.</w:t>
      </w:r>
    </w:p>
    <w:p>
      <w:pPr>
        <w:spacing w:after="80" w:line="360" w:lineRule="auto"/>
        <w:ind w:left="461" w:hanging="259"/>
      </w:pPr>
      <w:r>
        <w:rPr>
          <w:rFonts w:ascii="Times New Roman" w:hAnsi="Times New Roman"/>
          <w:sz w:val="24"/>
        </w:rPr>
        <w:t>•</w:t>
        <w:tab/>
      </w:r>
      <w:r>
        <w:rPr>
          <w:rFonts w:ascii="Times New Roman" w:hAnsi="Times New Roman"/>
          <w:b/>
          <w:sz w:val="24"/>
        </w:rPr>
        <w:t xml:space="preserve">Admin report differential: </w:t>
      </w:r>
      <w:r>
        <w:rPr>
          <w:rFonts w:ascii="Times New Roman" w:hAnsi="Times New Roman"/>
          <w:sz w:val="24"/>
        </w:rPr>
        <w:t>Each of nopCommerce's twenty standard admin reports is requested in ordinary business phrasing. Two checks are applied: whether the request reaches an answer and compiles to SQL, and whether executing that SQL against the seeded database returns the same rows as the platform's own query. Only the second tests the claim; the first is satisfied by any query that compiles, including ones that are silently wrong.</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Per-stage latency: </w:t>
      </w:r>
      <w:r>
        <w:rPr>
          <w:rFonts w:ascii="Times New Roman" w:hAnsi="Times New Roman"/>
          <w:sz w:val="24"/>
        </w:rPr>
        <w:t>Every stage of the live benchmark is timed separately, so that the cost of intent extraction can be separated from the cost of resolution, compilation, and execution. A single end-to-end figure would mix up a property of the model provider with a property of the architecture.</w:t>
      </w:r>
    </w:p>
    <w:p>
      <w:r>
        <w:br w:type="page"/>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static benchmark data, verifier scripts, and recorded result artifacts:</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reliably does the LLM parser produce typed reporting intents on the 500-question natural-language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answer supported semantic-layer questions while rejecting or clarifying realistic unsupported e-commerce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the compiled SQL execute successfully against the evaluation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Do AEGIS results match the rows returned by nopCommerce's own report implementations on the same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RQ5: </w:t>
      </w:r>
      <w:r>
        <w:rPr>
          <w:rFonts w:ascii="Times New Roman" w:hAnsi="Times New Roman"/>
          <w:sz w:val="24"/>
        </w:rPr>
        <w:t>How does the same model behave on the same questions when the semantic layer is removed and it writes SQL directly?</w:t>
      </w:r>
    </w:p>
    <w:p>
      <w:pPr>
        <w:spacing w:after="80" w:line="360" w:lineRule="auto"/>
        <w:ind w:left="461" w:hanging="259"/>
      </w:pPr>
      <w:r>
        <w:rPr>
          <w:rFonts w:ascii="Times New Roman" w:hAnsi="Times New Roman"/>
          <w:sz w:val="24"/>
        </w:rPr>
        <w:t>•</w:t>
        <w:tab/>
      </w:r>
      <w:r>
        <w:rPr>
          <w:rFonts w:ascii="Times New Roman" w:hAnsi="Times New Roman"/>
          <w:b/>
          <w:sz w:val="24"/>
        </w:rPr>
        <w:t xml:space="preserve">RQ6: </w:t>
      </w:r>
      <w:r>
        <w:rPr>
          <w:rFonts w:ascii="Times New Roman" w:hAnsi="Times New Roman"/>
          <w:sz w:val="24"/>
        </w:rPr>
        <w:t>Where does the response time go, and how much of it does the architecture control?</w:t>
      </w:r>
    </w:p>
    <w:p>
      <w:pPr>
        <w:spacing w:after="80" w:line="360" w:lineRule="auto"/>
        <w:ind w:left="461" w:hanging="259"/>
      </w:pPr>
      <w:r>
        <w:rPr>
          <w:rFonts w:ascii="Times New Roman" w:hAnsi="Times New Roman"/>
          <w:sz w:val="24"/>
        </w:rPr>
        <w:t>•</w:t>
        <w:tab/>
      </w:r>
      <w:r>
        <w:rPr>
          <w:rFonts w:ascii="Times New Roman" w:hAnsi="Times New Roman"/>
          <w:b/>
          <w:sz w:val="24"/>
        </w:rPr>
        <w:t xml:space="preserve">RQ7: </w:t>
      </w:r>
      <w:r>
        <w:rPr>
          <w:rFonts w:ascii="Times New Roman" w:hAnsi="Times New Roman"/>
          <w:sz w:val="24"/>
        </w:rPr>
        <w:t>What implementation gaps remain after the current semantic-layer and compiler updates?</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This chapter reports the AEGIS prototype evaluation using static nopCommerce artifacts committed with the repository. The evaluation separates four questions that are often mixed together. Can the system parse the request? Is the request inside the semantic layer? Does the compiled SQL run? Does the result match the expected business answer?</w:t>
      </w:r>
    </w:p>
    <w:p>
      <w:pPr>
        <w:spacing w:after="0" w:before="0" w:line="360" w:lineRule="auto"/>
        <w:jc w:val="both"/>
      </w:pPr>
      <w:r>
        <w:rPr>
          <w:rFonts w:ascii="Times New Roman" w:hAnsi="Times New Roman"/>
          <w:b w:val="0"/>
          <w:i w:val="0"/>
          <w:sz w:val="24"/>
        </w:rPr>
        <w:t>The results are not a claim that AEGIS is perfect. A perfect score on every table would be suspicious for a prototype. The evaluation shows where the architecture is strong, where the nopCommerce implementation works well, and where real gaps remain.</w:t>
      </w:r>
    </w:p>
    <w:p>
      <w:pPr>
        <w:spacing w:before="320" w:after="160"/>
        <w:jc w:val="left"/>
      </w:pPr>
      <w:r>
        <w:rPr>
          <w:rFonts w:ascii="Times New Roman" w:hAnsi="Times New Roman"/>
          <w:b/>
          <w:sz w:val="28"/>
        </w:rPr>
        <w:t>5.1  Evaluation Overview</w:t>
      </w:r>
    </w:p>
    <w:p>
      <w:pPr>
        <w:spacing w:before="200" w:after="80"/>
        <w:jc w:val="center"/>
        <w:keepNext/>
      </w:pPr>
      <w:r>
        <w:rPr>
          <w:rFonts w:ascii="Times New Roman" w:hAnsi="Times New Roman"/>
          <w:b/>
          <w:sz w:val="22"/>
        </w:rPr>
        <w:t>Table 5.1: Evaluation artifacts.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453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Artifact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500-question natural-language dataset</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Tests broad user-facing e-commerce questions over the implemented semantic layer.</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425 supported requests and 75 realistic boundary requests.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nopCommerce standard admin reports</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Compares AEGIS output with the platform's own shipped report implementations.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20 reports, with source-derived semantics and oracle queries.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Direct LLM-to-SQL baseline</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Runs the same model on the same questions with no semantic layer between it and the SQL.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500 questions, same gateway and database.</w:t>
            </w:r>
          </w:p>
        </w:tc>
      </w:tr>
    </w:tbl>
    <w:p>
      <w:pPr>
        <w:spacing w:after="80"/>
      </w:pPr>
    </w:p>
    <w:p>
      <w:pPr>
        <w:spacing w:after="0" w:before="0" w:line="360" w:lineRule="auto"/>
        <w:jc w:val="both"/>
      </w:pPr>
      <w:r>
        <w:rPr>
          <w:rFonts w:ascii="Times New Roman" w:hAnsi="Times New Roman"/>
          <w:b w:val="0"/>
          <w:i w:val="0"/>
          <w:sz w:val="24"/>
        </w:rPr>
        <w:t>These artifacts are static, not generated at evaluation time, so another reader can inspect the exact questions, oracle definitions, scripts, and result files behind every reported claim. The two evidence tracks differ in who chose them. The 500 questions were written for this study. The 20 reports were not: the list is nopCommerce's own admin menu and the comparison target is nopCommerce's own service-layer code, which removes the risk of an expected-answer set that happens to agree with the system under test because the same person wrote both.</w:t>
      </w:r>
    </w:p>
    <w:p>
      <w:pPr>
        <w:spacing w:before="320" w:after="160"/>
        <w:jc w:val="left"/>
      </w:pPr>
      <w:r>
        <w:rPr>
          <w:rFonts w:ascii="Times New Roman" w:hAnsi="Times New Roman"/>
          <w:b/>
          <w:sz w:val="28"/>
        </w:rPr>
        <w:t>5.2  500-Question Natural-Language Benchmark</w:t>
      </w:r>
    </w:p>
    <w:p>
      <w:pPr>
        <w:spacing w:after="200" w:before="0" w:line="360" w:lineRule="auto"/>
        <w:jc w:val="both"/>
      </w:pPr>
      <w:r>
        <w:rPr>
          <w:rFonts w:ascii="Times New Roman" w:hAnsi="Times New Roman"/>
          <w:b w:val="0"/>
          <w:i w:val="0"/>
          <w:sz w:val="24"/>
        </w:rPr>
        <w:t>The main breadth benchmark contains natural-language questions that a store owner or administrator might ask about orders, revenue, customers, products, refunds, inventory, stores, countries, payment status, shipping, and search terms. The dataset intentionally includes unsupported questions as well, because an approved analytics system must know when not to answer.</w:t>
      </w:r>
    </w:p>
    <w:p>
      <w:pPr>
        <w:spacing w:before="200" w:after="80"/>
        <w:jc w:val="center"/>
        <w:keepNext/>
      </w:pPr>
      <w:r>
        <w:rPr>
          <w:rFonts w:ascii="Times New Roman" w:hAnsi="Times New Roman"/>
          <w:b/>
          <w:sz w:val="22"/>
        </w:rPr>
        <w:t>Table 5.2: 500-question live benchmark results.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800"/>
        <w:gridCol w:w="489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Parser success</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499/500 (99.8%)</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gateway returned a valid Intent Object for all but one prompt.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intent exact match</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313/425 (73.6%)</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Strictest measure; a prompt parsed differently from the annotation often still compiled to a valid answer.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answer rate</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423/425 (99.5%)</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AEGIS answered almost every request inside the semantic layer.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answered supported requests also executed against MySQL.</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Boundary rejection accuracy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72/75 (96.0%)</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Most realistic e-commerce questions outside the semantic layer were declined or clarified.</w:t>
            </w:r>
          </w:p>
        </w:tc>
      </w:tr>
    </w:tbl>
    <w:p>
      <w:pPr>
        <w:spacing w:after="80"/>
      </w:pPr>
    </w:p>
    <w:p>
      <w:pPr>
        <w:spacing w:after="200" w:before="0" w:line="360" w:lineRule="auto"/>
        <w:jc w:val="both"/>
      </w:pPr>
      <w:r>
        <w:rPr>
          <w:rFonts w:ascii="Times New Roman" w:hAnsi="Times New Roman"/>
          <w:b w:val="0"/>
          <w:i w:val="0"/>
          <w:sz w:val="24"/>
        </w:rPr>
        <w:t>An initial pass lost 29 questions to a consecutive block of HTTP 502 responses from the model gateway, which reduced the supported answer rate to 92.9 per cent. Those questions were retried and 28 answered on the second attempt. Both passes are recorded rather than only the better one: reporting only the retry would present a provider outage as though it had not happened, and reporting only the first pass would attribute that outage to the architecture.</w:t>
      </w:r>
    </w:p>
    <w:p>
      <w:pPr>
        <w:spacing w:after="200" w:before="0" w:line="360" w:lineRule="auto"/>
        <w:jc w:val="both"/>
      </w:pPr>
      <w:r>
        <w:rPr>
          <w:rFonts w:ascii="Times New Roman" w:hAnsi="Times New Roman"/>
          <w:b w:val="0"/>
          <w:i w:val="0"/>
          <w:sz w:val="24"/>
        </w:rPr>
        <w:t>Two supported questions were refused, and both refusals are correct. Each asks to break refunds down by payment method without naming a measure, and a segment report cannot be built without one. Choosing a measure on the user's behalf is exactly the silent substitution the resolver (the step that matches request terms to semantic-layer definitions) was built to remove.</w:t>
      </w:r>
    </w:p>
    <w:p>
      <w:pPr>
        <w:spacing w:after="200" w:before="0" w:line="360" w:lineRule="auto"/>
        <w:jc w:val="both"/>
      </w:pPr>
      <w:r>
        <w:rPr>
          <w:rFonts w:ascii="Times New Roman" w:hAnsi="Times New Roman"/>
          <w:b w:val="0"/>
          <w:i w:val="0"/>
          <w:sz w:val="24"/>
        </w:rPr>
        <w:t>Three boundary questions were answered instead of declined. One was a malformed model reply, which is a parse failure rather than a decision the system made. The other two are the same question phrased twice, asking to compare two named shipping carriers. The model reported both carrier names as unmapped, and the resolver answered by shipping method regardless. That is deliberate: a model-reported gap is treated as evidence rather than a verdict, because treating it as a verdict caused a high rate of false refusals. These two questions are what that choice costs, and stating the cost is more useful than tuning it away.</w:t>
      </w:r>
    </w:p>
    <w:p>
      <w:pPr>
        <w:spacing w:after="0" w:before="0" w:line="360" w:lineRule="auto"/>
        <w:jc w:val="both"/>
      </w:pPr>
      <w:r>
        <w:rPr>
          <w:rFonts w:ascii="Times New Roman" w:hAnsi="Times New Roman"/>
          <w:b w:val="0"/>
          <w:i w:val="0"/>
          <w:sz w:val="24"/>
        </w:rPr>
        <w:t>The same corpus is also run with the model removed, by feeding each question's committed intent annotation straight to the resolver. That configuration resolves, compiles and executes 425 of 425 supported questions and labels 75 of 75 boundary questions correctly. It is a regression gate on the resolver and compiler only. Because no model participates, it is not an end-to-end result and is never quoted as one.</w:t>
      </w:r>
    </w:p>
    <w:p>
      <w:pPr>
        <w:spacing w:before="320" w:after="160"/>
        <w:jc w:val="left"/>
      </w:pPr>
      <w:r>
        <w:rPr>
          <w:rFonts w:ascii="Times New Roman" w:hAnsi="Times New Roman"/>
          <w:b/>
          <w:sz w:val="28"/>
        </w:rPr>
        <w:t>5.3  Fidelity Against nopCommerce's Own Report Logic</w:t>
      </w:r>
    </w:p>
    <w:p>
      <w:pPr>
        <w:spacing w:after="200" w:before="0" w:line="360" w:lineRule="auto"/>
        <w:jc w:val="both"/>
      </w:pPr>
      <w:r>
        <w:rPr>
          <w:rFonts w:ascii="Times New Roman" w:hAnsi="Times New Roman"/>
          <w:b w:val="0"/>
          <w:i w:val="0"/>
          <w:sz w:val="24"/>
        </w:rPr>
        <w:t>Each of nopCommerce's twenty standard admin reports is requested in ordinary business phrasing. Two checks are applied. The first asks whether the request reaches an answer and compiles to SQL. The second executes that SQL and the platform's own query against the same seeded database and compares the rows returned. Exact SQL text is not required; the question is whether the answer carries the same business meaning.</w:t>
      </w:r>
    </w:p>
    <w:p>
      <w:pPr>
        <w:spacing w:before="200" w:after="80"/>
        <w:jc w:val="center"/>
        <w:keepNext/>
      </w:pPr>
      <w:r>
        <w:rPr>
          <w:rFonts w:ascii="Times New Roman" w:hAnsi="Times New Roman"/>
          <w:b/>
          <w:sz w:val="22"/>
        </w:rPr>
        <w:t>Table 5.3: nopCommerce standard admin report fidelity.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1656"/>
        <w:gridCol w:w="4752"/>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Check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Reached an answer and compiled</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20/20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Every standard report can be requested in ordinary language.</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Result set matched the platform</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15/20 (75.0%)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The check that tests the claim: same database, same rows, same values.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Reports differing in value</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0/20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The five mismatches differ in row count or label column, never in a number.</w:t>
            </w:r>
          </w:p>
        </w:tc>
      </w:tr>
    </w:tbl>
    <w:p>
      <w:pPr>
        <w:spacing w:after="80"/>
      </w:pPr>
    </w:p>
    <w:p>
      <w:pPr>
        <w:spacing w:after="200" w:before="0" w:line="360" w:lineRule="auto"/>
        <w:jc w:val="both"/>
      </w:pPr>
      <w:r>
        <w:rPr>
          <w:rFonts w:ascii="Times New Roman" w:hAnsi="Times New Roman"/>
          <w:b w:val="0"/>
          <w:i w:val="0"/>
          <w:sz w:val="24"/>
        </w:rPr>
        <w:t>Only the second check tests the claim. The first is satisfied by any query that compiles, and several of these twenty once passed it while being silently wrong: an order total counted once per line item, which inflated revenue; a missing filter for rows marked deleted but kept (a soft-delete filter); and a customer breakdown grouped by display name, which merges different people who share a name. Each returned a plausible, chartable number, so nothing downstream could tell it from a correct answer. That is the reason this thesis treats a compile-only check as a proxy rather than a result.</w:t>
      </w:r>
    </w:p>
    <w:p>
      <w:pPr>
        <w:spacing w:after="0" w:before="0" w:line="360" w:lineRule="auto"/>
        <w:jc w:val="both"/>
      </w:pPr>
      <w:r>
        <w:rPr>
          <w:rFonts w:ascii="Times New Roman" w:hAnsi="Times New Roman"/>
          <w:b w:val="0"/>
          <w:i w:val="0"/>
          <w:sz w:val="24"/>
        </w:rPr>
        <w:t>The five reports that did not match agree with the platform on every value in every overlapping row. Four differ in result-set size, because nopCommerce's own reports carry their own limits of five, fifteen or one hundred rows. Two differ in the label column, returning a customer name where the platform labels by email address; one of the five (best customers by order count) differs in both. Matching them exactly would require per-report presets, which is the report-specific special-casing the semantic layer exists to avoid.</w:t>
      </w:r>
    </w:p>
    <w:p>
      <w:pPr>
        <w:spacing w:before="320" w:after="160"/>
        <w:jc w:val="left"/>
      </w:pPr>
      <w:r>
        <w:rPr>
          <w:rFonts w:ascii="Times New Roman" w:hAnsi="Times New Roman"/>
          <w:b/>
          <w:sz w:val="28"/>
        </w:rPr>
        <w:t>5.4  Latency</w:t>
      </w:r>
    </w:p>
    <w:p>
      <w:pPr>
        <w:spacing w:after="200" w:before="0" w:line="360" w:lineRule="auto"/>
        <w:jc w:val="both"/>
      </w:pPr>
      <w:r>
        <w:rPr>
          <w:rFonts w:ascii="Times New Roman" w:hAnsi="Times New Roman"/>
          <w:b w:val="0"/>
          <w:i w:val="0"/>
          <w:sz w:val="24"/>
        </w:rPr>
        <w:t>Per-stage timings were recorded for every supported question in the live benchmark. The split between the model stage and the deterministic stages matters more than the totals, because it is the same boundary the safety argument rests on.</w:t>
      </w:r>
    </w:p>
    <w:p>
      <w:pPr>
        <w:spacing w:before="200" w:after="80"/>
        <w:jc w:val="center"/>
        <w:keepNext/>
      </w:pPr>
      <w:r>
        <w:rPr>
          <w:rFonts w:ascii="Times New Roman" w:hAnsi="Times New Roman"/>
          <w:b/>
          <w:sz w:val="22"/>
        </w:rPr>
        <w:t>Table 5.4: Per-stage latency over 425 supported questions.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456"/>
        <w:gridCol w:w="201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Median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95th percentile</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Intent extraction (model)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9,029.89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19,460.15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Semantic resolution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0.89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1.25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SQL compilation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0.13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0.21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Database execution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2.54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12.87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All stages after the model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3.62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14.02 ms</w:t>
            </w:r>
          </w:p>
        </w:tc>
      </w:tr>
    </w:tbl>
    <w:p>
      <w:pPr>
        <w:spacing w:after="80"/>
      </w:pPr>
    </w:p>
    <w:p>
      <w:pPr>
        <w:spacing w:after="0" w:before="0" w:line="360" w:lineRule="auto"/>
        <w:jc w:val="both"/>
      </w:pPr>
      <w:r>
        <w:rPr>
          <w:rFonts w:ascii="Times New Roman" w:hAnsi="Times New Roman"/>
          <w:b w:val="0"/>
          <w:i w:val="0"/>
          <w:sz w:val="24"/>
        </w:rPr>
        <w:t>Substantially all of the wall clock is the model reading the question. The stages that resolve business concepts, choose the join path, emit SQL and execute it take a few milliseconds together, and the model has no influence over any of them. The model figure is a property of the gateway used here and would change with the provider; the deterministic figures are properties of the architecture and would follow it to another deployment. The direct baseline's generation stage has a comparable median of 9,154.02 ms, so the constrained pipeline pays no latency premium for its safety.</w:t>
      </w:r>
    </w:p>
    <w:p>
      <w:pPr>
        <w:spacing w:before="320" w:after="160"/>
        <w:jc w:val="left"/>
      </w:pPr>
      <w:r>
        <w:rPr>
          <w:rFonts w:ascii="Times New Roman" w:hAnsi="Times New Roman"/>
          <w:b/>
          <w:sz w:val="28"/>
        </w:rPr>
        <w:t>5.5  Safety Evaluation</w:t>
      </w:r>
    </w:p>
    <w:p>
      <w:pPr>
        <w:spacing w:after="200" w:before="0" w:line="360" w:lineRule="auto"/>
        <w:jc w:val="both"/>
      </w:pPr>
      <w:r>
        <w:rPr>
          <w:rFonts w:ascii="Times New Roman" w:hAnsi="Times New Roman"/>
          <w:b w:val="0"/>
          <w:i w:val="0"/>
          <w:sz w:val="24"/>
        </w:rPr>
        <w:t>The central architectural safety property is that the language model does not write SQL. It returns an Intent Object. Deterministic templates then produce SQL from approved semantic-layer definitions and check the query before execution. User prompt text is not inserted into executable SQL. The claim is therefore structural rather than statistical: no rate of successful defence is asserted, because there is no path from a prompt to a query the templates do not generate.</w:t>
      </w:r>
    </w:p>
    <w:p>
      <w:pPr>
        <w:spacing w:before="200" w:after="80"/>
        <w:jc w:val="center"/>
        <w:keepNext/>
      </w:pPr>
      <w:r>
        <w:rPr>
          <w:rFonts w:ascii="Times New Roman" w:hAnsi="Times New Roman"/>
          <w:b/>
          <w:sz w:val="22"/>
        </w:rPr>
        <w:t>Table 5.5: Safety interpretation.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3672"/>
        <w:gridCol w:w="2880"/>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Risk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 control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Remaining boundary</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asks for a write operation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Intent schema and compiler templates do not include write primitives.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system must still explain refusal clearly to the user.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uses unsupported business terms</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The Intent Object must bind to approved semantic-layer definitions.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Intent extraction can still misread vague language; debug traces and clarification reduce this risk.</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misunderstands the request</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Compiled SQL remains structurally safe.</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answer may still be semantically wrong if intent extraction is wrong.</w:t>
            </w:r>
          </w:p>
        </w:tc>
      </w:tr>
    </w:tbl>
    <w:p>
      <w:pPr>
        <w:spacing w:after="80"/>
      </w:pPr>
    </w:p>
    <w:p>
      <w:pPr>
        <w:spacing w:after="0" w:before="0" w:line="360" w:lineRule="auto"/>
        <w:jc w:val="both"/>
      </w:pPr>
      <w:r>
        <w:rPr>
          <w:rFonts w:ascii="Times New Roman" w:hAnsi="Times New Roman"/>
          <w:b w:val="0"/>
          <w:i w:val="0"/>
          <w:sz w:val="24"/>
        </w:rPr>
        <w:t>The baseline arm gives this structural claim an empirical counterpart. Both arms were scanned with the same forbidden-pattern set, imported from the compiler rather than restated, so neither is judged by a more lenient rule. The unconstrained arm produced two queries containing a forbidden construct, both attempts to classify review text by keyword matching joined with UNION. The constrained arm produced none.</w:t>
      </w:r>
    </w:p>
    <w:p>
      <w:pPr>
        <w:spacing w:before="320" w:after="160"/>
        <w:jc w:val="left"/>
      </w:pPr>
      <w:r>
        <w:rPr>
          <w:rFonts w:ascii="Times New Roman" w:hAnsi="Times New Roman"/>
          <w:b/>
          <w:sz w:val="28"/>
        </w:rPr>
        <w:t>5.6  Comparison With Direct LLM-to-SQL</w:t>
      </w:r>
    </w:p>
    <w:p>
      <w:pPr>
        <w:spacing w:after="200" w:before="0" w:line="360" w:lineRule="auto"/>
        <w:jc w:val="both"/>
      </w:pPr>
      <w:r>
        <w:rPr>
          <w:rFonts w:ascii="Times New Roman" w:hAnsi="Times New Roman"/>
          <w:b w:val="0"/>
          <w:i w:val="0"/>
          <w:sz w:val="24"/>
        </w:rPr>
        <w:t>A direct LLM-to-SQL baseline can appear attractive because it can always try to write a SELECT statement. However, allowing the model to author SQL moves business definitions, join choices, security behavior, and dialect correctness into a probabilistic component. To measure that rather than assert it, the same model was run through the same gateway on the same 500 questions against the same database, with no semantic layer in between. The arms differ only in whether the model authors the query.</w:t>
      </w:r>
    </w:p>
    <w:p>
      <w:pPr>
        <w:spacing w:before="200" w:after="80"/>
        <w:jc w:val="center"/>
        <w:keepNext/>
      </w:pPr>
      <w:r>
        <w:rPr>
          <w:rFonts w:ascii="Times New Roman" w:hAnsi="Times New Roman"/>
          <w:b/>
          <w:sz w:val="22"/>
        </w:rPr>
        <w:t>Table 5.6: Measured comparison over the same 500 questions.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456"/>
        <w:gridCol w:w="201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Measure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365/425 (85.9%)</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Out-of-scope questions answered</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3/75 (4.0%)</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25/75 (33.3%)</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Queries with a forbidden construct</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2/500</w:t>
            </w:r>
          </w:p>
        </w:tc>
      </w:tr>
    </w:tbl>
    <w:p>
      <w:pPr>
        <w:spacing w:after="80"/>
      </w:pPr>
    </w:p>
    <w:p>
      <w:pPr>
        <w:spacing w:after="200" w:before="0" w:line="360" w:lineRule="auto"/>
        <w:jc w:val="both"/>
      </w:pPr>
      <w:r>
        <w:rPr>
          <w:rFonts w:ascii="Times New Roman" w:hAnsi="Times New Roman"/>
          <w:b w:val="0"/>
          <w:i w:val="0"/>
          <w:sz w:val="24"/>
        </w:rPr>
        <w:t>The middle row carries the finding. A third of the questions the semantic layer cannot express were answered by the unconstrained model with confident, executable SQL. Asked to forecast next month's sales, it returned a query summing past months, which runs, returns a number, and forecasts nothing. Asked which customers are likely to churn, it returned a query counting each customer's past orders. Asked what customers say about delivery speed, it returned raw review rows. Each answer is plausible, chartable, and addresses a different question than the one asked. AEGIS cannot produce these because none of the requests binds to anything in the semantic layer.</w:t>
      </w:r>
    </w:p>
    <w:p>
      <w:pPr>
        <w:spacing w:before="200" w:after="80"/>
        <w:jc w:val="center"/>
        <w:keepNext/>
      </w:pPr>
      <w:r>
        <w:rPr>
          <w:rFonts w:ascii="Times New Roman" w:hAnsi="Times New Roman"/>
          <w:b/>
          <w:sz w:val="22"/>
        </w:rPr>
        <w:t>Table 5.7: Structural comparison.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44"/>
        <w:gridCol w:w="3240"/>
        <w:gridCol w:w="374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Model writes SQL text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Compiler expands approved templates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Business definitions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prompt/schema names</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Declared in semantic layer</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Unsupported requests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Often answered by nearest plausible SQL</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Rejected or clarified when outside coverage</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Dashboard output</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Usually one-off query result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Saved, refreshable widget artifact</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Safety basis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Prompt instruction and filtering</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No model-authored SQL execution path</w:t>
            </w:r>
          </w:p>
        </w:tc>
      </w:tr>
    </w:tbl>
    <w:p>
      <w:pPr>
        <w:spacing w:after="80"/>
      </w:pPr>
    </w:p>
    <w:p>
      <w:pPr>
        <w:spacing w:before="320" w:after="160"/>
        <w:jc w:val="left"/>
      </w:pPr>
      <w:r>
        <w:rPr>
          <w:rFonts w:ascii="Times New Roman" w:hAnsi="Times New Roman"/>
          <w:b/>
          <w:sz w:val="28"/>
        </w:rPr>
        <w:t>5.7  Interpretation</w:t>
      </w:r>
    </w:p>
    <w:p>
      <w:pPr>
        <w:spacing w:after="200" w:before="0" w:line="360" w:lineRule="auto"/>
        <w:jc w:val="both"/>
      </w:pPr>
      <w:r>
        <w:rPr>
          <w:rFonts w:ascii="Times New Roman" w:hAnsi="Times New Roman"/>
          <w:b w:val="0"/>
          <w:i w:val="0"/>
          <w:sz w:val="24"/>
        </w:rPr>
        <w:t>The evaluation supports three conclusions. First, a semantic-layer architecture can cover a broad set of natural e-commerce analytics questions without exposing users to raw SQL. Second, refusal is part of correctness: the same model without the semantic layer answered a third of the unanswerable questions anyway, and a system that answers an unsupported question with a plausible but wrong query is less trustworthy than one that declines. Third, the differences that remain against nopCommerce's own reports are presentational rather than numerical, which locates the gap in row limits and label choices rather than in the compiled semantics.</w:t>
      </w:r>
    </w:p>
    <w:p>
      <w:pPr>
        <w:spacing w:after="200" w:before="0" w:line="360" w:lineRule="auto"/>
        <w:jc w:val="both"/>
      </w:pPr>
      <w:r>
        <w:rPr>
          <w:rFonts w:ascii="Times New Roman" w:hAnsi="Times New Roman"/>
          <w:b w:val="0"/>
          <w:i w:val="0"/>
          <w:sz w:val="24"/>
        </w:rPr>
        <w:t>Two limitations are worth stating alongside those conclusions. Value-level verification covers the twenty reports, not all 425 supported questions; for the latter the evidence is that the compiled SQL resolves and executes, not that every answer is the intended one. And the gateway used for intent extraction resolved a routing alias (a name the gateway maps to whichever model is free) per request, so the reported run spans two models. Each result row records the model that served it, but a single-model run is needed before parser-dependent figures can be attributed to one system.</w:t>
      </w:r>
    </w:p>
    <w:p>
      <w:pPr>
        <w:spacing w:after="0" w:before="0" w:line="360" w:lineRule="auto"/>
        <w:jc w:val="both"/>
      </w:pPr>
      <w:r>
        <w:rPr>
          <w:rFonts w:ascii="Times New Roman" w:hAnsi="Times New Roman"/>
          <w:b w:val="0"/>
          <w:i w:val="0"/>
          <w:sz w:val="24"/>
        </w:rPr>
        <w:t xml:space="preserve">This interpretation is consistent with mixed-initiative NLIDB work such as </w:t>
      </w:r>
      <w:r>
        <w:rPr>
          <w:rFonts w:ascii="Times New Roman" w:hAnsi="Times New Roman"/>
          <w:b w:val="0"/>
          <w:i w:val="0"/>
          <w:sz w:val="24"/>
        </w:rPr>
        <w:t>[5]</w:t>
      </w:r>
      <w:r>
        <w:rPr>
          <w:rFonts w:ascii="Times New Roman" w:hAnsi="Times New Roman"/>
          <w:b w:val="0"/>
          <w:i w:val="0"/>
          <w:sz w:val="24"/>
        </w:rPr>
        <w:t>, which showed that users do not reliably detect wrong system answers without help. In a reporting context, a visible refusal or clarification is therefore often safer than a confident wrong chart.</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200" w:before="0" w:line="360" w:lineRule="auto"/>
        <w:jc w:val="both"/>
      </w:pPr>
      <w:r>
        <w:rPr>
          <w:rFonts w:ascii="Times New Roman" w:hAnsi="Times New Roman"/>
          <w:b w:val="0"/>
          <w:i w:val="0"/>
          <w:sz w:val="24"/>
        </w:rPr>
        <w:t>AEGIS is intentionally bounded. Its safety and auditability come from the fact that all answerable concepts must be declared in the semantic layer and all executable SQL must be produced by deterministic compiler templates. The limitations below should therefore be read as explicit boundaries of the current nopCommerce prototype, not as reasons to bypass the architecture with free-form SQL generation.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Single-domain evaluation: </w:t>
      </w:r>
      <w:r>
        <w:rPr>
          <w:rFonts w:ascii="Times New Roman" w:hAnsi="Times New Roman"/>
          <w:sz w:val="24"/>
        </w:rPr>
        <w:t>The final evaluation is over one e-commerce deployment, nopCommerce. The results show that the architecture works in this domain, but they do not prove cross-domain generality.</w:t>
      </w:r>
    </w:p>
    <w:p>
      <w:pPr>
        <w:spacing w:after="80" w:line="360" w:lineRule="auto"/>
        <w:ind w:left="461" w:hanging="259"/>
      </w:pPr>
      <w:r>
        <w:rPr>
          <w:rFonts w:ascii="Times New Roman" w:hAnsi="Times New Roman"/>
          <w:sz w:val="24"/>
        </w:rPr>
        <w:t>•</w:t>
        <w:tab/>
      </w:r>
      <w:r>
        <w:rPr>
          <w:rFonts w:ascii="Times New Roman" w:hAnsi="Times New Roman"/>
          <w:b/>
          <w:sz w:val="24"/>
        </w:rPr>
        <w:t xml:space="preserve">Author-generated natural-language data: </w:t>
      </w:r>
      <w:r>
        <w:rPr>
          <w:rFonts w:ascii="Times New Roman" w:hAnsi="Times New Roman"/>
          <w:sz w:val="24"/>
        </w:rPr>
        <w:t>The 500-question dataset is static and checkable, but it is still author-generated. A stronger study would collect questions from store owners or administrators and annotate them with at least two reviewers.</w:t>
      </w:r>
    </w:p>
    <w:p>
      <w:pPr>
        <w:spacing w:after="80" w:line="360" w:lineRule="auto"/>
        <w:ind w:left="461" w:hanging="259"/>
      </w:pPr>
      <w:r>
        <w:rPr>
          <w:rFonts w:ascii="Times New Roman" w:hAnsi="Times New Roman"/>
          <w:sz w:val="24"/>
        </w:rPr>
        <w:t>•</w:t>
        <w:tab/>
      </w:r>
      <w:r>
        <w:rPr>
          <w:rFonts w:ascii="Times New Roman" w:hAnsi="Times New Roman"/>
          <w:b/>
          <w:sz w:val="24"/>
        </w:rPr>
        <w:t xml:space="preserve">Finite semantic coverage: </w:t>
      </w:r>
      <w:r>
        <w:rPr>
          <w:rFonts w:ascii="Times New Roman" w:hAnsi="Times New Roman"/>
          <w:sz w:val="24"/>
        </w:rPr>
        <w:t>Boundary questions about web telemetry, marketing attribution, support tickets, review-text sentiment, forecasting, churn prediction, supplier performance, fraud scoring, delivery SLA analysis, and product affinity are deliberately outside the current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Remaining Admin fidelity gap: </w:t>
      </w:r>
      <w:r>
        <w:rPr>
          <w:rFonts w:ascii="Times New Roman" w:hAnsi="Times New Roman"/>
          <w:sz w:val="24"/>
        </w:rPr>
        <w:t>Fifteen of the twenty nopCommerce admin reports reproduce the platform's own result set exactly. The five that do not agree with the platform on every value in every overlapping row and differ only in how many rows are returned and which column labels them. Closing that gap means per-report row limits and label presets, which is the report-specific special-casing the semantic-layer design exists to avoid.</w:t>
      </w:r>
    </w:p>
    <w:p>
      <w:pPr>
        <w:spacing w:after="80" w:line="360" w:lineRule="auto"/>
        <w:ind w:left="461" w:hanging="259"/>
      </w:pPr>
      <w:r>
        <w:rPr>
          <w:rFonts w:ascii="Times New Roman" w:hAnsi="Times New Roman"/>
          <w:sz w:val="24"/>
        </w:rPr>
        <w:t>•</w:t>
        <w:tab/>
      </w:r>
      <w:r>
        <w:rPr>
          <w:rFonts w:ascii="Times New Roman" w:hAnsi="Times New Roman"/>
          <w:b/>
          <w:sz w:val="24"/>
        </w:rPr>
        <w:t xml:space="preserve">Catalogue scale in the seeded database: </w:t>
      </w:r>
      <w:r>
        <w:rPr>
          <w:rFonts w:ascii="Times New Roman" w:hAnsi="Times New Roman"/>
          <w:sz w:val="24"/>
        </w:rPr>
        <w:t>The seeded catalogue is small relative to the order volume: 17 products across 8 categories, against 2,500 orders and 6,320 order lines. Order-side reports are therefore exercised on realistic volume, but the product and category reports are not: a bestsellers ranking over 17 products and a revenue breakdown over 8 categories are short lists, so four of the twenty differentials agree with the platform on a narrow result set. The compiled SQL is the same either way, but a wider catalogue would test it harder.</w:t>
      </w:r>
    </w:p>
    <w:p>
      <w:pPr>
        <w:spacing w:after="80" w:line="360" w:lineRule="auto"/>
        <w:ind w:left="461" w:hanging="259"/>
      </w:pPr>
      <w:r>
        <w:rPr>
          <w:rFonts w:ascii="Times New Roman" w:hAnsi="Times New Roman"/>
          <w:sz w:val="24"/>
        </w:rPr>
        <w:t>•</w:t>
        <w:tab/>
      </w:r>
      <w:r>
        <w:rPr>
          <w:rFonts w:ascii="Times New Roman" w:hAnsi="Times New Roman"/>
          <w:b/>
          <w:sz w:val="24"/>
        </w:rPr>
        <w:t xml:space="preserve">Correctness evidence is narrower than coverage: </w:t>
      </w:r>
      <w:r>
        <w:rPr>
          <w:rFonts w:ascii="Times New Roman" w:hAnsi="Times New Roman"/>
          <w:sz w:val="24"/>
        </w:rPr>
        <w:t>Value-level correctness at scale rests on the twenty admin reports rather than on all 425 supported questions. For those 425 the evidence is that the compiled SQL resolves and executes, not that every returned value is the intended one. Extending value-level verification to a stratified sample of the corpus is the most useful next measurement.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Response time is dominated by the provider: </w:t>
      </w:r>
      <w:r>
        <w:rPr>
          <w:rFonts w:ascii="Times New Roman" w:hAnsi="Times New Roman"/>
          <w:sz w:val="24"/>
        </w:rPr>
        <w:t>Substantially all end-to-end latency is the model reading the question; every deterministic stage after it completes in a few milliseconds. The model figure is a property of the gateway used here, so end-to-end response time would change with the provider even though the architecture's own cost would not.</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dependence for intent extraction: </w:t>
      </w:r>
      <w:r>
        <w:rPr>
          <w:rFonts w:ascii="Times New Roman" w:hAnsi="Times New Roman"/>
          <w:sz w:val="24"/>
        </w:rPr>
        <w:t>The compiler and safety layer are deterministic, but natural-language intent extraction still depends on the configured LLM API. Future work should compare multiple OpenAI-compatible models on the same static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database target: </w:t>
      </w:r>
      <w:r>
        <w:rPr>
          <w:rFonts w:ascii="Times New Roman" w:hAnsi="Times New Roman"/>
          <w:sz w:val="24"/>
        </w:rPr>
        <w:t>The evaluated prototype targets nopCommerce on MySQL. This is an implementation and evaluation-scope choice, not an architectural limitation; other databases require dialect-specific compiler templates and safety rules.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persistence: </w:t>
      </w:r>
      <w:r>
        <w:rPr>
          <w:rFonts w:ascii="Times New Roman" w:hAnsi="Times New Roman"/>
          <w:sz w:val="24"/>
        </w:rPr>
        <w:t>The prototype stores widget metadata in simple local persistence. A production deployment should move the widget registry to a transactional database with migrations, ownership policies, and administrative audit views.</w:t>
      </w:r>
    </w:p>
    <w:p>
      <w:pPr>
        <w:spacing w:after="80" w:line="360" w:lineRule="auto"/>
        <w:ind w:left="461" w:hanging="259"/>
      </w:pPr>
      <w:r>
        <w:rPr>
          <w:rFonts w:ascii="Times New Roman" w:hAnsi="Times New Roman"/>
          <w:sz w:val="24"/>
        </w:rPr>
        <w:t>•</w:t>
        <w:tab/>
      </w:r>
      <w:r>
        <w:rPr>
          <w:rFonts w:ascii="Times New Roman" w:hAnsi="Times New Roman"/>
          <w:b/>
          <w:sz w:val="24"/>
        </w:rPr>
        <w:t xml:space="preserve">Permission rewriting is not evaluated: </w:t>
      </w:r>
      <w:r>
        <w:rPr>
          <w:rFonts w:ascii="Times New Roman" w:hAnsi="Times New Roman"/>
          <w:sz w:val="24"/>
        </w:rPr>
        <w:t>Stage 4 is demonstrated, not enforced, and none of the results in Chapter 5 exercise it. The shipped role predicates reference illustrative columns rather than columns of the evaluation schema, role values are interpolated into the predicate text instead of being bound as parameters, and the demonstration server calls the rewriter with a single unrestricted role. A deployment serving more than one role would need the predicates rewritten against its own schema, parameter binding for role values, a hard failure when a scope cannot be applied to the compiled join path, and database-level row security underneath the application layer.</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Value-level verification at scale: </w:t>
      </w:r>
      <w:r>
        <w:rPr>
          <w:rFonts w:ascii="Times New Roman" w:hAnsi="Times New Roman"/>
          <w:sz w:val="24"/>
        </w:rPr>
        <w:t>Verify returned values, not just execution, on a stratified sample of the 500-question corpus, so that value-level correctness rests on more than the twenty admin reports.</w:t>
      </w:r>
    </w:p>
    <w:p>
      <w:pPr>
        <w:spacing w:after="80" w:line="360" w:lineRule="auto"/>
        <w:ind w:left="461" w:hanging="259"/>
      </w:pPr>
      <w:r>
        <w:rPr>
          <w:rFonts w:ascii="Times New Roman" w:hAnsi="Times New Roman"/>
          <w:sz w:val="24"/>
        </w:rPr>
        <w:t>•</w:t>
        <w:tab/>
      </w:r>
      <w:r>
        <w:rPr>
          <w:rFonts w:ascii="Times New Roman" w:hAnsi="Times New Roman"/>
          <w:b/>
          <w:sz w:val="24"/>
        </w:rPr>
        <w:t xml:space="preserve">General limit and label handling: </w:t>
      </w:r>
      <w:r>
        <w:rPr>
          <w:rFonts w:ascii="Times New Roman" w:hAnsi="Times New Roman"/>
          <w:sz w:val="24"/>
        </w:rPr>
        <w:t>Express row limits and label columns as general, requester-visible options rather than per-report presets, so that a request can match a platform report's presentation without the compiler learning that report's name.</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Repeat the static-dataset process on a second schema such as WooCommerce or a non-commerce operational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Build a guided interface so analysts can define metrics, dimensions, predicates, join paths, and display labels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Human dataset study: </w:t>
      </w:r>
      <w:r>
        <w:rPr>
          <w:rFonts w:ascii="Times New Roman" w:hAnsi="Times New Roman"/>
          <w:sz w:val="24"/>
        </w:rPr>
        <w:t>Collect real user questions and perform independent answerability and oracle annotation, including inter-annotator agreement.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Model comparison: </w:t>
      </w:r>
      <w:r>
        <w:rPr>
          <w:rFonts w:ascii="Times New Roman" w:hAnsi="Times New Roman"/>
          <w:sz w:val="24"/>
        </w:rPr>
        <w:t>Compare parser accuracy, refusal behavior, and execution validity across several OpenAI-compatible LLM APIs while keeping the compiler and semantic layer fixed.</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final evaluation used static nopCommerce datasets rather than an ad hoc one-time question set. On the 500-question live benchmark, AEGIS parsed 499 of 500 prompts, answered 423 and executed 422 of 425 supported requests, and rejected or clarified 72 of 75 realistic boundary requests. Against nopCommerce's twenty standard admin reports, every request reached an answer and compiled to SQL, and fifteen reproduced the platform's own result set exactly; the other five agreed on every value and differed only in row count and label column. The same model without the semantic layer, writing SQL directly against the same database, executed 365 of 425 supported questions and answered 25 of the 75 questions it should have declined.</w:t>
      </w:r>
    </w:p>
    <w:p>
      <w:pPr>
        <w:spacing w:after="240" w:before="0" w:line="360" w:lineRule="auto"/>
        <w:jc w:val="both"/>
      </w:pPr>
      <w:r>
        <w:rPr>
          <w:rFonts w:ascii="Times New Roman" w:hAnsi="Times New Roman"/>
          <w:b w:val="0"/>
          <w:i w:val="0"/>
          <w:sz w:val="24"/>
        </w:rPr>
        <w:t>These results should be read with the right scope. AEGIS is not an infinite natural-language-to-SQL engine, and the thesis does not claim perfect accuracy. Its contribution is a bounded reporting architecture: if the semantic layer defines a business concept, the system can map natural language to a safe, refreshable analytical widget; if the concept is outside the layer, the correct behavior is to reject or clarify rather than invent an answer.</w:t>
      </w:r>
    </w:p>
    <w:p>
      <w:pPr>
        <w:spacing w:after="0" w:before="0" w:line="360" w:lineRule="auto"/>
        <w:jc w:val="both"/>
      </w:pPr>
      <w:r>
        <w:rPr>
          <w:rFonts w:ascii="Times New Roman" w:hAnsi="Times New Roman"/>
          <w:b w:val="0"/>
          <w:i w:val="0"/>
          <w:sz w:val="24"/>
        </w:rPr>
        <w:t>The baseline comparison is what gives that claim its force. A third of the questions the semantic layer cannot express were answered by the unconstrained model with confident, executable SQL: asked to forecast next month's sales it summed past months, and asked which customers are likely to churn it counted past orders. Each answer runs, charts, and addresses a different question than the one asked. That is the failure mode this architecture makes structurally unreachable rather than statistically rare, and within this scope AEGIS demonstrates a practical path toward safer, more auditable natural-language analytics in institutional dashboard systems.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improve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