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4000(B)</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20" w:before="0" w:line="264" w:lineRule="auto"/>
        <w:jc w:val="center"/>
      </w:pPr>
      <w:r>
        <w:rPr>
          <w:rFonts w:ascii="Times New Roman" w:hAnsi="Times New Roman"/>
          <w:b w:val="0"/>
          <w:i w:val="0"/>
          <w:sz w:val="24"/>
        </w:rPr>
        <w:t>Semester: 8th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The final evaluation uses two static nopCommerce corpora: a 500-question natural-language benchmark, and nopCommerce's own twenty standard admin reports checked against the platform's own report implementations. On the 500-question live benchmark, AEGIS parsed 499 of 500 prompts, answered 423 and executed 422 of 425 supported requests, and rejected or clarified 72 of 75 realistic boundary requests. Against the twenty admin reports, every request compiled to SQL and fifteen reproduced the platform's own result set exactly, the remaining five agreeing on every value and differing only in row count and label column. The same model without the semantic layer, writing SQL directly, executed 365 of 425 supported questions but also answered 25 of the 75 questions it should have declined. Per-stage timing shows that substantially all latency is the model reading the question, while every deterministic stage after it completes in a few milliseconds. These results support the thesis's central claim that AEGIS is a bounded architecture for safe natural-language analytics over an approved semantic layer, not an unlimited text-to-SQL engine.</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2</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8</w:t>
      </w:r>
    </w:p>
    <w:p>
      <w:pPr>
        <w:spacing w:after="80" w:before="0" w:line="360" w:lineRule="auto"/>
        <w:ind w:left="432"/>
        <w:jc w:val="both"/>
        <w:tabs>
          <w:tab w:val="right" w:leader="dot" w:pos="8640"/>
        </w:tabs>
      </w:pPr>
      <w:r>
        <w:rPr>
          <w:rFonts w:ascii="Times New Roman" w:hAnsi="Times New Roman"/>
          <w:b w:val="0"/>
          <w:sz w:val="23"/>
        </w:rPr>
        <w:t>3.3 Design Principles</w:t>
        <w:tab/>
        <w:t>9</w:t>
      </w:r>
    </w:p>
    <w:p>
      <w:pPr>
        <w:spacing w:after="80" w:before="0" w:line="360" w:lineRule="auto"/>
        <w:ind w:left="432"/>
        <w:jc w:val="both"/>
        <w:tabs>
          <w:tab w:val="right" w:leader="dot" w:pos="8640"/>
        </w:tabs>
      </w:pPr>
      <w:r>
        <w:rPr>
          <w:rFonts w:ascii="Times New Roman" w:hAnsi="Times New Roman"/>
          <w:b w:val="0"/>
          <w:sz w:val="23"/>
        </w:rPr>
        <w:t>3.4 Formal Model</w:t>
        <w:tab/>
        <w:t>10</w:t>
      </w:r>
    </w:p>
    <w:p>
      <w:pPr>
        <w:spacing w:after="80" w:before="0" w:line="360" w:lineRule="auto"/>
        <w:ind w:left="432"/>
        <w:jc w:val="both"/>
        <w:tabs>
          <w:tab w:val="right" w:leader="dot" w:pos="8640"/>
        </w:tabs>
      </w:pPr>
      <w:r>
        <w:rPr>
          <w:rFonts w:ascii="Times New Roman" w:hAnsi="Times New Roman"/>
          <w:b w:val="0"/>
          <w:sz w:val="23"/>
        </w:rPr>
        <w:t>3.5 Threat Model</w:t>
        <w:tab/>
        <w:t>10</w:t>
      </w:r>
    </w:p>
    <w:p>
      <w:pPr>
        <w:spacing w:after="80" w:before="0" w:line="360" w:lineRule="auto"/>
        <w:ind w:left="432"/>
        <w:jc w:val="both"/>
        <w:tabs>
          <w:tab w:val="right" w:leader="dot" w:pos="8640"/>
        </w:tabs>
      </w:pPr>
      <w:r>
        <w:rPr>
          <w:rFonts w:ascii="Times New Roman" w:hAnsi="Times New Roman"/>
          <w:b w:val="0"/>
          <w:sz w:val="23"/>
        </w:rPr>
        <w:t>3.6 System Architecture</w:t>
        <w:tab/>
        <w:t>12</w:t>
      </w:r>
    </w:p>
    <w:p>
      <w:pPr>
        <w:spacing w:after="80" w:before="0" w:line="360" w:lineRule="auto"/>
        <w:ind w:left="432"/>
        <w:jc w:val="both"/>
        <w:tabs>
          <w:tab w:val="right" w:leader="dot" w:pos="8640"/>
        </w:tabs>
      </w:pPr>
      <w:r>
        <w:rPr>
          <w:rFonts w:ascii="Times New Roman" w:hAnsi="Times New Roman"/>
          <w:b w:val="0"/>
          <w:sz w:val="23"/>
        </w:rPr>
        <w:t>3.7 Semantic Layer Design</w:t>
        <w:tab/>
        <w:t>13</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17</w:t>
      </w:r>
    </w:p>
    <w:p>
      <w:pPr>
        <w:spacing w:after="80" w:before="0" w:line="360" w:lineRule="auto"/>
        <w:ind w:left="432"/>
        <w:jc w:val="both"/>
        <w:tabs>
          <w:tab w:val="right" w:leader="dot" w:pos="8640"/>
        </w:tabs>
      </w:pPr>
      <w:r>
        <w:rPr>
          <w:rFonts w:ascii="Times New Roman" w:hAnsi="Times New Roman"/>
          <w:b w:val="0"/>
          <w:sz w:val="23"/>
        </w:rPr>
        <w:t>3.10 Visualization Selector</w:t>
        <w:tab/>
        <w:t>20</w:t>
      </w:r>
    </w:p>
    <w:p>
      <w:pPr>
        <w:spacing w:after="80" w:before="0" w:line="360" w:lineRule="auto"/>
        <w:ind w:left="432"/>
        <w:jc w:val="both"/>
        <w:tabs>
          <w:tab w:val="right" w:leader="dot" w:pos="8640"/>
        </w:tabs>
      </w:pPr>
      <w:r>
        <w:rPr>
          <w:rFonts w:ascii="Times New Roman" w:hAnsi="Times New Roman"/>
          <w:b w:val="0"/>
          <w:sz w:val="23"/>
        </w:rPr>
        <w:t>3.11 Widget Persistence and Reuse</w:t>
        <w:tab/>
        <w:t>20</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and Oracle Comparisons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26</w:t>
      </w:r>
    </w:p>
    <w:p>
      <w:pPr>
        <w:spacing w:after="160" w:before="80" w:line="360" w:lineRule="auto"/>
        <w:ind w:left="0"/>
        <w:jc w:val="both"/>
        <w:tabs>
          <w:tab w:val="right" w:leader="dot" w:pos="8640"/>
        </w:tabs>
      </w:pPr>
      <w:r>
        <w:rPr>
          <w:rFonts w:ascii="Times New Roman" w:hAnsi="Times New Roman"/>
          <w:b/>
          <w:sz w:val="24"/>
        </w:rPr>
        <w:t>Chapter 5: Results and Discussion</w:t>
        <w:tab/>
        <w:t>27</w:t>
      </w:r>
    </w:p>
    <w:p>
      <w:pPr>
        <w:spacing w:after="80" w:before="0" w:line="360" w:lineRule="auto"/>
        <w:ind w:left="432"/>
        <w:jc w:val="both"/>
        <w:tabs>
          <w:tab w:val="right" w:leader="dot" w:pos="8640"/>
        </w:tabs>
      </w:pPr>
      <w:r>
        <w:rPr>
          <w:rFonts w:ascii="Times New Roman" w:hAnsi="Times New Roman"/>
          <w:b w:val="0"/>
          <w:sz w:val="23"/>
        </w:rPr>
        <w:t>5.1 Evaluation Overview</w:t>
        <w:tab/>
        <w:t>27</w:t>
      </w:r>
    </w:p>
    <w:p>
      <w:pPr>
        <w:spacing w:after="80" w:before="0" w:line="360" w:lineRule="auto"/>
        <w:ind w:left="432"/>
        <w:jc w:val="both"/>
        <w:tabs>
          <w:tab w:val="right" w:leader="dot" w:pos="8640"/>
        </w:tabs>
      </w:pPr>
      <w:r>
        <w:rPr>
          <w:rFonts w:ascii="Times New Roman" w:hAnsi="Times New Roman"/>
          <w:b w:val="0"/>
          <w:sz w:val="23"/>
        </w:rPr>
        <w:t>5.2 500-Question Natural-Language Benchmark</w:t>
        <w:tab/>
        <w:t>27</w:t>
      </w:r>
    </w:p>
    <w:p>
      <w:pPr>
        <w:spacing w:after="80" w:before="0" w:line="360" w:lineRule="auto"/>
        <w:ind w:left="432"/>
        <w:jc w:val="both"/>
        <w:tabs>
          <w:tab w:val="right" w:leader="dot" w:pos="8640"/>
        </w:tabs>
      </w:pPr>
      <w:r>
        <w:rPr>
          <w:rFonts w:ascii="Times New Roman" w:hAnsi="Times New Roman"/>
          <w:b w:val="0"/>
          <w:sz w:val="23"/>
        </w:rPr>
        <w:t>5.3 Fidelity Against nopCommerce's Own Report Logic</w:t>
        <w:tab/>
        <w:t>29</w:t>
      </w:r>
    </w:p>
    <w:p>
      <w:pPr>
        <w:spacing w:after="80" w:before="0" w:line="360" w:lineRule="auto"/>
        <w:ind w:left="432"/>
        <w:jc w:val="both"/>
        <w:tabs>
          <w:tab w:val="right" w:leader="dot" w:pos="8640"/>
        </w:tabs>
      </w:pPr>
      <w:r>
        <w:rPr>
          <w:rFonts w:ascii="Times New Roman" w:hAnsi="Times New Roman"/>
          <w:b w:val="0"/>
          <w:sz w:val="23"/>
        </w:rPr>
        <w:t>5.4 Latency</w:t>
        <w:tab/>
        <w:t>29</w:t>
      </w:r>
    </w:p>
    <w:p>
      <w:pPr>
        <w:spacing w:after="80" w:before="0" w:line="360" w:lineRule="auto"/>
        <w:ind w:left="432"/>
        <w:jc w:val="both"/>
        <w:tabs>
          <w:tab w:val="right" w:leader="dot" w:pos="8640"/>
        </w:tabs>
      </w:pPr>
      <w:r>
        <w:rPr>
          <w:rFonts w:ascii="Times New Roman" w:hAnsi="Times New Roman"/>
          <w:b w:val="0"/>
          <w:sz w:val="23"/>
        </w:rPr>
        <w:t>5.5 Safety Evaluation</w:t>
        <w:tab/>
        <w:t>30</w:t>
      </w:r>
    </w:p>
    <w:p>
      <w:pPr>
        <w:spacing w:after="80" w:before="0" w:line="360" w:lineRule="auto"/>
        <w:ind w:left="432"/>
        <w:jc w:val="both"/>
        <w:tabs>
          <w:tab w:val="right" w:leader="dot" w:pos="8640"/>
        </w:tabs>
      </w:pPr>
      <w:r>
        <w:rPr>
          <w:rFonts w:ascii="Times New Roman" w:hAnsi="Times New Roman"/>
          <w:b w:val="0"/>
          <w:sz w:val="23"/>
        </w:rPr>
        <w:t>5.6 Comparison With Direct LLM-to-SQL</w:t>
        <w:tab/>
        <w:t>31</w:t>
      </w:r>
    </w:p>
    <w:p>
      <w:pPr>
        <w:spacing w:after="80" w:before="0" w:line="360" w:lineRule="auto"/>
        <w:ind w:left="432"/>
        <w:jc w:val="both"/>
        <w:tabs>
          <w:tab w:val="right" w:leader="dot" w:pos="8640"/>
        </w:tabs>
      </w:pPr>
      <w:r>
        <w:rPr>
          <w:rFonts w:ascii="Times New Roman" w:hAnsi="Times New Roman"/>
          <w:b w:val="0"/>
          <w:sz w:val="23"/>
        </w:rPr>
        <w:t>5.7 Interpretation</w:t>
        <w:tab/>
        <w:t>32</w:t>
      </w:r>
    </w:p>
    <w:p>
      <w:pPr>
        <w:spacing w:after="160" w:before="80" w:line="360" w:lineRule="auto"/>
        <w:ind w:left="0"/>
        <w:jc w:val="both"/>
        <w:tabs>
          <w:tab w:val="right" w:leader="dot" w:pos="8640"/>
        </w:tabs>
      </w:pPr>
      <w:r>
        <w:rPr>
          <w:rFonts w:ascii="Times New Roman" w:hAnsi="Times New Roman"/>
          <w:b/>
          <w:sz w:val="24"/>
        </w:rPr>
        <w:t>Chapter 6: Limitations and Future Work</w:t>
        <w:tab/>
        <w:t>33</w:t>
      </w:r>
    </w:p>
    <w:p>
      <w:pPr>
        <w:spacing w:after="80" w:before="0" w:line="360" w:lineRule="auto"/>
        <w:ind w:left="432"/>
        <w:jc w:val="both"/>
        <w:tabs>
          <w:tab w:val="right" w:leader="dot" w:pos="8640"/>
        </w:tabs>
      </w:pPr>
      <w:r>
        <w:rPr>
          <w:rFonts w:ascii="Times New Roman" w:hAnsi="Times New Roman"/>
          <w:b w:val="0"/>
          <w:sz w:val="23"/>
        </w:rPr>
        <w:t>6.1 Limitations</w:t>
        <w:tab/>
        <w:t>33</w:t>
      </w:r>
    </w:p>
    <w:p>
      <w:pPr>
        <w:spacing w:after="80" w:before="0" w:line="360" w:lineRule="auto"/>
        <w:ind w:left="432"/>
        <w:jc w:val="both"/>
        <w:tabs>
          <w:tab w:val="right" w:leader="dot" w:pos="8640"/>
        </w:tabs>
      </w:pPr>
      <w:r>
        <w:rPr>
          <w:rFonts w:ascii="Times New Roman" w:hAnsi="Times New Roman"/>
          <w:b w:val="0"/>
          <w:sz w:val="23"/>
        </w:rPr>
        <w:t>6.2 Future Work</w:t>
        <w:tab/>
        <w:t>34</w:t>
      </w:r>
    </w:p>
    <w:p>
      <w:pPr>
        <w:spacing w:after="160" w:before="80" w:line="360" w:lineRule="auto"/>
        <w:ind w:left="0"/>
        <w:jc w:val="both"/>
        <w:tabs>
          <w:tab w:val="right" w:leader="dot" w:pos="8640"/>
        </w:tabs>
      </w:pPr>
      <w:r>
        <w:rPr>
          <w:rFonts w:ascii="Times New Roman" w:hAnsi="Times New Roman"/>
          <w:b/>
          <w:sz w:val="24"/>
        </w:rPr>
        <w:t>Chapter 7: Conclusion</w:t>
        <w:tab/>
        <w:t>36</w:t>
      </w:r>
    </w:p>
    <w:p>
      <w:pPr>
        <w:spacing w:after="160" w:before="80" w:line="360" w:lineRule="auto"/>
        <w:ind w:left="0"/>
        <w:jc w:val="both"/>
        <w:tabs>
          <w:tab w:val="right" w:leader="dot" w:pos="8640"/>
        </w:tabs>
      </w:pPr>
      <w:r>
        <w:rPr>
          <w:rFonts w:ascii="Times New Roman" w:hAnsi="Times New Roman"/>
          <w:b/>
          <w:sz w:val="24"/>
        </w:rPr>
        <w:t>References</w:t>
        <w:tab/>
        <w:t>37</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AEGIS architecture pipeline</w:t>
        <w:tab/>
        <w:t>13</w:t>
      </w:r>
    </w:p>
    <w:p>
      <w:pPr>
        <w:spacing w:after="80" w:before="0" w:line="360" w:lineRule="auto"/>
        <w:jc w:val="both"/>
        <w:tabs>
          <w:tab w:val="right" w:leader="dot" w:pos="8640"/>
        </w:tabs>
      </w:pPr>
      <w:r>
        <w:rPr>
          <w:rFonts w:ascii="Times New Roman" w:hAnsi="Times New Roman"/>
          <w:sz w:val="24"/>
        </w:rPr>
        <w:t>Figure 3: Semantic layer modularity</w:t>
        <w:tab/>
        <w:t>14</w:t>
      </w:r>
    </w:p>
    <w:p>
      <w:pPr>
        <w:spacing w:after="80" w:before="0" w:line="360" w:lineRule="auto"/>
        <w:jc w:val="both"/>
        <w:tabs>
          <w:tab w:val="right" w:leader="dot" w:pos="8640"/>
        </w:tabs>
      </w:pPr>
      <w:r>
        <w:rPr>
          <w:rFonts w:ascii="Times New Roman" w:hAnsi="Times New Roman"/>
          <w:sz w:val="24"/>
        </w:rPr>
        <w:t>Figure 4: Vocabulary injection and structured intent validation workflow</w:t>
        <w:tab/>
        <w:t>17</w:t>
      </w:r>
    </w:p>
    <w:p>
      <w:pPr>
        <w:spacing w:after="80" w:before="0" w:line="360" w:lineRule="auto"/>
        <w:jc w:val="both"/>
        <w:tabs>
          <w:tab w:val="right" w:leader="dot" w:pos="8640"/>
        </w:tabs>
      </w:pPr>
      <w:r>
        <w:rPr>
          <w:rFonts w:ascii="Times New Roman" w:hAnsi="Times New Roman"/>
          <w:sz w:val="24"/>
        </w:rPr>
        <w:t>Figure 5: Two-layer SQL safety defence</w:t>
        <w:tab/>
        <w:t>19</w:t>
      </w:r>
    </w:p>
    <w:p>
      <w:pPr>
        <w:spacing w:after="80" w:before="0" w:line="360" w:lineRule="auto"/>
        <w:jc w:val="both"/>
        <w:tabs>
          <w:tab w:val="right" w:leader="dot" w:pos="8640"/>
        </w:tabs>
      </w:pPr>
      <w:r>
        <w:rPr>
          <w:rFonts w:ascii="Times New Roman" w:hAnsi="Times New Roman"/>
          <w:sz w:val="24"/>
        </w:rPr>
        <w:t>Figure 6: Widget lifecycle and refresh model</w:t>
        <w:tab/>
        <w:t>20</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2.1: Comparative summary of related systems</w:t>
        <w:tab/>
        <w:t>7</w:t>
      </w:r>
    </w:p>
    <w:p>
      <w:pPr>
        <w:spacing w:after="80" w:before="0" w:line="360" w:lineRule="auto"/>
        <w:jc w:val="both"/>
        <w:tabs>
          <w:tab w:val="right" w:leader="dot" w:pos="8640"/>
        </w:tabs>
      </w:pPr>
      <w:r>
        <w:rPr>
          <w:rFonts w:ascii="Times New Roman" w:hAnsi="Times New Roman"/>
          <w:sz w:val="24"/>
        </w:rPr>
        <w:t>Table 3.1: AEGIS reporting pattern taxonomy</w:t>
        <w:tab/>
        <w:t>9</w:t>
      </w:r>
    </w:p>
    <w:p>
      <w:pPr>
        <w:spacing w:after="80" w:before="0" w:line="360" w:lineRule="auto"/>
        <w:jc w:val="both"/>
        <w:tabs>
          <w:tab w:val="right" w:leader="dot" w:pos="8640"/>
        </w:tabs>
      </w:pPr>
      <w:r>
        <w:rPr>
          <w:rFonts w:ascii="Times New Roman" w:hAnsi="Times New Roman"/>
          <w:sz w:val="24"/>
        </w:rPr>
        <w:t>Table 3.2: Semantic layer implementation contract</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Prototype module-to-architecture mapping</w:t>
        <w:tab/>
        <w:t>23</w:t>
      </w:r>
    </w:p>
    <w:p>
      <w:pPr>
        <w:spacing w:after="80" w:before="0" w:line="360" w:lineRule="auto"/>
        <w:jc w:val="both"/>
        <w:tabs>
          <w:tab w:val="right" w:leader="dot" w:pos="8640"/>
        </w:tabs>
      </w:pPr>
      <w:r>
        <w:rPr>
          <w:rFonts w:ascii="Times New Roman" w:hAnsi="Times New Roman"/>
          <w:sz w:val="24"/>
        </w:rPr>
        <w:t>Table 4.2: Experimental setup</w:t>
        <w:tab/>
        <w:t>23</w:t>
      </w:r>
    </w:p>
    <w:p>
      <w:pPr>
        <w:spacing w:after="80" w:before="0" w:line="360" w:lineRule="auto"/>
        <w:jc w:val="both"/>
        <w:tabs>
          <w:tab w:val="right" w:leader="dot" w:pos="8640"/>
        </w:tabs>
      </w:pPr>
      <w:r>
        <w:rPr>
          <w:rFonts w:ascii="Times New Roman" w:hAnsi="Times New Roman"/>
          <w:sz w:val="24"/>
        </w:rPr>
        <w:t>Table 4.3: Static evaluation datasets</w:t>
        <w:tab/>
        <w:t>24</w:t>
      </w:r>
    </w:p>
    <w:p>
      <w:pPr>
        <w:spacing w:after="80" w:before="0" w:line="360" w:lineRule="auto"/>
        <w:jc w:val="both"/>
        <w:tabs>
          <w:tab w:val="right" w:leader="dot" w:pos="8640"/>
        </w:tabs>
      </w:pPr>
      <w:r>
        <w:rPr>
          <w:rFonts w:ascii="Times New Roman" w:hAnsi="Times New Roman"/>
          <w:sz w:val="24"/>
        </w:rPr>
        <w:t>Table 5.1: Evaluation artifacts</w:t>
        <w:tab/>
        <w:t>27</w:t>
      </w:r>
    </w:p>
    <w:p>
      <w:pPr>
        <w:spacing w:after="80" w:before="0" w:line="360" w:lineRule="auto"/>
        <w:jc w:val="both"/>
        <w:tabs>
          <w:tab w:val="right" w:leader="dot" w:pos="8640"/>
        </w:tabs>
      </w:pPr>
      <w:r>
        <w:rPr>
          <w:rFonts w:ascii="Times New Roman" w:hAnsi="Times New Roman"/>
          <w:sz w:val="24"/>
        </w:rPr>
        <w:t>Table 5.2: 500-question live benchmark results</w:t>
        <w:tab/>
        <w:t>28</w:t>
      </w:r>
    </w:p>
    <w:p>
      <w:pPr>
        <w:spacing w:after="80" w:before="0" w:line="360" w:lineRule="auto"/>
        <w:jc w:val="both"/>
        <w:tabs>
          <w:tab w:val="right" w:leader="dot" w:pos="8640"/>
        </w:tabs>
      </w:pPr>
      <w:r>
        <w:rPr>
          <w:rFonts w:ascii="Times New Roman" w:hAnsi="Times New Roman"/>
          <w:sz w:val="24"/>
        </w:rPr>
        <w:t>Table 5.3: nopCommerce standard admin report fidelity</w:t>
        <w:tab/>
        <w:t>29</w:t>
      </w:r>
    </w:p>
    <w:p>
      <w:pPr>
        <w:spacing w:after="80" w:before="0" w:line="360" w:lineRule="auto"/>
        <w:jc w:val="both"/>
        <w:tabs>
          <w:tab w:val="right" w:leader="dot" w:pos="8640"/>
        </w:tabs>
      </w:pPr>
      <w:r>
        <w:rPr>
          <w:rFonts w:ascii="Times New Roman" w:hAnsi="Times New Roman"/>
          <w:sz w:val="24"/>
        </w:rPr>
        <w:t>Table 5.4: Per-stage latency over 425 supported questions</w:t>
        <w:tab/>
        <w:t>30</w:t>
      </w:r>
    </w:p>
    <w:p>
      <w:pPr>
        <w:spacing w:after="80" w:before="0" w:line="360" w:lineRule="auto"/>
        <w:jc w:val="both"/>
        <w:tabs>
          <w:tab w:val="right" w:leader="dot" w:pos="8640"/>
        </w:tabs>
      </w:pPr>
      <w:r>
        <w:rPr>
          <w:rFonts w:ascii="Times New Roman" w:hAnsi="Times New Roman"/>
          <w:sz w:val="24"/>
        </w:rPr>
        <w:t>Table 5.5: Safety interpretation</w:t>
        <w:tab/>
        <w:t>30</w:t>
      </w:r>
    </w:p>
    <w:p>
      <w:pPr>
        <w:spacing w:after="80" w:before="0" w:line="360" w:lineRule="auto"/>
        <w:jc w:val="both"/>
        <w:tabs>
          <w:tab w:val="right" w:leader="dot" w:pos="8640"/>
        </w:tabs>
      </w:pPr>
      <w:r>
        <w:rPr>
          <w:rFonts w:ascii="Times New Roman" w:hAnsi="Times New Roman"/>
          <w:sz w:val="24"/>
        </w:rPr>
        <w:t>Table 5.6: Measured comparison over the same 500 questions</w:t>
        <w:tab/>
        <w:t>31</w:t>
      </w:r>
    </w:p>
    <w:p>
      <w:pPr>
        <w:spacing w:after="80" w:before="0" w:line="360" w:lineRule="auto"/>
        <w:jc w:val="both"/>
        <w:tabs>
          <w:tab w:val="right" w:leader="dot" w:pos="8640"/>
        </w:tabs>
      </w:pPr>
      <w:r>
        <w:rPr>
          <w:rFonts w:ascii="Times New Roman" w:hAnsi="Times New Roman"/>
          <w:sz w:val="24"/>
        </w:rPr>
        <w:t>Table 5.7: Structural comparison</w:t>
        <w:tab/>
        <w:t>32</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The system lets users describe reporting needs in plain English and produces dashboard widgets that can be saved, refreshed, and reused in daily work,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A user should be able to ask "which categories have the highest refund rates this month?" and get a correct, visual answer without writing SQL. Benchmarks such as Spider [1] and BIRD [2] show clear progress. But there is still a gap between benchmark SQL generation and production-ready reporting, where answers must respect business definitions, permissions, safety rules, and reusable dashboard presentation.</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mainly about building a smarter model. They are about designing the system around the model. AEGIS splits the work into stages. The LLM understands the request and returns a structured description. Fixed rules and pre-approved templates then match business terms, build SQL, select the chart, and save the widget.</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a model can generate SQL from natural language. This thesis asks how a large language model can understand language while the system prevents it from generating executable SQL.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not better SQL generation. It is constrained analytical artifact generation. The design removes SQL generation from the LLM's role and gives the system safety and semantic-fidelity properties that prompt-only systems cannot guarantee.</w:t>
      </w:r>
    </w:p>
    <w:p>
      <w:pPr>
        <w:spacing w:after="0" w:before="0" w:line="360" w:lineRule="auto"/>
        <w:jc w:val="both"/>
      </w:pPr>
      <w:r>
        <w:rPr>
          <w:rFonts w:ascii="Times New Roman" w:hAnsi="Times New Roman"/>
          <w:b w:val="0"/>
          <w:i w:val="0"/>
          <w:sz w:val="24"/>
        </w:rPr>
        <w:t>AEGIS does not propose a new LLM. The model is interchangeable across APIs that expose an OpenAI-compatible /v1/chat/completions interface. Because the LLM's only contract with the rest of the system is to produce a typed JSON intent object, model upgrades can improve language understanding without changing the compiler or safety infrastructure. This model independence is part of the architecture. The evaluation in Chapter 5 used an LLM API exposed through an OpenAI-compatible interface; the SQL compiler and safety layer did not depend on that provider.</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A static nopCommerce evaluation corpus consisting of a 500-question natural-language benchmark and nopCommerce's own twenty standard admin reports, checked against the platform's own report implementations rather than against an expected-answer set written by the authors of the system under test.</w:t>
      </w:r>
    </w:p>
    <w:p>
      <w:pPr>
        <w:pStyle w:val="ListNumber"/>
        <w:spacing w:after="80" w:line="360" w:lineRule="auto"/>
      </w:pPr>
      <w:r>
        <w:rPr>
          <w:rFonts w:ascii="Times New Roman" w:hAnsi="Times New Roman"/>
          <w:sz w:val="24"/>
        </w:rPr>
        <w:t>An empirical evaluation showing broad supported-request coverage, strong boundary rejection, a measured direct LLM-to-SQL baseline under identical conditions, per-stage latency, and a visible remaining Admin fidelity gap rather than a suspicious claim of perfect performance.</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2.1: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Design Science Research because the main contribution is a built and evaluated artifact, the AEGIS system. The method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Static nopCommerce datasets evaluate supported-request coverage, boundary rejection, Admin fidelity, execution validity, and remaining implementation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264877"/>
            <wp:docPr id="3" name="Picture 3"/>
            <wp:cNvGraphicFramePr>
              <a:graphicFrameLocks noChangeAspect="1"/>
            </wp:cNvGraphicFramePr>
            <a:graphic>
              <a:graphicData uri="http://schemas.openxmlformats.org/drawingml/2006/picture">
                <pic:pic>
                  <pic:nvPicPr>
                    <pic:cNvPr id="0" name="mermaid-figure-01-dsr-workflow.png"/>
                    <pic:cNvPicPr/>
                  </pic:nvPicPr>
                  <pic:blipFill>
                    <a:blip r:embed="rId12"/>
                    <a:stretch>
                      <a:fillRect/>
                    </a:stretch>
                  </pic:blipFill>
                  <pic:spPr>
                    <a:xfrm>
                      <a:off x="0" y="0"/>
                      <a:ext cx="5715000" cy="2264877"/>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the reporting patterns used by the AEGIS compiler and shows how they appear in ordinary e-commerce analytics. The taxonomy is a design artifact used to structure the semantic layer and compiler templates, not an independently validated user study.</w:t>
      </w:r>
    </w:p>
    <w:p>
      <w:pPr>
        <w:spacing w:before="200" w:after="80"/>
        <w:jc w:val="center"/>
        <w:keepNext/>
      </w:pPr>
      <w:r>
        <w:rPr>
          <w:rFonts w:ascii="Times New Roman" w:hAnsi="Times New Roman"/>
          <w:b/>
          <w:sz w:val="22"/>
        </w:rPr>
        <w:t>Table 3.1: AEGIS reporting pattern taxonomy.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3168"/>
        <w:gridCol w:w="352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Single-number business summary</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Total revenue this month</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Top or bottom entities by metric</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Top products by revenue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Rows that meet an operational condition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over time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Metric compared across groups or periods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order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Grouped business overview</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Orders by payment status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Population split by lifecycle stage</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New versus returning customers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Stepwise business process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Checkout progression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Relationship between two measures</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Discount versus order value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Breakdown by business dimension</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Revenue by country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168"/>
          </w:tcPr>
          <w:p>
            <w:pPr>
              <w:spacing w:before="0" w:after="0" w:line="240" w:lineRule="auto"/>
              <w:jc w:val="center"/>
              <w:keepNext/>
            </w:pPr>
            <w:r>
              <w:rPr>
                <w:rFonts w:ascii="Times New Roman" w:hAnsi="Times New Roman"/>
                <w:sz w:val="21"/>
              </w:rPr>
            </w:r>
            <w:r>
              <w:rPr>
                <w:rFonts w:ascii="Times New Roman" w:hAnsi="Times New Roman"/>
                <w:b w:val="0"/>
                <w:sz w:val="21"/>
              </w:rPr>
              <w:t>Detailed record listing</w:t>
            </w:r>
          </w:p>
        </w:tc>
        <w:tc>
          <w:tcPr>
            <w:tcW w:type="dxa" w:w="3528"/>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bl>
    <w:p>
      <w:pPr>
        <w:spacing w:after="80"/>
      </w:pPr>
    </w:p>
    <w:p>
      <w:pPr>
        <w:spacing w:after="0" w:before="0" w:line="360" w:lineRule="auto"/>
        <w:jc w:val="both"/>
      </w:pPr>
      <w:r>
        <w:rPr>
          <w:rFonts w:ascii="Times New Roman" w:hAnsi="Times New Roman"/>
          <w:b w:val="0"/>
          <w:i w:val="0"/>
          <w:sz w:val="24"/>
        </w:rPr>
        <w:t>The classification shaped the methodology in three ways. First, it made the compiler finite: each supported request must fit an approved analytical pattern. Second, it encouraged business terminology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Documenting out-of-scope threats is part of the contribution. Prior NL-to-SQL work rarely specifies the boundary of its safety claims, which makes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Structured Intent Validation: </w:t>
      </w:r>
      <w:r>
        <w:rPr>
          <w:rFonts w:ascii="Times New Roman" w:hAnsi="Times New Roman"/>
          <w:sz w:val="24"/>
        </w:rPr>
        <w:t>The server validates the LLM's structured intent against the semantic layer: metrics, dimensions, filters, patterns, and join rules must bind to approved objects. The original question is retained only for narrow non-executable cues such as write operations, direct credential or secret requests, and explicit prediction or causal-analysis requests outside the SQL-only prototype scope.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and Execution: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 A forbidden-pattern scan then rejects any non-SELECT construct, and the surviving statement is executed read-only with its literal values bound as parameters. Compilation and execution are one stage because the compiler emits the only statement that reaches the database; the two are drawn as separate modules in Figure 2 and timed separately in Table 5.4.</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806440" cy="3667003"/>
            <wp:docPr id="4" name="Picture 4"/>
            <wp:cNvGraphicFramePr>
              <a:graphicFrameLocks noChangeAspect="1"/>
            </wp:cNvGraphicFramePr>
            <a:graphic>
              <a:graphicData uri="http://schemas.openxmlformats.org/drawingml/2006/picture">
                <pic:pic>
                  <pic:nvPicPr>
                    <pic:cNvPr id="0" name="mermaid-figure-03-architecture-pipeline.png"/>
                    <pic:cNvPicPr/>
                  </pic:nvPicPr>
                  <pic:blipFill>
                    <a:blip r:embed="rId13"/>
                    <a:stretch>
                      <a:fillRect/>
                    </a:stretch>
                  </pic:blipFill>
                  <pic:spPr>
                    <a:xfrm>
                      <a:off x="0" y="0"/>
                      <a:ext cx="5806440" cy="3667003"/>
                    </a:xfrm>
                    <a:prstGeom prst="rect"/>
                  </pic:spPr>
                </pic:pic>
              </a:graphicData>
            </a:graphic>
          </wp:inline>
        </w:drawing>
      </w:r>
    </w:p>
    <w:p>
      <w:pPr>
        <w:spacing w:before="80" w:after="280"/>
        <w:jc w:val="center"/>
      </w:pPr>
      <w:r>
        <w:rPr>
          <w:rFonts w:ascii="Times New Roman" w:hAnsi="Times New Roman"/>
          <w:b/>
          <w:sz w:val="21"/>
        </w:rPr>
        <w:t>Figure 2: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dimensions, joins, predicates, and permissions are allowed to exist. The semantic layer is also the main per-deployment implementation surface: to support another system, the developer defines that system's approved business vocabulary and join paths while preserving the same AEGIS architecture.</w:t>
      </w:r>
    </w:p>
    <w:p>
      <w:pPr>
        <w:spacing w:after="200" w:before="0" w:line="360" w:lineRule="auto"/>
        <w:jc w:val="both"/>
      </w:pPr>
      <w:r>
        <w:rPr>
          <w:rFonts w:ascii="Times New Roman" w:hAnsi="Times New Roman"/>
          <w:b w:val="0"/>
          <w:i w:val="0"/>
          <w:sz w:val="24"/>
        </w:rPr>
        <w:t>Related systems describe their internal contract explicitly. Veezoo describes a Knowledge Graph, parser, query processor, and visualization engine [6]. G-SQL describes JSON schema serialization and rule-guided clause construction [9]. NL4DV exposes a JSON analytic specification for attributes, tasks, and visualization choices [11]. AEGIS follows that style by defining the semantic layer as an implementation contract, not as a vague concept.</w:t>
      </w:r>
    </w:p>
    <w:p>
      <w:pPr>
        <w:spacing w:before="160" w:after="80"/>
        <w:jc w:val="center"/>
        <w:keepNext/>
      </w:pPr>
      <w:r>
        <w:drawing>
          <wp:inline xmlns:a="http://schemas.openxmlformats.org/drawingml/2006/main" xmlns:pic="http://schemas.openxmlformats.org/drawingml/2006/picture">
            <wp:extent cx="5715000" cy="6163675"/>
            <wp:docPr id="5" name="Picture 5"/>
            <wp:cNvGraphicFramePr>
              <a:graphicFrameLocks noChangeAspect="1"/>
            </wp:cNvGraphicFramePr>
            <a:graphic>
              <a:graphicData uri="http://schemas.openxmlformats.org/drawingml/2006/picture">
                <pic:pic>
                  <pic:nvPicPr>
                    <pic:cNvPr id="0" name="mermaid-figure-04-semantic-layer-modularity.png"/>
                    <pic:cNvPicPr/>
                  </pic:nvPicPr>
                  <pic:blipFill>
                    <a:blip r:embed="rId14"/>
                    <a:stretch>
                      <a:fillRect/>
                    </a:stretch>
                  </pic:blipFill>
                  <pic:spPr>
                    <a:xfrm>
                      <a:off x="0" y="0"/>
                      <a:ext cx="5715000" cy="6163675"/>
                    </a:xfrm>
                    <a:prstGeom prst="rect"/>
                  </pic:spPr>
                </pic:pic>
              </a:graphicData>
            </a:graphic>
          </wp:inline>
        </w:drawing>
      </w:r>
    </w:p>
    <w:p>
      <w:pPr>
        <w:spacing w:before="80" w:after="280"/>
        <w:jc w:val="center"/>
      </w:pPr>
      <w:r>
        <w:rPr>
          <w:rFonts w:ascii="Times New Roman" w:hAnsi="Times New Roman"/>
          <w:b/>
          <w:sz w:val="21"/>
        </w:rPr>
        <w:t>Figure 3: Semantic layer modularity - composable blocks vs. free-form SQL generation</w:t>
      </w:r>
    </w:p>
    <w:p>
      <w:pPr>
        <w:spacing w:before="200" w:after="80"/>
        <w:jc w:val="center"/>
        <w:keepNext/>
      </w:pPr>
      <w:r>
        <w:rPr>
          <w:rFonts w:ascii="Times New Roman" w:hAnsi="Times New Roman"/>
          <w:b/>
          <w:sz w:val="22"/>
        </w:rPr>
        <w:t>Table 3.2: Semantic layer implementation contract.</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3672"/>
        <w:gridCol w:w="345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Required fields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nopCommerce example</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description, sql_expr, binding_table, required_joins, time_anchor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-&gt; SUM(COALESCE(o.OrderTotal,0)), bound to Order</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Grain rule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item_grain_equivalent when an order-level metric is grouped by item data</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revenue by product uses line_item_revenue instead of duplicating order totals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id, label, sql_expr, binding_table, datatype, entity, group_expr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category_name -&gt; c.Name, reached through Product_Category_Mapping and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parameter field, datatype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payment_status -&gt; o.PaymentStatusId = :payment_status</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Time anchor</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metric-specific date column for period filters</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customer_count uses cu.CreatedOnUtc; order_count uses o.CreatedOnUtc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source table, target table, ON clause</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-&gt; OrderItem -&gt; Product -&gt; Category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Mandatory predicate</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always-on table rule appended by the compiler</w:t>
            </w:r>
          </w:p>
        </w:tc>
        <w:tc>
          <w:tcPr>
            <w:tcW w:type="dxa" w:w="3456"/>
          </w:tcPr>
          <w:p>
            <w:pPr>
              <w:spacing w:before="0" w:after="0" w:line="240" w:lineRule="auto"/>
              <w:jc w:val="center"/>
              <w:keepNext/>
            </w:pPr>
            <w:r>
              <w:rPr>
                <w:rFonts w:ascii="Times New Roman" w:hAnsi="Times New Roman"/>
                <w:sz w:val="21"/>
              </w:rPr>
            </w:r>
            <w:r>
              <w:rPr>
                <w:rFonts w:ascii="Times New Roman" w:hAnsi="Times New Roman"/>
                <w:b w:val="0"/>
                <w:sz w:val="21"/>
              </w:rPr>
              <w:t>Order, Product, and Customer include Deleted = 0</w:t>
            </w:r>
          </w:p>
        </w:tc>
      </w:tr>
    </w:tbl>
    <w:p>
      <w:pPr>
        <w:spacing w:after="80"/>
      </w:pPr>
    </w:p>
    <w:p>
      <w:pPr>
        <w:spacing w:after="80" w:before="0" w:line="360" w:lineRule="auto"/>
        <w:jc w:val="both"/>
      </w:pPr>
      <w:r>
        <w:rPr>
          <w:rFonts w:ascii="Times New Roman" w:hAnsi="Times New Roman"/>
          <w:b w:val="0"/>
          <w:i w:val="0"/>
          <w:sz w:val="24"/>
        </w:rPr>
        <w:t>A compact example of the implementation contract is shown below:</w:t>
      </w:r>
    </w:p>
    <w:p>
      <w:pPr>
        <w:spacing w:before="120" w:after="120" w:line="276" w:lineRule="auto"/>
        <w:ind w:left="576"/>
      </w:pPr>
      <w:r>
        <w:rPr>
          <w:rFonts w:ascii="Times New Roman" w:hAnsi="Times New Roman"/>
          <w:sz w:val="19"/>
        </w:rPr>
        <w:t>Metric(</w:t>
      </w:r>
      <w:r>
        <w:rPr>
          <w:rFonts w:ascii="Times New Roman" w:hAnsi="Times New Roman"/>
          <w:sz w:val="19"/>
        </w:rPr>
        <w:br/>
        <w:t xml:space="preserve">  id="revenue",</w:t>
      </w:r>
      <w:r>
        <w:rPr>
          <w:rFonts w:ascii="Times New Roman" w:hAnsi="Times New Roman"/>
          <w:sz w:val="19"/>
        </w:rPr>
        <w:br/>
        <w:t xml:space="preserve">  sql_expr="SUM(COALESCE(o.OrderTotal, 0))",</w:t>
      </w:r>
      <w:r>
        <w:rPr>
          <w:rFonts w:ascii="Times New Roman" w:hAnsi="Times New Roman"/>
          <w:sz w:val="19"/>
        </w:rPr>
        <w:br/>
        <w:t xml:space="preserve">  binding_table="Order",</w:t>
      </w:r>
      <w:r>
        <w:rPr>
          <w:rFonts w:ascii="Times New Roman" w:hAnsi="Times New Roman"/>
          <w:sz w:val="19"/>
        </w:rPr>
        <w:br/>
        <w:t xml:space="preserve">  time_anchor="o.CreatedOnUtc",</w:t>
      </w:r>
      <w:r>
        <w:rPr>
          <w:rFonts w:ascii="Times New Roman" w:hAnsi="Times New Roman"/>
          <w:sz w:val="19"/>
        </w:rPr>
        <w:br/>
        <w:t xml:space="preserve">  item_grain_equivalent="line_item_revenue")</w:t>
      </w:r>
      <w:r>
        <w:rPr>
          <w:rFonts w:ascii="Times New Roman" w:hAnsi="Times New Roman"/>
          <w:sz w:val="19"/>
        </w:rPr>
        <w:br/>
      </w:r>
      <w:r>
        <w:rPr>
          <w:rFonts w:ascii="Times New Roman" w:hAnsi="Times New Roman"/>
          <w:sz w:val="19"/>
        </w:rPr>
        <w:br/>
        <w:t>Dimension(</w:t>
      </w:r>
      <w:r>
        <w:rPr>
          <w:rFonts w:ascii="Times New Roman" w:hAnsi="Times New Roman"/>
          <w:sz w:val="19"/>
        </w:rPr>
        <w:br/>
        <w:t xml:space="preserve">  id="category_name",</w:t>
      </w:r>
      <w:r>
        <w:rPr>
          <w:rFonts w:ascii="Times New Roman" w:hAnsi="Times New Roman"/>
          <w:sz w:val="19"/>
        </w:rPr>
        <w:br/>
        <w:t xml:space="preserve">  sql_expr="c.Name",</w:t>
      </w:r>
      <w:r>
        <w:rPr>
          <w:rFonts w:ascii="Times New Roman" w:hAnsi="Times New Roman"/>
          <w:sz w:val="19"/>
        </w:rPr>
        <w:br/>
        <w:t xml:space="preserve">  binding_table="Category",</w:t>
      </w:r>
      <w:r>
        <w:rPr>
          <w:rFonts w:ascii="Times New Roman" w:hAnsi="Times New Roman"/>
          <w:sz w:val="19"/>
        </w:rPr>
        <w:br/>
        <w:t xml:space="preserve">  required_joins=["Product_Category_Mapping", "Category"])</w:t>
      </w:r>
    </w:p>
    <w:p>
      <w:pPr>
        <w:spacing w:after="0" w:before="0" w:line="360" w:lineRule="auto"/>
        <w:jc w:val="both"/>
      </w:pPr>
      <w:r>
        <w:rPr>
          <w:rFonts w:ascii="Times New Roman" w:hAnsi="Times New Roman"/>
          <w:b w:val="0"/>
          <w:i w:val="0"/>
          <w:sz w:val="24"/>
        </w:rPr>
        <w:t>In the nopCommerce prototype, the semantic layer defines the Approved metrics, dimensions, predicates, and join paths needed for the evaluated e-commerce analytics scope. The full nopCommerce schema is larger than this exposed vocabulary. Tables and fields that are not represented in the semantic layer cannot be requested through AEGIS, which is how the architecture keeps the answerable space useful but finite.</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Vocabulary injection makes Stage 1 practical. At startup, AEGIS builds the system prompt from the semantic layer. The prompt lists every approved metric and dimension identifier with a plain-English description. In the current prototype, 15 metrics and 34 dimensions take about 1,100 tokens. The LLM maps user phrasing to these identifiers without a hand-written synonym list. When the system owner adds a metric, the prompt vocabulary changes with the semantic layer.</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downstream validation runs. Stage 1 therefore relies on a typed IntentObject rather than free-form text. Malformed or off-schema output is rejected at the API boundary before structured intent validation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4983480" cy="6251655"/>
            <wp:docPr id="6" name="Picture 6"/>
            <wp:cNvGraphicFramePr>
              <a:graphicFrameLocks noChangeAspect="1"/>
            </wp:cNvGraphicFramePr>
            <a:graphic>
              <a:graphicData uri="http://schemas.openxmlformats.org/drawingml/2006/picture">
                <pic:pic>
                  <pic:nvPicPr>
                    <pic:cNvPr id="0" name="mermaid-figure-05-vocabulary-injection.png"/>
                    <pic:cNvPicPr/>
                  </pic:nvPicPr>
                  <pic:blipFill>
                    <a:blip r:embed="rId15"/>
                    <a:stretch>
                      <a:fillRect/>
                    </a:stretch>
                  </pic:blipFill>
                  <pic:spPr>
                    <a:xfrm>
                      <a:off x="0" y="0"/>
                      <a:ext cx="4983480" cy="6251655"/>
                    </a:xfrm>
                    <a:prstGeom prst="rect"/>
                  </pic:spPr>
                </pic:pic>
              </a:graphicData>
            </a:graphic>
          </wp:inline>
        </w:drawing>
      </w:r>
    </w:p>
    <w:p>
      <w:pPr>
        <w:spacing w:before="80" w:after="280"/>
        <w:jc w:val="center"/>
      </w:pPr>
      <w:r>
        <w:rPr>
          <w:rFonts w:ascii="Times New Roman" w:hAnsi="Times New Roman"/>
          <w:b/>
          <w:sz w:val="21"/>
        </w:rPr>
        <w:t>Figure 4: Vocabulary injection and structured intent validation workflow</w:t>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builds SQL from parameterized templates, one for each analytics pattern. It does not invent joins or expressions. It proves that a grounded plan can be rendered using only semantic-layer objects.</w:t>
      </w:r>
    </w:p>
    <w:p>
      <w:pPr>
        <w:spacing w:after="80" w:before="0" w:line="360" w:lineRule="auto"/>
        <w:jc w:val="both"/>
      </w:pPr>
      <w:r>
        <w:rPr>
          <w:rFonts w:ascii="Times New Roman" w:hAnsi="Times New Roman"/>
          <w:b w:val="0"/>
          <w:i w:val="0"/>
          <w:sz w:val="24"/>
        </w:rPr>
        <w:t>The compiler procedure is deterministic:</w:t>
      </w:r>
    </w:p>
    <w:p>
      <w:pPr>
        <w:spacing w:before="120" w:after="120" w:line="276" w:lineRule="auto"/>
        <w:ind w:left="576"/>
      </w:pPr>
      <w:r>
        <w:rPr>
          <w:rFonts w:ascii="Times New Roman" w:hAnsi="Times New Roman"/>
          <w:sz w:val="19"/>
        </w:rPr>
        <w:t>Input: AnalysisPlan(pattern, metric, dimension, filters, time_range)</w:t>
      </w:r>
      <w:r>
        <w:rPr>
          <w:rFonts w:ascii="Times New Roman" w:hAnsi="Times New Roman"/>
          <w:sz w:val="19"/>
        </w:rPr>
        <w:br/>
        <w:t>1. collect required tables from metric, dimension, and declared required_joins</w:t>
      </w:r>
      <w:r>
        <w:rPr>
          <w:rFonts w:ascii="Times New Roman" w:hAnsi="Times New Roman"/>
          <w:sz w:val="19"/>
        </w:rPr>
        <w:br/>
        <w:t>2. replace order-grain metrics with declared item-grain equivalents when needed</w:t>
      </w:r>
      <w:r>
        <w:rPr>
          <w:rFonts w:ascii="Times New Roman" w:hAnsi="Times New Roman"/>
          <w:sz w:val="19"/>
        </w:rPr>
        <w:br/>
        <w:t>3. resolve the minimal join path with BFS over the semantic join graph</w:t>
      </w:r>
      <w:r>
        <w:rPr>
          <w:rFonts w:ascii="Times New Roman" w:hAnsi="Times New Roman"/>
          <w:sz w:val="19"/>
        </w:rPr>
        <w:br/>
        <w:t>4. assemble SELECT from approved sql_expr values only</w:t>
      </w:r>
      <w:r>
        <w:rPr>
          <w:rFonts w:ascii="Times New Roman" w:hAnsi="Times New Roman"/>
          <w:sz w:val="19"/>
        </w:rPr>
        <w:br/>
        <w:t>5. assemble WHERE from normalized time_range and approved predicates</w:t>
      </w:r>
      <w:r>
        <w:rPr>
          <w:rFonts w:ascii="Times New Roman" w:hAnsi="Times New Roman"/>
          <w:sz w:val="19"/>
        </w:rPr>
        <w:br/>
        <w:t>6. append mandatory table predicates such as Deleted = 0</w:t>
      </w:r>
      <w:r>
        <w:rPr>
          <w:rFonts w:ascii="Times New Roman" w:hAnsi="Times New Roman"/>
          <w:sz w:val="19"/>
        </w:rPr>
        <w:br/>
        <w:t>7. add GROUP BY, ORDER BY, and LIMIT according to the analytical pattern</w:t>
      </w:r>
      <w:r>
        <w:rPr>
          <w:rFonts w:ascii="Times New Roman" w:hAnsi="Times New Roman"/>
          <w:sz w:val="19"/>
        </w:rPr>
        <w:br/>
        <w:t>8. reject the final SQL if it contains forbidden constructs</w:t>
      </w:r>
      <w:r>
        <w:rPr>
          <w:rFonts w:ascii="Times New Roman" w:hAnsi="Times New Roman"/>
          <w:sz w:val="19"/>
        </w:rPr>
        <w:br/>
        <w:t>Output: read-only SQL string, bound parameters, rationale log</w:t>
      </w:r>
    </w:p>
    <w:p>
      <w:pPr>
        <w:spacing w:after="200" w:before="0" w:line="360" w:lineRule="auto"/>
        <w:jc w:val="both"/>
      </w:pPr>
      <w:r>
        <w:rPr>
          <w:rFonts w:ascii="Times New Roman" w:hAnsi="Times New Roman"/>
          <w:b w:val="0"/>
          <w:i w:val="0"/>
          <w:sz w:val="24"/>
        </w:rPr>
        <w:t>The important implementation detail is that user text never enters a SQL identifier position. Identifiers come from Metric and Dimension objects. Literal values are carried as parameters. Join clauses come from the join graph. If any slot cannot be grounded, the resolver returns reject or clarify rather than allowing the compiler to guess.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 inputs. No user text is concatenated into the SQL string. Layer 2 is a post-compilation safety scanner that rejects any assembled query containing a forbidden construct, including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4892040" cy="8187814"/>
            <wp:docPr id="7" name="Picture 7"/>
            <wp:cNvGraphicFramePr>
              <a:graphicFrameLocks noChangeAspect="1"/>
            </wp:cNvGraphicFramePr>
            <a:graphic>
              <a:graphicData uri="http://schemas.openxmlformats.org/drawingml/2006/picture">
                <pic:pic>
                  <pic:nvPicPr>
                    <pic:cNvPr id="0" name="mermaid-figure-07-sql-safety-defense.png"/>
                    <pic:cNvPicPr/>
                  </pic:nvPicPr>
                  <pic:blipFill>
                    <a:blip r:embed="rId16"/>
                    <a:stretch>
                      <a:fillRect/>
                    </a:stretch>
                  </pic:blipFill>
                  <pic:spPr>
                    <a:xfrm>
                      <a:off x="0" y="0"/>
                      <a:ext cx="4892040" cy="8187814"/>
                    </a:xfrm>
                    <a:prstGeom prst="rect"/>
                  </pic:spPr>
                </pic:pic>
              </a:graphicData>
            </a:graphic>
          </wp:inline>
        </w:drawing>
      </w:r>
    </w:p>
    <w:p>
      <w:pPr>
        <w:spacing w:before="80" w:after="280"/>
        <w:jc w:val="center"/>
      </w:pPr>
      <w:r>
        <w:rPr>
          <w:rFonts w:ascii="Times New Roman" w:hAnsi="Times New Roman"/>
          <w:b/>
          <w:sz w:val="21"/>
        </w:rPr>
        <w:t>Figure 5: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5715000" cy="823846"/>
            <wp:docPr id="8" name="Picture 8"/>
            <wp:cNvGraphicFramePr>
              <a:graphicFrameLocks noChangeAspect="1"/>
            </wp:cNvGraphicFramePr>
            <a:graphic>
              <a:graphicData uri="http://schemas.openxmlformats.org/drawingml/2006/picture">
                <pic:pic>
                  <pic:nvPicPr>
                    <pic:cNvPr id="0" name="mermaid-figure-08-widget-lifecycle.png"/>
                    <pic:cNvPicPr/>
                  </pic:nvPicPr>
                  <pic:blipFill>
                    <a:blip r:embed="rId17"/>
                    <a:stretch>
                      <a:fillRect/>
                    </a:stretch>
                  </pic:blipFill>
                  <pic:spPr>
                    <a:xfrm>
                      <a:off x="0" y="0"/>
                      <a:ext cx="5715000" cy="823846"/>
                    </a:xfrm>
                    <a:prstGeom prst="rect"/>
                  </pic:spPr>
                </pic:pic>
              </a:graphicData>
            </a:graphic>
          </wp:inline>
        </w:drawing>
      </w:r>
    </w:p>
    <w:p>
      <w:pPr>
        <w:spacing w:before="80" w:after="280"/>
        <w:jc w:val="center"/>
      </w:pPr>
      <w:r>
        <w:rPr>
          <w:rFonts w:ascii="Times New Roman" w:hAnsi="Times New Roman"/>
          <w:b/>
          <w:sz w:val="21"/>
        </w:rPr>
        <w:t>Figure 6: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and a Python FastAPI backend, targeting a nopCommerce-derived MySQL schema of 126 tables and 107 foreign-key constraints. The oracle queries are read from nopCommerce source at commit 64bdf2ff (version 5.00.0), and all twenty executed against this schema without a missing table or column, which is the evidence that the schema and the report logic agree on the entities those reports touch. The prototype follows the architecture from Chapter 3: the model extracts intent, the semantic layer supplies approved business definitions, and deterministic compiler templates produce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An LLM API exposed through an OpenAI-compatible /v1/chat/completions interface with structured JSON output enforcement. The prompt injects approved metric and dimension identifiers at request time. The compiler and safety layer are provider-independent because they consume only the typed intent object, not model-written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define approved metrics, dimensions, predicates, time anchors, join paths, grain rules, and mandatory platform filters.</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build read-only SQL from approved analytical patterns. The compiler logs the selected pattern, resolved tables, join path, metric expression, dimension expression, and safety result.</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chart selection maps analytical patterns and result shapes to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The prototype stores widget metadata locally with plan-hash deduplication. The interface is designed so production storage can be moved to a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Intent validator: </w:t>
      </w:r>
      <w:r>
        <w:rPr>
          <w:rFonts w:ascii="Times New Roman" w:hAnsi="Times New Roman"/>
          <w:sz w:val="24"/>
        </w:rPr>
        <w:t>Structured intent validation checks the LLM's normalized intent against the semantic layer, while the original question is used only for narrow safety and scope cues such as writes, direct secrets, and explicit non-SQL analysis modes.</w:t>
      </w:r>
    </w:p>
    <w:p>
      <w:pPr>
        <w:spacing w:before="200" w:after="80"/>
        <w:jc w:val="center"/>
        <w:keepNext/>
      </w:pPr>
      <w:r>
        <w:rPr>
          <w:rFonts w:ascii="Times New Roman" w:hAnsi="Times New Roman"/>
          <w:b/>
          <w:sz w:val="22"/>
        </w:rPr>
        <w:t>Table 4.1: Prototype module-to-architecture mapping.</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376"/>
        <w:gridCol w:w="446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Architecture 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Implementation module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Main technical responsibility</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extraction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intent_parser.py, models.py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OpenAI-compatible structured JSON output into IntentObject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Grounding</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grounding.py,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Ranked semantic-layer binding with resolved, ambiguous, unsupported, or absent outcomes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Intent validation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coverage.py, mapper.py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Structured binding checks plus narrow raw-text safety/scope cues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Semantic layer</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semantic_layer.py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Metrics, dimensions, predicates, time anchors, join graph, and mandatory filters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Compilation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compiler.py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Pattern templates, BFS join-path resolution, parameter binding, and SQL safety scan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Visualization</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visualization.py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Rule-based chart selection from pattern and result shape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Persistence</w:t>
            </w:r>
          </w:p>
        </w:tc>
        <w:tc>
          <w:tcPr>
            <w:tcW w:type="dxa" w:w="2376"/>
          </w:tcPr>
          <w:p>
            <w:pPr>
              <w:spacing w:before="0" w:after="0" w:line="240" w:lineRule="auto"/>
              <w:jc w:val="center"/>
              <w:keepNext/>
            </w:pPr>
            <w:r>
              <w:rPr>
                <w:rFonts w:ascii="Times New Roman" w:hAnsi="Times New Roman"/>
                <w:sz w:val="21"/>
              </w:rPr>
            </w:r>
            <w:r>
              <w:rPr>
                <w:rFonts w:ascii="Times New Roman" w:hAnsi="Times New Roman"/>
                <w:b w:val="0"/>
                <w:sz w:val="21"/>
              </w:rPr>
              <w:t>widget_engine.py</w:t>
            </w:r>
          </w:p>
        </w:tc>
        <w:tc>
          <w:tcPr>
            <w:tcW w:type="dxa" w:w="4464"/>
          </w:tcPr>
          <w:p>
            <w:pPr>
              <w:spacing w:before="0" w:after="0" w:line="240" w:lineRule="auto"/>
              <w:jc w:val="center"/>
              <w:keepNext/>
            </w:pPr>
            <w:r>
              <w:rPr>
                <w:rFonts w:ascii="Times New Roman" w:hAnsi="Times New Roman"/>
                <w:sz w:val="21"/>
              </w:rPr>
            </w:r>
            <w:r>
              <w:rPr>
                <w:rFonts w:ascii="Times New Roman" w:hAnsi="Times New Roman"/>
                <w:b w:val="0"/>
                <w:sz w:val="21"/>
              </w:rPr>
              <w:t>Plan hashing, widget storage, refresh metadata, and reuse</w:t>
            </w:r>
          </w:p>
        </w:tc>
      </w:tr>
    </w:tbl>
    <w:p>
      <w:pPr>
        <w:spacing w:after="80"/>
      </w:pPr>
    </w:p>
    <w:p>
      <w:pPr>
        <w:spacing w:after="0" w:before="0" w:line="360" w:lineRule="auto"/>
        <w:jc w:val="both"/>
      </w:pPr>
      <w:r>
        <w:rPr>
          <w:rFonts w:ascii="Times New Roman" w:hAnsi="Times New Roman"/>
          <w:b w:val="0"/>
          <w:i w:val="0"/>
          <w:sz w:val="24"/>
        </w:rPr>
        <w:t>This module map makes the prototype auditable. The thesis architecture is more than a conceptual pipeline. Each stage has a corresponding implementation boundary.</w:t>
      </w:r>
    </w:p>
    <w:p>
      <w:pPr>
        <w:spacing w:before="320" w:after="160"/>
        <w:jc w:val="left"/>
      </w:pPr>
      <w:r>
        <w:rPr>
          <w:rFonts w:ascii="Times New Roman" w:hAnsi="Times New Roman"/>
          <w:b/>
          <w:sz w:val="28"/>
        </w:rPr>
        <w:t>4.2  Experimental Environment</w:t>
      </w:r>
    </w:p>
    <w:p>
      <w:pPr>
        <w:spacing w:before="200" w:after="80"/>
        <w:jc w:val="center"/>
        <w:keepNext/>
      </w:pPr>
      <w:r>
        <w:rPr>
          <w:rFonts w:ascii="Times New Roman" w:hAnsi="Times New Roman"/>
          <w:b/>
          <w:sz w:val="22"/>
        </w:rPr>
        <w:t>Table 4.2: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Local/Laragon or Docker-compatible MySQL evaluation database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Application 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nopCommerce-derived MySQL schema, 126 tables,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Report oracle source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nopCommerce source at commit 64bdf2ff (version 5.00.0)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customers, products, categories, manufacturers, payments, shipping, refunds, stores, countries, and search terms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interface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OpenAI-compatible /v1/chat/completions API</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Single-domain prototype evaluation over nopCommerce analytics</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leaderboard study. Its goal is to test whether the AEGIS architecture provides safe, Approved natural-language analytics for a realistic e-commerce schema. General text-to-SQL benchmarks such as Spider and BIRD are valuable for SQL generation research, but they do not measure reusable dashboard widgets, semantic layer control, or refusal of unsupported business questions.</w:t>
      </w:r>
    </w:p>
    <w:p>
      <w:pPr>
        <w:spacing w:before="200" w:after="80"/>
        <w:jc w:val="center"/>
        <w:keepNext/>
      </w:pPr>
      <w:r>
        <w:rPr>
          <w:rFonts w:ascii="Times New Roman" w:hAnsi="Times New Roman"/>
          <w:b/>
          <w:sz w:val="22"/>
        </w:rPr>
        <w:t>Table 4.3: Static evaluation datasets.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1584"/>
        <w:gridCol w:w="4968"/>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Dataset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Size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Natural-language benchmark</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500 questions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Breadth: 425 answerable questions and 75 realistic e-commerce boundary questions that should be declined.</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20 reports</w:t>
            </w:r>
          </w:p>
        </w:tc>
        <w:tc>
          <w:tcPr>
            <w:tcW w:type="dxa" w:w="4968"/>
          </w:tcPr>
          <w:p>
            <w:pPr>
              <w:spacing w:before="0" w:after="0" w:line="240" w:lineRule="auto"/>
              <w:jc w:val="center"/>
              <w:keepNext/>
            </w:pPr>
            <w:r>
              <w:rPr>
                <w:rFonts w:ascii="Times New Roman" w:hAnsi="Times New Roman"/>
                <w:sz w:val="21"/>
              </w:rPr>
            </w:r>
            <w:r>
              <w:rPr>
                <w:rFonts w:ascii="Times New Roman" w:hAnsi="Times New Roman"/>
                <w:b w:val="0"/>
                <w:sz w:val="21"/>
              </w:rPr>
              <w:t>Fidelity: the platform's own admin report list, with the platform's own report implementations as the oracle.</w:t>
            </w:r>
          </w:p>
        </w:tc>
      </w:tr>
    </w:tbl>
    <w:p>
      <w:pPr>
        <w:spacing w:after="80"/>
      </w:pPr>
    </w:p>
    <w:p>
      <w:pPr>
        <w:spacing w:after="200" w:before="0" w:line="360" w:lineRule="auto"/>
        <w:jc w:val="both"/>
      </w:pPr>
      <w:r>
        <w:rPr>
          <w:rFonts w:ascii="Times New Roman" w:hAnsi="Times New Roman"/>
          <w:b w:val="0"/>
          <w:i w:val="0"/>
          <w:sz w:val="24"/>
        </w:rPr>
        <w:t>The two corpora differ in who chose them, and that difference is deliberate. The 500 questions were written for this study, so they measure how the architecture behaves across the range of language a store owner uses. The twenty reports were not: the list is nopCommerce's own admin menu and the comparison target is nopCommerce's own service-layer code, read from source. Comparing against a platform's shipped implementation is stronger evidence than comparing against an expected-answer set written by the same authors as the system under test, because the latter tends to agree with the implementation wherever both authors reasoned the same way.</w:t>
      </w:r>
    </w:p>
    <w:p>
      <w:pPr>
        <w:spacing w:after="0" w:before="0" w:line="360" w:lineRule="auto"/>
        <w:jc w:val="both"/>
      </w:pPr>
      <w:r>
        <w:rPr>
          <w:rFonts w:ascii="Times New Roman" w:hAnsi="Times New Roman"/>
          <w:b w:val="0"/>
          <w:i w:val="0"/>
          <w:sz w:val="24"/>
        </w:rPr>
        <w:t>All benchmark datasets are static repository artifacts. They are not regenerated during evaluation, because a thesis dataset must be inspectable and stable. The reported result files are also stored with the repository so a reader can compare the manuscript tables with the underlying evidence.</w:t>
      </w:r>
    </w:p>
    <w:p>
      <w:pPr>
        <w:spacing w:before="320" w:after="160"/>
        <w:jc w:val="left"/>
      </w:pPr>
      <w:r>
        <w:rPr>
          <w:rFonts w:ascii="Times New Roman" w:hAnsi="Times New Roman"/>
          <w:b/>
          <w:sz w:val="28"/>
        </w:rPr>
        <w:t>4.4  Baseline and Oracle Comparisons</w:t>
      </w:r>
    </w:p>
    <w:p>
      <w:pPr>
        <w:spacing w:after="200" w:before="0" w:line="360" w:lineRule="auto"/>
        <w:jc w:val="both"/>
      </w:pPr>
      <w:r>
        <w:rPr>
          <w:rFonts w:ascii="Times New Roman" w:hAnsi="Times New Roman"/>
          <w:b w:val="0"/>
          <w:i w:val="0"/>
          <w:sz w:val="24"/>
        </w:rPr>
        <w:t>The evaluation uses two kinds of comparison, and both are measured rather than argued. The first is a direct LLM-to-SQL baseline run under identical conditions. The second compares AEGIS output against nopCommerce's own admin report implementations. The second is the stronger evidence for result accuracy, because it checks returned business values rather than only whether SQL text was emitted.</w:t>
      </w:r>
    </w:p>
    <w:p>
      <w:pPr>
        <w:spacing w:after="80" w:line="360" w:lineRule="auto"/>
        <w:ind w:left="461" w:hanging="259"/>
      </w:pPr>
      <w:r>
        <w:rPr>
          <w:rFonts w:ascii="Times New Roman" w:hAnsi="Times New Roman"/>
          <w:sz w:val="24"/>
        </w:rPr>
        <w:t>•</w:t>
        <w:tab/>
      </w:r>
      <w:r>
        <w:rPr>
          <w:rFonts w:ascii="Times New Roman" w:hAnsi="Times New Roman"/>
          <w:b/>
          <w:sz w:val="24"/>
        </w:rPr>
        <w:t xml:space="preserve">Direct LLM-to-SQL baseline: </w:t>
      </w:r>
      <w:r>
        <w:rPr>
          <w:rFonts w:ascii="Times New Roman" w:hAnsi="Times New Roman"/>
          <w:sz w:val="24"/>
        </w:rPr>
        <w:t>The same model, through the same gateway, is asked to write MySQL directly for the same 500 questions against the same database, with no semantic layer in between. The arms therefore differ only in whether the model authors the query, which isolates the architectural variable rather than confounding it with model or data differences. Both arms are scanned for forbidden constructs with the same pattern set, imported from the compiler rather than restated, so neither arm is judged by a more lenient rule.</w:t>
      </w:r>
    </w:p>
    <w:p>
      <w:pPr>
        <w:spacing w:after="80" w:line="360" w:lineRule="auto"/>
        <w:ind w:left="461" w:hanging="259"/>
      </w:pPr>
      <w:r>
        <w:rPr>
          <w:rFonts w:ascii="Times New Roman" w:hAnsi="Times New Roman"/>
          <w:sz w:val="24"/>
        </w:rPr>
        <w:t>•</w:t>
        <w:tab/>
      </w:r>
      <w:r>
        <w:rPr>
          <w:rFonts w:ascii="Times New Roman" w:hAnsi="Times New Roman"/>
          <w:b/>
          <w:sz w:val="24"/>
        </w:rPr>
        <w:t xml:space="preserve">Admin report differential: </w:t>
      </w:r>
      <w:r>
        <w:rPr>
          <w:rFonts w:ascii="Times New Roman" w:hAnsi="Times New Roman"/>
          <w:sz w:val="24"/>
        </w:rPr>
        <w:t>Each of nopCommerce's twenty standard admin reports is requested in ordinary business phrasing. Two checks are applied: whether the request reaches an answer and compiles to SQL, and whether executing that SQL against the seeded database returns the same rows as the platform's own query. Only the second tests the claim; the first is satisfied by any query that compiles, including ones that are silently wrong.</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Per-stage latency: </w:t>
      </w:r>
      <w:r>
        <w:rPr>
          <w:rFonts w:ascii="Times New Roman" w:hAnsi="Times New Roman"/>
          <w:sz w:val="24"/>
        </w:rPr>
        <w:t>Every stage of the live benchmark is timed separately, so that the cost of intent extraction can be separated from the cost of resolution, compilation, and execution. A single end-to-end figure would conflate a property of the model provider with a property of the architecture.</w:t>
      </w:r>
    </w:p>
    <w:p>
      <w:r>
        <w:br w:type="page"/>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static benchmark data, verifier scripts, and recorded result artifacts:</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reliably does the LLM parser produce typed reporting intents on the 500-question natural-language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answer supported semantic-layer questions while rejecting or clarifying realistic unsupported e-commerce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the compiled SQL execute successfully against the evaluation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Do AEGIS results match the rows returned by nopCommerce's own report implementations on the same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does the same model behave on the same questions when the semantic layer is removed and it writes SQL directly?</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Where does the response time go, and how much of it does the architecture control?</w:t>
      </w:r>
    </w:p>
    <w:p>
      <w:pPr>
        <w:spacing w:after="80" w:line="360" w:lineRule="auto"/>
        <w:ind w:left="461" w:hanging="259"/>
      </w:pPr>
      <w:r>
        <w:rPr>
          <w:rFonts w:ascii="Times New Roman" w:hAnsi="Times New Roman"/>
          <w:sz w:val="24"/>
        </w:rPr>
        <w:t>•</w:t>
        <w:tab/>
      </w:r>
      <w:r>
        <w:rPr>
          <w:rFonts w:ascii="Times New Roman" w:hAnsi="Times New Roman"/>
          <w:b/>
          <w:sz w:val="24"/>
        </w:rPr>
        <w:t xml:space="preserve">RQ7: </w:t>
      </w:r>
      <w:r>
        <w:rPr>
          <w:rFonts w:ascii="Times New Roman" w:hAnsi="Times New Roman"/>
          <w:sz w:val="24"/>
        </w:rPr>
        <w:t>What implementation gaps remain after the current semantic-layer and compiler updates?</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This chapter reports the AEGIS prototype evaluation using static nopCommerce artifacts committed with the repository. The evaluation separates four questions that are often mixed together. Can the system parse the request? Is the request inside the semantic layer? Does the compiled SQL run? Does the result match the expected business answer?</w:t>
      </w:r>
    </w:p>
    <w:p>
      <w:pPr>
        <w:spacing w:after="0" w:before="0" w:line="360" w:lineRule="auto"/>
        <w:jc w:val="both"/>
      </w:pPr>
      <w:r>
        <w:rPr>
          <w:rFonts w:ascii="Times New Roman" w:hAnsi="Times New Roman"/>
          <w:b w:val="0"/>
          <w:i w:val="0"/>
          <w:sz w:val="24"/>
        </w:rPr>
        <w:t>The results are not a claim that AEGIS is perfect. A perfect score on every table would be suspicious for a prototype. The evaluation shows where the architecture is strong, where the nopCommerce implementation works well, and where real gaps remain.</w:t>
      </w:r>
    </w:p>
    <w:p>
      <w:pPr>
        <w:spacing w:before="320" w:after="160"/>
        <w:jc w:val="left"/>
      </w:pPr>
      <w:r>
        <w:rPr>
          <w:rFonts w:ascii="Times New Roman" w:hAnsi="Times New Roman"/>
          <w:b/>
          <w:sz w:val="28"/>
        </w:rPr>
        <w:t>5.1  Evaluation Overview</w:t>
      </w:r>
    </w:p>
    <w:p>
      <w:pPr>
        <w:spacing w:before="200" w:after="80"/>
        <w:jc w:val="center"/>
        <w:keepNext/>
      </w:pPr>
      <w:r>
        <w:rPr>
          <w:rFonts w:ascii="Times New Roman" w:hAnsi="Times New Roman"/>
          <w:b/>
          <w:sz w:val="22"/>
        </w:rPr>
        <w:t>Table 5.1: Evaluation artifacts.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453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Artifact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Purpose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500-question natural-language dataset</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Tests broad user-facing e-commerce questions over the implemented semantic layer.</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425 supported requests and 75 realistic boundary requests.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nopCommerce standard admin reports</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Compares AEGIS output with the platform's own shipped report implementations.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20 reports, with source-derived semantics and oracle queries.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Direct LLM-to-SQL baseline</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Runs the same model on the same questions with no semantic layer between it and the 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500 questions, same gateway and database.</w:t>
            </w:r>
          </w:p>
        </w:tc>
      </w:tr>
    </w:tbl>
    <w:p>
      <w:pPr>
        <w:spacing w:after="80"/>
      </w:pPr>
    </w:p>
    <w:p>
      <w:pPr>
        <w:spacing w:after="0" w:before="0" w:line="360" w:lineRule="auto"/>
        <w:jc w:val="both"/>
      </w:pPr>
      <w:r>
        <w:rPr>
          <w:rFonts w:ascii="Times New Roman" w:hAnsi="Times New Roman"/>
          <w:b w:val="0"/>
          <w:i w:val="0"/>
          <w:sz w:val="24"/>
        </w:rPr>
        <w:t>These artifacts are static, not generated at evaluation time, so another reader can inspect the exact questions, oracle definitions, scripts, and result files behind every reported claim. The two evidence tracks differ in who chose them. The 500 questions were written for this study. The 20 reports were not: the list is nopCommerce's own admin menu and the comparison target is nopCommerce's own service-layer code, which removes the risk of an expected-answer set that happens to agree with the system under test because the same person wrote both.</w:t>
      </w:r>
    </w:p>
    <w:p>
      <w:pPr>
        <w:spacing w:before="320" w:after="160"/>
        <w:jc w:val="left"/>
      </w:pPr>
      <w:r>
        <w:rPr>
          <w:rFonts w:ascii="Times New Roman" w:hAnsi="Times New Roman"/>
          <w:b/>
          <w:sz w:val="28"/>
        </w:rPr>
        <w:t>5.2  500-Question Natural-Language Benchmark</w:t>
      </w:r>
    </w:p>
    <w:p>
      <w:pPr>
        <w:spacing w:after="200" w:before="0" w:line="360" w:lineRule="auto"/>
        <w:jc w:val="both"/>
      </w:pPr>
      <w:r>
        <w:rPr>
          <w:rFonts w:ascii="Times New Roman" w:hAnsi="Times New Roman"/>
          <w:b w:val="0"/>
          <w:i w:val="0"/>
          <w:sz w:val="24"/>
        </w:rPr>
        <w:t>The main breadth benchmark contains natural-language questions that a store owner or administrator might ask about orders, revenue, customers, products, refunds, inventory, stores, countries, payment status, shipping, and search terms. The dataset intentionally includes unsupported questions as well, because an approved analytics system must know when not to answer.</w:t>
      </w:r>
    </w:p>
    <w:p>
      <w:pPr>
        <w:spacing w:before="200" w:after="80"/>
        <w:jc w:val="center"/>
        <w:keepNext/>
      </w:pPr>
      <w:r>
        <w:rPr>
          <w:rFonts w:ascii="Times New Roman" w:hAnsi="Times New Roman"/>
          <w:b/>
          <w:sz w:val="22"/>
        </w:rPr>
        <w:t>Table 5.2: 500-question live benchmark results.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800"/>
        <w:gridCol w:w="489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Parser success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499/500 (99.8%)</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gateway returned a valid Intent Object for all but one prompt.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intent exact match</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313/425 (73.6%)</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Strictest measure; a prompt parsed differently from the annotation often still compiled to a valid answer.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answer rate</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423/425 (99.5%)</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AEGIS answered almost every request inside the semantic layer.</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The answered supported requests also executed against MySQL.</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Boundary rejection accuracy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72/75 (96.0%)</w:t>
            </w:r>
          </w:p>
        </w:tc>
        <w:tc>
          <w:tcPr>
            <w:tcW w:type="dxa" w:w="4896"/>
          </w:tcPr>
          <w:p>
            <w:pPr>
              <w:spacing w:before="0" w:after="0" w:line="240" w:lineRule="auto"/>
              <w:jc w:val="center"/>
              <w:keepNext/>
            </w:pPr>
            <w:r>
              <w:rPr>
                <w:rFonts w:ascii="Times New Roman" w:hAnsi="Times New Roman"/>
                <w:sz w:val="21"/>
              </w:rPr>
            </w:r>
            <w:r>
              <w:rPr>
                <w:rFonts w:ascii="Times New Roman" w:hAnsi="Times New Roman"/>
                <w:b w:val="0"/>
                <w:sz w:val="21"/>
              </w:rPr>
              <w:t>Most realistic e-commerce questions outside the semantic layer were declined or clarified.</w:t>
            </w:r>
          </w:p>
        </w:tc>
      </w:tr>
    </w:tbl>
    <w:p>
      <w:pPr>
        <w:spacing w:after="80"/>
      </w:pPr>
    </w:p>
    <w:p>
      <w:pPr>
        <w:spacing w:after="200" w:before="0" w:line="360" w:lineRule="auto"/>
        <w:jc w:val="both"/>
      </w:pPr>
      <w:r>
        <w:rPr>
          <w:rFonts w:ascii="Times New Roman" w:hAnsi="Times New Roman"/>
          <w:b w:val="0"/>
          <w:i w:val="0"/>
          <w:sz w:val="24"/>
        </w:rPr>
        <w:t>An initial pass lost 29 questions to a consecutive block of HTTP 502 responses from the model gateway, which reduced the supported answer rate to 92.9 per cent. Those questions were retried and 28 answered on the second attempt. Both passes are recorded rather than only the better one: reporting only the retry would present a provider outage as though it had not happened, and reporting only the first pass would attribute that outage to the architecture.</w:t>
      </w:r>
    </w:p>
    <w:p>
      <w:pPr>
        <w:spacing w:after="200" w:before="0" w:line="360" w:lineRule="auto"/>
        <w:jc w:val="both"/>
      </w:pPr>
      <w:r>
        <w:rPr>
          <w:rFonts w:ascii="Times New Roman" w:hAnsi="Times New Roman"/>
          <w:b w:val="0"/>
          <w:i w:val="0"/>
          <w:sz w:val="24"/>
        </w:rPr>
        <w:t>Two supported questions were refused, and both refusals are correct. Each asks to break refunds down by payment method without naming a measure, and a segment report cannot be built without one. Choosing a measure on the user's behalf is exactly the silent substitution the resolver was built to remove.</w:t>
      </w:r>
    </w:p>
    <w:p>
      <w:pPr>
        <w:spacing w:after="200" w:before="0" w:line="360" w:lineRule="auto"/>
        <w:jc w:val="both"/>
      </w:pPr>
      <w:r>
        <w:rPr>
          <w:rFonts w:ascii="Times New Roman" w:hAnsi="Times New Roman"/>
          <w:b w:val="0"/>
          <w:i w:val="0"/>
          <w:sz w:val="24"/>
        </w:rPr>
        <w:t>Three boundary questions were answered instead of declined. One was a malformed model reply, which is a parse failure rather than a decision the system made. The other two are the same question phrased twice, asking to compare two named shipping carriers. The model reported both carrier names as unmapped, and the resolver answered by shipping method regardless. That is deliberate: a model-reported gap is treated as evidence rather than a verdict, because treating it as a verdict caused a high rate of false refusals. These two questions are what that choice costs, and stating the cost is more useful than tuning it away.</w:t>
      </w:r>
    </w:p>
    <w:p>
      <w:pPr>
        <w:spacing w:after="0" w:before="0" w:line="360" w:lineRule="auto"/>
        <w:jc w:val="both"/>
      </w:pPr>
      <w:r>
        <w:rPr>
          <w:rFonts w:ascii="Times New Roman" w:hAnsi="Times New Roman"/>
          <w:b w:val="0"/>
          <w:i w:val="0"/>
          <w:sz w:val="24"/>
        </w:rPr>
        <w:t>The same corpus is also run with the model removed, by feeding each question's committed intent annotation straight to the resolver. That configuration resolves, compiles and executes 425 of 425 supported questions and labels 75 of 75 boundary questions correctly. It is a regression gate on the resolver and compiler only. Because no model participates, it is not an end-to-end result and is never quoted as one.</w:t>
      </w:r>
    </w:p>
    <w:p>
      <w:pPr>
        <w:spacing w:before="320" w:after="160"/>
        <w:jc w:val="left"/>
      </w:pPr>
      <w:r>
        <w:rPr>
          <w:rFonts w:ascii="Times New Roman" w:hAnsi="Times New Roman"/>
          <w:b/>
          <w:sz w:val="28"/>
        </w:rPr>
        <w:t>5.3  Fidelity Against nopCommerce's Own Report Logic</w:t>
      </w:r>
    </w:p>
    <w:p>
      <w:pPr>
        <w:spacing w:after="200" w:before="0" w:line="360" w:lineRule="auto"/>
        <w:jc w:val="both"/>
      </w:pPr>
      <w:r>
        <w:rPr>
          <w:rFonts w:ascii="Times New Roman" w:hAnsi="Times New Roman"/>
          <w:b w:val="0"/>
          <w:i w:val="0"/>
          <w:sz w:val="24"/>
        </w:rPr>
        <w:t>Each of nopCommerce's twenty standard admin reports is requested in ordinary business phrasing. Two checks are applied. The first asks whether the request reaches an answer and compiles to SQL. The second executes that SQL and the platform's own query against the same seeded database and compares the rows returned. Exact SQL text is not required; the question is whether the answer carries the same business meaning.</w:t>
      </w:r>
    </w:p>
    <w:p>
      <w:pPr>
        <w:spacing w:before="200" w:after="80"/>
        <w:jc w:val="center"/>
        <w:keepNext/>
      </w:pPr>
      <w:r>
        <w:rPr>
          <w:rFonts w:ascii="Times New Roman" w:hAnsi="Times New Roman"/>
          <w:b/>
          <w:sz w:val="22"/>
        </w:rPr>
        <w:t>Table 5.3: nopCommerce standard admin report fidelity.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1656"/>
        <w:gridCol w:w="4752"/>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Check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Reached an answer and compiled</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Every standard report can be requested in ordinary language.</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Result set matched the platform</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15/20 (75.0%)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check that tests the claim: same database, same rows, same values.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Reports differing in value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0/20</w:t>
            </w:r>
          </w:p>
        </w:tc>
        <w:tc>
          <w:tcPr>
            <w:tcW w:type="dxa" w:w="4752"/>
          </w:tcPr>
          <w:p>
            <w:pPr>
              <w:spacing w:before="0" w:after="0" w:line="240" w:lineRule="auto"/>
              <w:jc w:val="center"/>
              <w:keepNext/>
            </w:pPr>
            <w:r>
              <w:rPr>
                <w:rFonts w:ascii="Times New Roman" w:hAnsi="Times New Roman"/>
                <w:sz w:val="21"/>
              </w:rPr>
            </w:r>
            <w:r>
              <w:rPr>
                <w:rFonts w:ascii="Times New Roman" w:hAnsi="Times New Roman"/>
                <w:b w:val="0"/>
                <w:sz w:val="21"/>
              </w:rPr>
              <w:t>The five mismatches differ in row count or label column, never in a number.</w:t>
            </w:r>
          </w:p>
        </w:tc>
      </w:tr>
    </w:tbl>
    <w:p>
      <w:pPr>
        <w:spacing w:after="80"/>
      </w:pPr>
    </w:p>
    <w:p>
      <w:pPr>
        <w:spacing w:after="200" w:before="0" w:line="360" w:lineRule="auto"/>
        <w:jc w:val="both"/>
      </w:pPr>
      <w:r>
        <w:rPr>
          <w:rFonts w:ascii="Times New Roman" w:hAnsi="Times New Roman"/>
          <w:b w:val="0"/>
          <w:i w:val="0"/>
          <w:sz w:val="24"/>
        </w:rPr>
        <w:t>Only the second check tests the claim. The first is satisfied by any query that compiles, and several of these twenty once passed it while being silently wrong: an order-level revenue sum fanned out across item-level joins, a missing soft-delete filter, a customer breakdown grouped by display name. Each returned a plausible, chartable number, so nothing downstream could tell it from a correct answer. That is the reason this thesis treats a compile-only check as a proxy rather than a result.</w:t>
      </w:r>
    </w:p>
    <w:p>
      <w:pPr>
        <w:spacing w:after="0" w:before="0" w:line="360" w:lineRule="auto"/>
        <w:jc w:val="both"/>
      </w:pPr>
      <w:r>
        <w:rPr>
          <w:rFonts w:ascii="Times New Roman" w:hAnsi="Times New Roman"/>
          <w:b w:val="0"/>
          <w:i w:val="0"/>
          <w:sz w:val="24"/>
        </w:rPr>
        <w:t>The five reports that did not match agree with the platform on every value in every overlapping row. Four differ in result-set size, because nopCommerce's own reports carry their own limits of five, fifteen or one hundred rows. Two differ in the label column, returning a customer name where the platform labels by email address. Matching them exactly would require per-report presets, which is the report-specific special-casing the semantic layer exists to avoid.</w:t>
      </w:r>
    </w:p>
    <w:p>
      <w:pPr>
        <w:spacing w:before="320" w:after="160"/>
        <w:jc w:val="left"/>
      </w:pPr>
      <w:r>
        <w:rPr>
          <w:rFonts w:ascii="Times New Roman" w:hAnsi="Times New Roman"/>
          <w:b/>
          <w:sz w:val="28"/>
        </w:rPr>
        <w:t>5.4  Latency</w:t>
      </w:r>
    </w:p>
    <w:p>
      <w:pPr>
        <w:spacing w:after="200" w:before="0" w:line="360" w:lineRule="auto"/>
        <w:jc w:val="both"/>
      </w:pPr>
      <w:r>
        <w:rPr>
          <w:rFonts w:ascii="Times New Roman" w:hAnsi="Times New Roman"/>
          <w:b w:val="0"/>
          <w:i w:val="0"/>
          <w:sz w:val="24"/>
        </w:rPr>
        <w:t>Per-stage timings were recorded for every supported question in the live benchmark. The split between the model stage and the deterministic stages matters more than the totals, because it is the same boundary the safety argument rests on.</w:t>
      </w:r>
    </w:p>
    <w:p>
      <w:pPr>
        <w:spacing w:before="200" w:after="80"/>
        <w:jc w:val="center"/>
        <w:keepNext/>
      </w:pPr>
      <w:r>
        <w:rPr>
          <w:rFonts w:ascii="Times New Roman" w:hAnsi="Times New Roman"/>
          <w:b/>
          <w:sz w:val="22"/>
        </w:rPr>
        <w:t>Table 5.4: Per-stage latency over 425 supported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Median</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95th percentile</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Intent extraction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9,029.89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19,460.15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Semantic resolution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0.89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1.25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SQL compilation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0.13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0.21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Database execution</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2.54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12.87 ms</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All stages after the model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3.62 ms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14.02 ms</w:t>
            </w:r>
          </w:p>
        </w:tc>
      </w:tr>
    </w:tbl>
    <w:p>
      <w:pPr>
        <w:spacing w:after="80"/>
      </w:pPr>
    </w:p>
    <w:p>
      <w:pPr>
        <w:spacing w:after="0" w:before="0" w:line="360" w:lineRule="auto"/>
        <w:jc w:val="both"/>
      </w:pPr>
      <w:r>
        <w:rPr>
          <w:rFonts w:ascii="Times New Roman" w:hAnsi="Times New Roman"/>
          <w:b w:val="0"/>
          <w:i w:val="0"/>
          <w:sz w:val="24"/>
        </w:rPr>
        <w:t>Substantially all of the wall clock is the model reading the question. The stages that resolve business concepts, choose the join path, emit SQL and execute it take a few milliseconds together, and the model has no influence over any of them. The model figure is a property of the gateway used here and would change with the provider; the deterministic figures are properties of the architecture and would follow it to another deployment. The direct baseline's generation stage has a comparable median of 9,154.02 ms, so the constrained pipeline pays no latency premium for its safety.</w:t>
      </w:r>
    </w:p>
    <w:p>
      <w:pPr>
        <w:spacing w:before="320" w:after="160"/>
        <w:jc w:val="left"/>
      </w:pPr>
      <w:r>
        <w:rPr>
          <w:rFonts w:ascii="Times New Roman" w:hAnsi="Times New Roman"/>
          <w:b/>
          <w:sz w:val="28"/>
        </w:rPr>
        <w:t>5.5  Safety Evaluation</w:t>
      </w:r>
    </w:p>
    <w:p>
      <w:pPr>
        <w:spacing w:after="200" w:before="0" w:line="360" w:lineRule="auto"/>
        <w:jc w:val="both"/>
      </w:pPr>
      <w:r>
        <w:rPr>
          <w:rFonts w:ascii="Times New Roman" w:hAnsi="Times New Roman"/>
          <w:b w:val="0"/>
          <w:i w:val="0"/>
          <w:sz w:val="24"/>
        </w:rPr>
        <w:t>The central architectural safety property is that the language model does not write SQL. It returns an Intent Object. Deterministic templates then produce SQL from approved semantic-layer definitions and check the query before execution. User prompt text is not inserted into executable SQL. The claim is therefore structural rather than statistical: no rate of successful defence is asserted, because there is no path from a prompt to a query the templates do not generate.</w:t>
      </w:r>
    </w:p>
    <w:p>
      <w:pPr>
        <w:spacing w:before="200" w:after="80"/>
        <w:jc w:val="center"/>
        <w:keepNext/>
      </w:pPr>
      <w:r>
        <w:rPr>
          <w:rFonts w:ascii="Times New Roman" w:hAnsi="Times New Roman"/>
          <w:b/>
          <w:sz w:val="22"/>
        </w:rPr>
        <w:t>Table 5.5: Safety interpretation.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3672"/>
        <w:gridCol w:w="2880"/>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Risk</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 control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Remaining boundary</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asks for a write operation</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Intent schema and compiler templates do not include write primitives.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system must still explain refusal clearly to the user.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User uses unsupported business terms</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The Intent Object must bind to approved semantic-layer definitions.</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Intent extraction can still misread vague language; debug traces and clarification reduce this risk.</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LLM misunderstands the request</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Compiled SQL remains structurally safe.</w:t>
            </w:r>
          </w:p>
        </w:tc>
        <w:tc>
          <w:tcPr>
            <w:tcW w:type="dxa" w:w="2880"/>
          </w:tcPr>
          <w:p>
            <w:pPr>
              <w:spacing w:before="0" w:after="0" w:line="240" w:lineRule="auto"/>
              <w:jc w:val="center"/>
              <w:keepNext/>
            </w:pPr>
            <w:r>
              <w:rPr>
                <w:rFonts w:ascii="Times New Roman" w:hAnsi="Times New Roman"/>
                <w:sz w:val="21"/>
              </w:rPr>
            </w:r>
            <w:r>
              <w:rPr>
                <w:rFonts w:ascii="Times New Roman" w:hAnsi="Times New Roman"/>
                <w:b w:val="0"/>
                <w:sz w:val="21"/>
              </w:rPr>
              <w:t>The answer may still be semantically wrong if intent extraction is wrong.</w:t>
            </w:r>
          </w:p>
        </w:tc>
      </w:tr>
    </w:tbl>
    <w:p>
      <w:pPr>
        <w:spacing w:after="80"/>
      </w:pPr>
    </w:p>
    <w:p>
      <w:pPr>
        <w:spacing w:after="0" w:before="0" w:line="360" w:lineRule="auto"/>
        <w:jc w:val="both"/>
      </w:pPr>
      <w:r>
        <w:rPr>
          <w:rFonts w:ascii="Times New Roman" w:hAnsi="Times New Roman"/>
          <w:b w:val="0"/>
          <w:i w:val="0"/>
          <w:sz w:val="24"/>
        </w:rPr>
        <w:t>The baseline arm gives this structural claim an empirical counterpart. Both arms were scanned with the same forbidden-pattern set, imported from the compiler rather than restated, so neither is judged by a more lenient rule. The unconstrained arm produced two queries containing a forbidden construct, both attempts to classify review text by keyword matching joined with UNION. The constrained arm produced none.</w:t>
      </w:r>
    </w:p>
    <w:p>
      <w:pPr>
        <w:spacing w:before="320" w:after="160"/>
        <w:jc w:val="left"/>
      </w:pPr>
      <w:r>
        <w:rPr>
          <w:rFonts w:ascii="Times New Roman" w:hAnsi="Times New Roman"/>
          <w:b/>
          <w:sz w:val="28"/>
        </w:rPr>
        <w:t>5.6  Comparison With Direct LLM-to-SQL</w:t>
      </w:r>
    </w:p>
    <w:p>
      <w:pPr>
        <w:spacing w:after="200" w:before="0" w:line="360" w:lineRule="auto"/>
        <w:jc w:val="both"/>
      </w:pPr>
      <w:r>
        <w:rPr>
          <w:rFonts w:ascii="Times New Roman" w:hAnsi="Times New Roman"/>
          <w:b w:val="0"/>
          <w:i w:val="0"/>
          <w:sz w:val="24"/>
        </w:rPr>
        <w:t>A direct LLM-to-SQL baseline can appear attractive because it can always try to write a SELECT statement. However, allowing the model to author SQL moves business definitions, join choices, security behavior, and dialect correctness into a probabilistic component. To measure that rather than assert it, the same model was run through the same gateway on the same 500 questions against the same database, with no semantic layer in between. The arms differ only in whether the model authors the query.</w:t>
      </w:r>
    </w:p>
    <w:p>
      <w:pPr>
        <w:spacing w:before="200" w:after="80"/>
        <w:jc w:val="center"/>
        <w:keepNext/>
      </w:pPr>
      <w:r>
        <w:rPr>
          <w:rFonts w:ascii="Times New Roman" w:hAnsi="Times New Roman"/>
          <w:b/>
          <w:sz w:val="22"/>
        </w:rPr>
        <w:t>Table 5.6: Measured comparison over the same 500 questions.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456"/>
        <w:gridCol w:w="2016"/>
        <w:gridCol w:w="201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Supported execution validity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422/425 (99.3%)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365/425 (85.9%)</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Out-of-scope questions answered</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3/75 (4.0%)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25/75 (33.3%)</w:t>
            </w:r>
          </w:p>
        </w:tc>
      </w:tr>
      <w:tr>
        <w:trPr>
          <w:cantSplit/>
        </w:trPr>
        <w:tc>
          <w:tcPr>
            <w:tcW w:type="dxa" w:w="3456"/>
          </w:tcPr>
          <w:p>
            <w:pPr>
              <w:spacing w:before="0" w:after="0" w:line="240" w:lineRule="auto"/>
              <w:keepNext/>
            </w:pPr>
            <w:r>
              <w:rPr>
                <w:rFonts w:ascii="Times New Roman" w:hAnsi="Times New Roman"/>
                <w:sz w:val="21"/>
              </w:rPr>
            </w:r>
            <w:r>
              <w:rPr>
                <w:rFonts w:ascii="Times New Roman" w:hAnsi="Times New Roman"/>
                <w:b w:val="0"/>
                <w:sz w:val="21"/>
              </w:rPr>
              <w:t>Queries with a forbidden construct</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2/500</w:t>
            </w:r>
          </w:p>
        </w:tc>
      </w:tr>
    </w:tbl>
    <w:p>
      <w:pPr>
        <w:spacing w:after="80"/>
      </w:pPr>
    </w:p>
    <w:p>
      <w:pPr>
        <w:spacing w:after="200" w:before="0" w:line="360" w:lineRule="auto"/>
        <w:jc w:val="both"/>
      </w:pPr>
      <w:r>
        <w:rPr>
          <w:rFonts w:ascii="Times New Roman" w:hAnsi="Times New Roman"/>
          <w:b w:val="0"/>
          <w:i w:val="0"/>
          <w:sz w:val="24"/>
        </w:rPr>
        <w:t>The middle row carries the finding. A third of the questions the semantic layer cannot express were answered by the unconstrained model with confident, executable SQL. Asked to forecast next month's sales, it returned a query summing past months, which runs, returns a number, and forecasts nothing. Asked which customers are likely to churn, it returned a query counting each customer's past orders. Asked what customers say about delivery speed, it returned raw review rows. Each answer is plausible, chartable, and addresses a different question than the one asked. AEGIS cannot produce these because none of the requests binds to anything in the semantic layer.</w:t>
      </w:r>
    </w:p>
    <w:p>
      <w:pPr>
        <w:spacing w:before="200" w:after="80"/>
        <w:jc w:val="center"/>
        <w:keepNext/>
      </w:pPr>
      <w:r>
        <w:rPr>
          <w:rFonts w:ascii="Times New Roman" w:hAnsi="Times New Roman"/>
          <w:b/>
          <w:sz w:val="22"/>
        </w:rPr>
        <w:t>Table 5.7: Structural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944"/>
        <w:gridCol w:w="3240"/>
        <w:gridCol w:w="374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Model writes SQL text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Compiler expands approved templates</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Business definitions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prompt/schema names</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Declared in semantic layer</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Unsupported requests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Often answered by nearest plausible SQL</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Rejected or clarified when outside coverage</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Dashboard output</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Usually one-off query result</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Saved, refreshable widget artifact</w:t>
            </w:r>
          </w:p>
        </w:tc>
      </w:tr>
      <w:tr>
        <w:trPr>
          <w:cantSplit/>
        </w:trPr>
        <w:tc>
          <w:tcPr>
            <w:tcW w:type="dxa" w:w="1944"/>
          </w:tcPr>
          <w:p>
            <w:pPr>
              <w:spacing w:before="0" w:after="0" w:line="240" w:lineRule="auto"/>
              <w:keepNext/>
            </w:pPr>
            <w:r>
              <w:rPr>
                <w:rFonts w:ascii="Times New Roman" w:hAnsi="Times New Roman"/>
                <w:sz w:val="21"/>
              </w:rPr>
            </w:r>
            <w:r>
              <w:rPr>
                <w:rFonts w:ascii="Times New Roman" w:hAnsi="Times New Roman"/>
                <w:b w:val="0"/>
                <w:sz w:val="21"/>
              </w:rPr>
              <w:t>Safety basis</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Prompt instruction and filtering</w:t>
            </w:r>
          </w:p>
        </w:tc>
        <w:tc>
          <w:tcPr>
            <w:tcW w:type="dxa" w:w="3744"/>
          </w:tcPr>
          <w:p>
            <w:pPr>
              <w:spacing w:before="0" w:after="0" w:line="240" w:lineRule="auto"/>
              <w:jc w:val="center"/>
              <w:keepNext/>
            </w:pPr>
            <w:r>
              <w:rPr>
                <w:rFonts w:ascii="Times New Roman" w:hAnsi="Times New Roman"/>
                <w:sz w:val="21"/>
              </w:rPr>
            </w:r>
            <w:r>
              <w:rPr>
                <w:rFonts w:ascii="Times New Roman" w:hAnsi="Times New Roman"/>
                <w:b w:val="0"/>
                <w:sz w:val="21"/>
              </w:rPr>
              <w:t>No model-authored SQL execution path</w:t>
            </w:r>
          </w:p>
        </w:tc>
      </w:tr>
    </w:tbl>
    <w:p>
      <w:pPr>
        <w:spacing w:after="80"/>
      </w:pPr>
    </w:p>
    <w:p>
      <w:pPr>
        <w:spacing w:before="320" w:after="160"/>
        <w:jc w:val="left"/>
      </w:pPr>
      <w:r>
        <w:rPr>
          <w:rFonts w:ascii="Times New Roman" w:hAnsi="Times New Roman"/>
          <w:b/>
          <w:sz w:val="28"/>
        </w:rPr>
        <w:t>5.7  Interpretation</w:t>
      </w:r>
    </w:p>
    <w:p>
      <w:pPr>
        <w:spacing w:after="200" w:before="0" w:line="360" w:lineRule="auto"/>
        <w:jc w:val="both"/>
      </w:pPr>
      <w:r>
        <w:rPr>
          <w:rFonts w:ascii="Times New Roman" w:hAnsi="Times New Roman"/>
          <w:b w:val="0"/>
          <w:i w:val="0"/>
          <w:sz w:val="24"/>
        </w:rPr>
        <w:t>The evaluation supports three conclusions. First, a semantic-layer architecture can cover a broad set of natural e-commerce analytics questions without exposing users to raw SQL. Second, refusal is part of correctness: the same model without the semantic layer answered a third of the unanswerable questions anyway, and a system that answers an unsupported question with a plausible but wrong query is less trustworthy than one that declines. Third, the differences that remain against nopCommerce's own reports are presentational rather than numerical, which locates the gap in row limits and label choices rather than in the compiled semantics.</w:t>
      </w:r>
    </w:p>
    <w:p>
      <w:pPr>
        <w:spacing w:after="200" w:before="0" w:line="360" w:lineRule="auto"/>
        <w:jc w:val="both"/>
      </w:pPr>
      <w:r>
        <w:rPr>
          <w:rFonts w:ascii="Times New Roman" w:hAnsi="Times New Roman"/>
          <w:b w:val="0"/>
          <w:i w:val="0"/>
          <w:sz w:val="24"/>
        </w:rPr>
        <w:t>Two limitations are worth stating alongside those conclusions. Value-level verification covers the twenty reports, not all 425 supported questions; for the latter the evidence is that the compiled SQL resolves and executes, not that every answer is the intended one. And the gateway used for intent extraction resolved a routing alias per request, so the reported run spans two models. Each result row records the model that served it, but a single-model run is needed before parser-dependent figures can be attributed to one system.</w:t>
      </w:r>
    </w:p>
    <w:p>
      <w:pPr>
        <w:spacing w:after="0" w:before="0" w:line="360" w:lineRule="auto"/>
        <w:jc w:val="both"/>
      </w:pPr>
      <w:r>
        <w:rPr>
          <w:rFonts w:ascii="Times New Roman" w:hAnsi="Times New Roman"/>
          <w:b w:val="0"/>
          <w:i w:val="0"/>
          <w:sz w:val="24"/>
        </w:rPr>
        <w:t xml:space="preserve">This interpretation is consistent with mixed-initiative NLIDB work such as </w:t>
      </w:r>
      <w:r>
        <w:rPr>
          <w:rFonts w:ascii="Times New Roman" w:hAnsi="Times New Roman"/>
          <w:b w:val="0"/>
          <w:i w:val="0"/>
          <w:sz w:val="24"/>
        </w:rPr>
        <w:t>[5]</w:t>
      </w:r>
      <w:r>
        <w:rPr>
          <w:rFonts w:ascii="Times New Roman" w:hAnsi="Times New Roman"/>
          <w:b w:val="0"/>
          <w:i w:val="0"/>
          <w:sz w:val="24"/>
        </w:rPr>
        <w:t>, which showed that users do not reliably detect wrong system answers without help. In a reporting context, a visible refusal or clarification is therefore often safer than a confident wrong chart.</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200" w:before="0" w:line="360" w:lineRule="auto"/>
        <w:jc w:val="both"/>
      </w:pPr>
      <w:r>
        <w:rPr>
          <w:rFonts w:ascii="Times New Roman" w:hAnsi="Times New Roman"/>
          <w:b w:val="0"/>
          <w:i w:val="0"/>
          <w:sz w:val="24"/>
        </w:rPr>
        <w:t>AEGIS is intentionally bounded. Its safety and auditability come from the fact that all answerable concepts must be declared in the semantic layer and all executable SQL must be produced by deterministic compiler templates. The limitations below should therefore be read as explicit boundaries of the current nopCommerce prototype, not as reasons to bypass the architecture with free-form SQL generation.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Single-domain evaluation: </w:t>
      </w:r>
      <w:r>
        <w:rPr>
          <w:rFonts w:ascii="Times New Roman" w:hAnsi="Times New Roman"/>
          <w:sz w:val="24"/>
        </w:rPr>
        <w:t>The final evaluation is over one e-commerce deployment, nopCommerce. The results show that the architecture works in this domain, but they do not prove cross-domain generality.</w:t>
      </w:r>
    </w:p>
    <w:p>
      <w:pPr>
        <w:spacing w:after="80" w:line="360" w:lineRule="auto"/>
        <w:ind w:left="461" w:hanging="259"/>
      </w:pPr>
      <w:r>
        <w:rPr>
          <w:rFonts w:ascii="Times New Roman" w:hAnsi="Times New Roman"/>
          <w:sz w:val="24"/>
        </w:rPr>
        <w:t>•</w:t>
        <w:tab/>
      </w:r>
      <w:r>
        <w:rPr>
          <w:rFonts w:ascii="Times New Roman" w:hAnsi="Times New Roman"/>
          <w:b/>
          <w:sz w:val="24"/>
        </w:rPr>
        <w:t xml:space="preserve">Author-generated natural-language data: </w:t>
      </w:r>
      <w:r>
        <w:rPr>
          <w:rFonts w:ascii="Times New Roman" w:hAnsi="Times New Roman"/>
          <w:sz w:val="24"/>
        </w:rPr>
        <w:t>The 500-question dataset is static and checkable, but it is still author-generated. A stronger study would collect questions from store owners or administrators and annotate them with at least two reviewers.</w:t>
      </w:r>
    </w:p>
    <w:p>
      <w:pPr>
        <w:spacing w:after="80" w:line="360" w:lineRule="auto"/>
        <w:ind w:left="461" w:hanging="259"/>
      </w:pPr>
      <w:r>
        <w:rPr>
          <w:rFonts w:ascii="Times New Roman" w:hAnsi="Times New Roman"/>
          <w:sz w:val="24"/>
        </w:rPr>
        <w:t>•</w:t>
        <w:tab/>
      </w:r>
      <w:r>
        <w:rPr>
          <w:rFonts w:ascii="Times New Roman" w:hAnsi="Times New Roman"/>
          <w:b/>
          <w:sz w:val="24"/>
        </w:rPr>
        <w:t xml:space="preserve">Finite semantic coverage: </w:t>
      </w:r>
      <w:r>
        <w:rPr>
          <w:rFonts w:ascii="Times New Roman" w:hAnsi="Times New Roman"/>
          <w:sz w:val="24"/>
        </w:rPr>
        <w:t>Boundary questions about web telemetry, marketing attribution, support tickets, review-text sentiment, forecasting, churn prediction, supplier performance, fraud scoring, delivery SLA analysis, and product affinity are deliberately outside the current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Remaining Admin fidelity gap: </w:t>
      </w:r>
      <w:r>
        <w:rPr>
          <w:rFonts w:ascii="Times New Roman" w:hAnsi="Times New Roman"/>
          <w:sz w:val="24"/>
        </w:rPr>
        <w:t>Fifteen of the twenty nopCommerce admin reports reproduce the platform's own result set exactly. The five that do not agree with the platform on every value in every overlapping row and differ only in how many rows are returned and which column labels them. Closing that gap means per-report row limits and label presets, which is the report-specific special-casing the semantic-layer design exists to avoid.</w:t>
      </w:r>
    </w:p>
    <w:p>
      <w:pPr>
        <w:spacing w:after="80" w:line="360" w:lineRule="auto"/>
        <w:ind w:left="461" w:hanging="259"/>
      </w:pPr>
      <w:r>
        <w:rPr>
          <w:rFonts w:ascii="Times New Roman" w:hAnsi="Times New Roman"/>
          <w:sz w:val="24"/>
        </w:rPr>
        <w:t>•</w:t>
        <w:tab/>
      </w:r>
      <w:r>
        <w:rPr>
          <w:rFonts w:ascii="Times New Roman" w:hAnsi="Times New Roman"/>
          <w:b/>
          <w:sz w:val="24"/>
        </w:rPr>
        <w:t xml:space="preserve">Catalogue scale in the seeded database: </w:t>
      </w:r>
      <w:r>
        <w:rPr>
          <w:rFonts w:ascii="Times New Roman" w:hAnsi="Times New Roman"/>
          <w:sz w:val="24"/>
        </w:rPr>
        <w:t>The seeded catalogue is small relative to the order volume: 17 products across 8 categories, against 2,500 orders and 6,320 order lines. Order-side reports are therefore exercised on realistic volume, but the product and category reports are not: a bestsellers ranking over 17 products and a revenue breakdown over 8 categories are short lists, so four of the twenty differentials agree with the platform on a narrow result set. The compiled SQL is the same either way, but a wider catalogue would test it harder.</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evidence is narrower than coverage: </w:t>
      </w:r>
      <w:r>
        <w:rPr>
          <w:rFonts w:ascii="Times New Roman" w:hAnsi="Times New Roman"/>
          <w:sz w:val="24"/>
        </w:rPr>
        <w:t>Value-level correctness at scale rests on the twenty admin reports rather than on all 425 supported questions. For those 425 the evidence is that the compiled SQL resolves and executes, not that every returned value is the intended one. Extending value-level verification to a stratified sample of the corpus is the most useful next measurement.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Response time is dominated by the provider: </w:t>
      </w:r>
      <w:r>
        <w:rPr>
          <w:rFonts w:ascii="Times New Roman" w:hAnsi="Times New Roman"/>
          <w:sz w:val="24"/>
        </w:rPr>
        <w:t>Substantially all end-to-end latency is the model reading the question; every deterministic stage after it completes in a few milliseconds. The model figure is a property of the gateway used here, so end-to-end response time would change with the provider even though the architecture's own cost would not.</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dependence for intent extraction: </w:t>
      </w:r>
      <w:r>
        <w:rPr>
          <w:rFonts w:ascii="Times New Roman" w:hAnsi="Times New Roman"/>
          <w:sz w:val="24"/>
        </w:rPr>
        <w:t>The compiler and safety layer are deterministic, but natural-language intent extraction still depends on the configured LLM API. Future work should compare multiple OpenAI-compatible models on the same static dataset.</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database target: </w:t>
      </w:r>
      <w:r>
        <w:rPr>
          <w:rFonts w:ascii="Times New Roman" w:hAnsi="Times New Roman"/>
          <w:sz w:val="24"/>
        </w:rPr>
        <w:t>The evaluated prototype targets nopCommerce on MySQL. This is an implementation and evaluation-scope choice, not an architectural limitation; other databases require dialect-specific compiler templates and safety rules.</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persistence: </w:t>
      </w:r>
      <w:r>
        <w:rPr>
          <w:rFonts w:ascii="Times New Roman" w:hAnsi="Times New Roman"/>
          <w:sz w:val="24"/>
        </w:rPr>
        <w:t>The prototype stores widget metadata in simple local persistence. A production deployment should move the widget registry to a transactional database with migrations, ownership policies, and administrative audit views.</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Value-level verification at scale: </w:t>
      </w:r>
      <w:r>
        <w:rPr>
          <w:rFonts w:ascii="Times New Roman" w:hAnsi="Times New Roman"/>
          <w:sz w:val="24"/>
        </w:rPr>
        <w:t>Verify returned values, not just execution, on a stratified sample of the 500-question corpus, so that value-level correctness rests on more than the twenty admin reports.</w:t>
      </w:r>
    </w:p>
    <w:p>
      <w:pPr>
        <w:spacing w:after="80" w:line="360" w:lineRule="auto"/>
        <w:ind w:left="461" w:hanging="259"/>
      </w:pPr>
      <w:r>
        <w:rPr>
          <w:rFonts w:ascii="Times New Roman" w:hAnsi="Times New Roman"/>
          <w:sz w:val="24"/>
        </w:rPr>
        <w:t>•</w:t>
        <w:tab/>
      </w:r>
      <w:r>
        <w:rPr>
          <w:rFonts w:ascii="Times New Roman" w:hAnsi="Times New Roman"/>
          <w:b/>
          <w:sz w:val="24"/>
        </w:rPr>
        <w:t xml:space="preserve">General limit and label handling: </w:t>
      </w:r>
      <w:r>
        <w:rPr>
          <w:rFonts w:ascii="Times New Roman" w:hAnsi="Times New Roman"/>
          <w:sz w:val="24"/>
        </w:rPr>
        <w:t>Express row limits and label columns as general, requester-visible options rather than per-report presets, so that a request can match a platform report's presentation without the compiler learning that report's name.</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Repeat the static-dataset process on a second schema such as WooCommerce or a non-commerce operational database.</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Build a guided interface so analysts can define metrics, dimensions, predicates, join paths, and display labels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Human dataset study: </w:t>
      </w:r>
      <w:r>
        <w:rPr>
          <w:rFonts w:ascii="Times New Roman" w:hAnsi="Times New Roman"/>
          <w:sz w:val="24"/>
        </w:rPr>
        <w:t>Collect real user questions and perform independent answerability and oracle annotation, including inter-annotator agreement.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Model comparison: </w:t>
      </w:r>
      <w:r>
        <w:rPr>
          <w:rFonts w:ascii="Times New Roman" w:hAnsi="Times New Roman"/>
          <w:sz w:val="24"/>
        </w:rPr>
        <w:t>Compare parser accuracy, refusal behavior, and execution validity across several OpenAI-compatible LLM APIs while keeping the compiler and semantic layer fixed.</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final evaluation used static nopCommerce datasets rather than an ad hoc one-time question set. On the 500-question live benchmark, AEGIS parsed 499 of 500 prompts, answered 423 and executed 422 of 425 supported requests, and rejected or clarified 72 of 75 realistic boundary requests. Against nopCommerce's twenty standard admin reports, every request reached an answer and compiled to SQL, and fifteen reproduced the platform's own result set exactly; the other five agreed on every value and differed only in row count and label column. The same model without the semantic layer, writing SQL directly against the same database, executed 365 of 425 supported questions and answered 25 of the 75 questions it should have declined.</w:t>
      </w:r>
    </w:p>
    <w:p>
      <w:pPr>
        <w:spacing w:after="240" w:before="0" w:line="360" w:lineRule="auto"/>
        <w:jc w:val="both"/>
      </w:pPr>
      <w:r>
        <w:rPr>
          <w:rFonts w:ascii="Times New Roman" w:hAnsi="Times New Roman"/>
          <w:b w:val="0"/>
          <w:i w:val="0"/>
          <w:sz w:val="24"/>
        </w:rPr>
        <w:t>These results should be read with the right scope. AEGIS is not an infinite natural-language-to-SQL engine, and the thesis does not claim perfect accuracy. Its contribution is a bounded reporting architecture: if the semantic layer defines a business concept, the system can map natural language to a safe, refreshable analytical widget; if the concept is outside the layer, the correct behavior is to reject or clarify rather than invent an answer.</w:t>
      </w:r>
    </w:p>
    <w:p>
      <w:pPr>
        <w:spacing w:after="0" w:before="0" w:line="360" w:lineRule="auto"/>
        <w:jc w:val="both"/>
      </w:pPr>
      <w:r>
        <w:rPr>
          <w:rFonts w:ascii="Times New Roman" w:hAnsi="Times New Roman"/>
          <w:b w:val="0"/>
          <w:i w:val="0"/>
          <w:sz w:val="24"/>
        </w:rPr>
        <w:t>The baseline comparison is what gives that claim its force. A third of the questions the semantic layer cannot express were answered by the unconstrained model with confident, executable SQL: asked to forecast next month's sales it summed past months, and asked which customers are likely to churn it counted past orders. Each answer runs, charts, and addresses a different question than the one asked. That is the failure mode this architecture makes structurally unreachable rather than statistically rare, and within this scope AEGIS demonstrates a practical path toward safer, more auditable natural-language analytics in institutional dashboard systems.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improve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