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Pattern classification of the 100-query benchmark</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Coverage-boundary rejection categories (illustrative)</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[16], and large language models can produce reasonable-looking SQL with minimal setup [6].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observation that reporting requests are often recurring rather than one-off (Section 3.2).</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presented at the mid-defense stage, makes the following contributions; the quantitative figures below are preliminary estimates from the author's own prototype evaluation to date (Chapter 5), not final or independently verified results: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validated against a published 100-query benchmark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dashboard-governance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Affolter et al. [1] benchmark 24 NLIDBs against ten questions of increasing complexity across four architectural classes (keyword, pattern, parsing, grammar-based); grammar-based systems achieve the broadest coverage but require users to learn a constrained vocabulary. Liu and Xu's more recent review [7] is the only one to name SQL-injection risk directly, discussing TrojanSQL, a backdoor injection attack the authors report is difficult to defend against, yet their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[5] and Veezoo [4] are the closest prior systems to AEGIS's use of a curated vocabulary. NaLIR parses a query into a grammar-constrained intermediate “query tree” and surfaces ambiguity to the user through a short multiple-choice interaction rather than guessing, correctly completing 88 of 98 tasks versus 56 of 98 without this step. Veezoo constrains matching with an editable Knowledge Graph structurally analogous to a semantic layer, needing a median of two reformulations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[16] and BIRD [6] provide the clearest evidence that free-form generation is unreliable at scale. Spider's strict cross-domain train/test split found the best contemporary baseline reached only 12.4% exact-match accuracy on unseen schemas. BIRD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[15] and PICARD [10] each constrain the same underlying generation approach without changing who authors the SQL. RAT-SQL encodes the schema as a relational graph via relation-aware self-attention, reaching 57.2% exact-match on Spider, yet oracle analysis attributes 72-81% of its remaining errors to wrong column or table selection. PICARD instead constrains decoding at the token level, cutting invalid SQL on Spider from roughly 12% to 2% — but the LLM still writes every character of the SQL string, so a semantic bug invisible to the grammar check (a wrong join, a wrong business formula) can still pass through as syntactically valid SQL.</w:t>
      </w:r>
    </w:p>
    <w:p>
      <w:pPr>
        <w:spacing w:after="0" w:before="0" w:line="360" w:lineRule="auto"/>
        <w:jc w:val="both"/>
      </w:pPr>
      <w:r>
        <w:rPr>
          <w:rFonts w:ascii="Times New Roman" w:hAnsi="Times New Roman"/>
          <w:b w:val="0"/>
          <w:i w:val="0"/>
          <w:sz w:val="24"/>
        </w:rPr>
        <w:t>G-SQL [12] and TriSQL [13] sit at opposite ends of the same spectrum and are the two closest points of comparison for AEGIS.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[8] and DataTone [3] are the closest visualization-side precedents. nl4dv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DataTone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[2] composes multi-chart dashboards with deep reinforcement learning guided by design rules (diversity, parsimony) drawn from a study of 90 real dashboards.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Shailesh et al. [11] describe a deployed Groq/LangChain assistant that gives an LLM direct SQL-execution tools and a self-correction retry loop — a live, working example of exactly the attack surface AEGIS's threat model closes (Section 3.5), with no reported adversarial evaluation. Valkenburgh [14],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 direct evidence that unconstrained LLM reasoning fails at exactly the class of task AEGIS targets.</w:t>
      </w:r>
    </w:p>
    <w:p>
      <w:pPr>
        <w:spacing w:before="320" w:after="160"/>
        <w:jc w:val="left"/>
      </w:pPr>
      <w:r>
        <w:rPr>
          <w:rFonts w:ascii="Times New Roman" w:hAnsi="Times New Roman"/>
          <w:b/>
          <w:sz w:val="28"/>
        </w:rPr>
        <w:t>2.5  Comparative Summary</w:t>
      </w:r>
    </w:p>
    <w:p>
      <w:pPr>
        <w:spacing w:before="200" w:after="80"/>
        <w:jc w:val="center"/>
      </w:pPr>
      <w:r>
        <w:rPr>
          <w:rFonts w:ascii="Times New Roman" w:hAnsi="Times New Roman"/>
          <w:b/>
          <w:sz w:val="22"/>
        </w:rPr>
        <w:t>Table 4: Comparative summary of the most closely related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G-SQL / TriSQL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nl4dv / 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 user study</w:t>
            </w:r>
          </w:p>
        </w:tc>
      </w:tr>
      <w:tr>
        <w:tc>
          <w:tcPr>
            <w:tcW w:type="dxa" w:w="1038"/>
          </w:tcPr>
          <w:p>
            <w:r>
              <w:rPr>
                <w:rFonts w:ascii="Times New Roman" w:hAnsi="Times New Roman"/>
                <w:sz w:val="21"/>
              </w:rPr>
            </w:r>
            <w:r>
              <w:rPr>
                <w:rFonts w:ascii="Times New Roman" w:hAnsi="Times New Roman"/>
                <w:b w:val="0"/>
                <w:sz w:val="21"/>
              </w:rPr>
              <w:t>DashBot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study</w:t>
            </w:r>
          </w:p>
        </w:tc>
      </w:tr>
      <w:tr>
        <w:tc>
          <w:tcPr>
            <w:tcW w:type="dxa" w:w="1038"/>
          </w:tcPr>
          <w:p>
            <w:r>
              <w:rPr>
                <w:rFonts w:ascii="Times New Roman" w:hAnsi="Times New Roman"/>
                <w:sz w:val="21"/>
              </w:rPr>
            </w:r>
            <w:r>
              <w:rPr>
                <w:rFonts w:ascii="Times New Roman" w:hAnsi="Times New Roman"/>
                <w:b w:val="0"/>
                <w:sz w:val="21"/>
              </w:rPr>
              <w:t>Conversational BI Assistant</w:t>
              <w:br/>
              <w:t>(Shailesh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Prototype demo</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(Section 3.4) and evaluating an explicit unsafe-SQL rate against a direct LLM-to-SQL baseline (Chapter 5),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(Section 3.11) closes this gap, motivated by the design-time observation that real reporting requests are often recurring rather than one-off (Section 3.2). Valkenburgh's independent arrival at AEGIS's “let a deterministic layer compute the answer”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312-request dataset; that dataset was never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(formative study) below reports a pattern classification of the actual, published 100-query benchmark (evaluation_dataset/questions.json, Chapter 4): every one of the 100 real benchmark questions was individually classified into one of the eleven patterns by the author. This classification is itself a single-annotator judgment, not independently cross-checked by a second annotator, so it should not be read as a validated inter-rater statistic; unlike the withdrawn 312-request figures, however, it is reproducible and independently checkable, since the classification of each question is published alongside the questions themselves in evaluation_dataset/pattern_classification.json.</w:t>
      </w:r>
    </w:p>
    <w:p>
      <w:pPr>
        <w:spacing w:before="200" w:after="80"/>
        <w:jc w:val="center"/>
      </w:pPr>
      <w:r>
        <w:rPr>
          <w:rFonts w:ascii="Times New Roman" w:hAnsi="Times New Roman"/>
          <w:b/>
          <w:sz w:val="22"/>
        </w:rPr>
        <w:t>Table (formative study): Pattern classification of the 100-query benchmark, sorted by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Count (of 100)</w:t>
            </w:r>
          </w:p>
        </w:tc>
        <w:tc>
          <w:tcPr>
            <w:tcW w:type="dxa" w:w="2076"/>
          </w:tcPr>
          <w:p>
            <w:pPr>
              <w:jc w:val="center"/>
            </w:pPr>
            <w:r>
              <w:rPr>
                <w:rFonts w:ascii="Times New Roman" w:hAnsi="Times New Roman"/>
                <w:b/>
                <w:sz w:val="21"/>
              </w:rPr>
            </w:r>
            <w:r>
              <w:rPr>
                <w:rFonts w:ascii="Times New Roman" w:hAnsi="Times New Roman"/>
                <w:b/>
                <w:sz w:val="21"/>
              </w:rPr>
              <w:t>Share</w:t>
            </w:r>
          </w:p>
        </w:tc>
        <w:tc>
          <w:tcPr>
            <w:tcW w:type="dxa" w:w="2076"/>
          </w:tcPr>
          <w:p>
            <w:pPr>
              <w:jc w:val="center"/>
            </w:pPr>
            <w:r>
              <w:rPr>
                <w:rFonts w:ascii="Times New Roman" w:hAnsi="Times New Roman"/>
                <w:b/>
                <w:sz w:val="21"/>
              </w:rPr>
            </w:r>
            <w:r>
              <w:rPr>
                <w:rFonts w:ascii="Times New Roman" w:hAnsi="Times New Roman"/>
                <w:b/>
                <w:sz w:val="21"/>
              </w:rPr>
              <w:t>Example</w:t>
            </w:r>
          </w:p>
        </w:tc>
      </w:tr>
      <w:tr>
        <w:tc>
          <w:tcPr>
            <w:tcW w:type="dxa" w:w="2076"/>
          </w:tcPr>
          <w:p>
            <w:r>
              <w:rPr>
                <w:rFonts w:ascii="Times New Roman" w:hAnsi="Times New Roman"/>
                <w:sz w:val="21"/>
              </w:rPr>
            </w:r>
            <w:r>
              <w:rPr>
                <w:rFonts w:ascii="Times New Roman" w:hAnsi="Times New Roman"/>
                <w:b w:val="0"/>
                <w:sz w:val="21"/>
              </w:rPr>
              <w:t>KPI / Aggregate</w:t>
            </w:r>
          </w:p>
        </w:tc>
        <w:tc>
          <w:tcPr>
            <w:tcW w:type="dxa" w:w="2076"/>
          </w:tcPr>
          <w:p>
            <w:pPr>
              <w:jc w:val="center"/>
            </w:pPr>
            <w:r>
              <w:rPr>
                <w:rFonts w:ascii="Times New Roman" w:hAnsi="Times New Roman"/>
                <w:sz w:val="21"/>
              </w:rPr>
            </w:r>
            <w:r>
              <w:rPr>
                <w:rFonts w:ascii="Times New Roman" w:hAnsi="Times New Roman"/>
                <w:b w:val="0"/>
                <w:sz w:val="21"/>
              </w:rPr>
              <w:t>28</w:t>
            </w:r>
          </w:p>
        </w:tc>
        <w:tc>
          <w:tcPr>
            <w:tcW w:type="dxa" w:w="2076"/>
          </w:tcPr>
          <w:p>
            <w:pPr>
              <w:jc w:val="center"/>
            </w:pPr>
            <w:r>
              <w:rPr>
                <w:rFonts w:ascii="Times New Roman" w:hAnsi="Times New Roman"/>
                <w:sz w:val="21"/>
              </w:rPr>
            </w:r>
            <w:r>
              <w:rPr>
                <w:rFonts w:ascii="Times New Roman" w:hAnsi="Times New Roman"/>
                <w:b w:val="0"/>
                <w:sz w:val="21"/>
              </w:rPr>
              <w:t>28%</w:t>
            </w:r>
          </w:p>
        </w:tc>
        <w:tc>
          <w:tcPr>
            <w:tcW w:type="dxa" w:w="2076"/>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21</w:t>
            </w:r>
          </w:p>
        </w:tc>
        <w:tc>
          <w:tcPr>
            <w:tcW w:type="dxa" w:w="2076"/>
          </w:tcPr>
          <w:p>
            <w:pPr>
              <w:jc w:val="center"/>
            </w:pPr>
            <w:r>
              <w:rPr>
                <w:rFonts w:ascii="Times New Roman" w:hAnsi="Times New Roman"/>
                <w:sz w:val="21"/>
              </w:rPr>
            </w:r>
            <w:r>
              <w:rPr>
                <w:rFonts w:ascii="Times New Roman" w:hAnsi="Times New Roman"/>
                <w:b w:val="0"/>
                <w:sz w:val="21"/>
              </w:rPr>
              <w:t>21%</w:t>
            </w:r>
          </w:p>
        </w:tc>
        <w:tc>
          <w:tcPr>
            <w:tcW w:type="dxa" w:w="2076"/>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076"/>
          </w:tcPr>
          <w:p>
            <w:r>
              <w:rPr>
                <w:rFonts w:ascii="Times New Roman" w:hAnsi="Times New Roman"/>
                <w:sz w:val="21"/>
              </w:rPr>
            </w:r>
            <w:r>
              <w:rPr>
                <w:rFonts w:ascii="Times New Roman" w:hAnsi="Times New Roman"/>
                <w:b w:val="0"/>
                <w:sz w:val="21"/>
              </w:rPr>
              <w:t>Exception / Filter</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076"/>
          </w:tcPr>
          <w:p>
            <w:r>
              <w:rPr>
                <w:rFonts w:ascii="Times New Roman" w:hAnsi="Times New Roman"/>
                <w:sz w:val="21"/>
              </w:rPr>
            </w:r>
            <w:r>
              <w:rPr>
                <w:rFonts w:ascii="Times New Roman" w:hAnsi="Times New Roman"/>
                <w:b w:val="0"/>
                <w:sz w:val="21"/>
              </w:rPr>
              <w:t>Trend Analysis</w:t>
            </w:r>
          </w:p>
        </w:tc>
        <w:tc>
          <w:tcPr>
            <w:tcW w:type="dxa" w:w="2076"/>
          </w:tcPr>
          <w:p>
            <w:pPr>
              <w:jc w:val="center"/>
            </w:pPr>
            <w:r>
              <w:rPr>
                <w:rFonts w:ascii="Times New Roman" w:hAnsi="Times New Roman"/>
                <w:sz w:val="21"/>
              </w:rPr>
            </w:r>
            <w:r>
              <w:rPr>
                <w:rFonts w:ascii="Times New Roman" w:hAnsi="Times New Roman"/>
                <w:b w:val="0"/>
                <w:sz w:val="21"/>
              </w:rPr>
              <w:t>10</w:t>
            </w:r>
          </w:p>
        </w:tc>
        <w:tc>
          <w:tcPr>
            <w:tcW w:type="dxa" w:w="2076"/>
          </w:tcPr>
          <w:p>
            <w:pPr>
              <w:jc w:val="center"/>
            </w:pPr>
            <w:r>
              <w:rPr>
                <w:rFonts w:ascii="Times New Roman" w:hAnsi="Times New Roman"/>
                <w:sz w:val="21"/>
              </w:rPr>
            </w:r>
            <w:r>
              <w:rPr>
                <w:rFonts w:ascii="Times New Roman" w:hAnsi="Times New Roman"/>
                <w:b w:val="0"/>
                <w:sz w:val="21"/>
              </w:rPr>
              <w:t>10%</w:t>
            </w:r>
          </w:p>
        </w:tc>
        <w:tc>
          <w:tcPr>
            <w:tcW w:type="dxa" w:w="2076"/>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w:t>
            </w:r>
          </w:p>
        </w:tc>
        <w:tc>
          <w:tcPr>
            <w:tcW w:type="dxa" w:w="2076"/>
          </w:tcPr>
          <w:p>
            <w:pPr>
              <w:jc w:val="center"/>
            </w:pPr>
            <w:r>
              <w:rPr>
                <w:rFonts w:ascii="Times New Roman" w:hAnsi="Times New Roman"/>
                <w:sz w:val="21"/>
              </w:rPr>
            </w:r>
            <w:r>
              <w:rPr>
                <w:rFonts w:ascii="Times New Roman" w:hAnsi="Times New Roman"/>
                <w:b w:val="0"/>
                <w:sz w:val="21"/>
              </w:rPr>
              <w:t>10%</w:t>
            </w:r>
          </w:p>
        </w:tc>
        <w:tc>
          <w:tcPr>
            <w:tcW w:type="dxa" w:w="2076"/>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076"/>
          </w:tcPr>
          <w:p>
            <w:r>
              <w:rPr>
                <w:rFonts w:ascii="Times New Roman" w:hAnsi="Times New Roman"/>
                <w:sz w:val="21"/>
              </w:rPr>
            </w:r>
            <w:r>
              <w:rPr>
                <w:rFonts w:ascii="Times New Roman" w:hAnsi="Times New Roman"/>
                <w:b w:val="0"/>
                <w:sz w:val="21"/>
              </w:rPr>
              <w:t>Summary / Group</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First-time buyers vs. returning customers.</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w:t>
            </w:r>
          </w:p>
        </w:tc>
        <w:tc>
          <w:tcPr>
            <w:tcW w:type="dxa" w:w="2076"/>
          </w:tcPr>
          <w:p>
            <w:pPr>
              <w:jc w:val="center"/>
            </w:pPr>
            <w:r>
              <w:rPr>
                <w:rFonts w:ascii="Times New Roman" w:hAnsi="Times New Roman"/>
                <w:sz w:val="21"/>
              </w:rPr>
            </w:r>
            <w:r>
              <w:rPr>
                <w:rFonts w:ascii="Times New Roman" w:hAnsi="Times New Roman"/>
                <w:b w:val="0"/>
                <w:sz w:val="21"/>
              </w:rPr>
              <w:t>1%</w:t>
            </w:r>
          </w:p>
        </w:tc>
        <w:tc>
          <w:tcPr>
            <w:tcW w:type="dxa" w:w="2076"/>
          </w:tcPr>
          <w:p>
            <w:pPr>
              <w:jc w:val="center"/>
            </w:pPr>
            <w:r>
              <w:rPr>
                <w:rFonts w:ascii="Times New Roman" w:hAnsi="Times New Roman"/>
                <w:sz w:val="21"/>
              </w:rPr>
            </w:r>
            <w:r>
              <w:rPr>
                <w:rFonts w:ascii="Times New Roman" w:hAnsi="Times New Roman"/>
                <w:b w:val="0"/>
                <w:sz w:val="21"/>
              </w:rPr>
              <w:t>Cart-to-purchase abandonment after seeing shipping costs.</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w:t>
            </w:r>
          </w:p>
        </w:tc>
        <w:tc>
          <w:tcPr>
            <w:tcW w:type="dxa" w:w="2076"/>
          </w:tcPr>
          <w:p>
            <w:pPr>
              <w:jc w:val="center"/>
            </w:pPr>
            <w:r>
              <w:rPr>
                <w:rFonts w:ascii="Times New Roman" w:hAnsi="Times New Roman"/>
                <w:sz w:val="21"/>
              </w:rPr>
            </w:r>
            <w:r>
              <w:rPr>
                <w:rFonts w:ascii="Times New Roman" w:hAnsi="Times New Roman"/>
                <w:b w:val="0"/>
                <w:sz w:val="21"/>
              </w:rPr>
              <w:t>1%</w:t>
            </w:r>
          </w:p>
        </w:tc>
        <w:tc>
          <w:tcPr>
            <w:tcW w:type="dxa" w:w="2076"/>
          </w:tcPr>
          <w:p>
            <w:pPr>
              <w:jc w:val="center"/>
            </w:pPr>
            <w:r>
              <w:rPr>
                <w:rFonts w:ascii="Times New Roman" w:hAnsi="Times New Roman"/>
                <w:sz w:val="21"/>
              </w:rPr>
            </w:r>
            <w:r>
              <w:rPr>
                <w:rFonts w:ascii="Times New Roman" w:hAnsi="Times New Roman"/>
                <w:b w:val="0"/>
                <w:sz w:val="21"/>
              </w:rPr>
              <w:t>Which attributes correlate with higher margins?</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Not exercised by this particular 100-question sample.</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Not exercised by this particular 100-question sample.</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Pattern classification of the 100-query benchmark</w:t>
            </w:r>
          </w:p>
          <w:p>
            <w:pPr>
              <w:spacing w:after="280" w:line="300" w:lineRule="auto"/>
              <w:ind w:left="432" w:right="432"/>
              <w:jc w:val="center"/>
            </w:pPr>
            <w:r>
              <w:rPr>
                <w:rFonts w:ascii="Times New Roman" w:hAnsi="Times New Roman"/>
                <w:i/>
                <w:color w:val="555555"/>
                <w:sz w:val="19"/>
              </w:rPr>
              <w:t>A bar chart (sorted descending) showing the real share of the 100-query benchmark accounted for by each of the eleven patterns: KPI/Aggregate 28%, Ranking 21%, Exception/Filter 18%, Trend Analysis 10%, Comparison 10%, Summary/Group 9%, Cohort 2%, Funnel 1%, Correlate 1%, Segment 0%, Tabular 0%. Highlight the top three bars (KPI, Ranking, Exception/Filter) in an accent color, since together they account for 67% of the benchmark. Caption note: classified by the author against evaluation_dataset/questions.json; see evaluation_dataset/pattern_classification.json for the per-question labels (Section 3.2).</w:t>
            </w:r>
          </w:p>
        </w:tc>
      </w:tr>
    </w:tbl>
    <w:p>
      <w:pPr>
        <w:spacing w:before="120" w:after="280"/>
        <w:jc w:val="center"/>
      </w:pPr>
      <w:r>
        <w:rPr>
          <w:rFonts w:ascii="Times New Roman" w:hAnsi="Times New Roman"/>
          <w:b/>
          <w:sz w:val="21"/>
        </w:rPr>
        <w:t>Figure 5: Pattern classification of the 100-query benchmark</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on this benchmark, the top three patterns (KPI, Ranking, and Exception/Filter) already account for 67% of all questions, and all eleven patterns together account for 100%, supporting a fixed template library rather than an open-ended query language. Segment and Tabular happen not to be exercised by this particular 100-question sample,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(Section 3.7)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-&gt; LLM Intent Parser -&gt; Coverage Validator -&gt; Semantic Mapper -&gt; Permission Rewriter -&gt; Safe Query Compiler -&gt; Query Executor -&gt; Visualization Selector -&gt; Widget Engine -&gt;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 shapeless, cracked blob of clay with a warning icon, annotated '5.0% unsafe queries in baseline (Chapter 5, Section 5.2)'.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[9]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-&gt; 'System Prompt Builder' -&gt;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'~5,610 valid combinations across 15 metrics x 34 dimensions x 11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 user text never enters the SQL string; only IDs and bound values appear.' Arrow down to Layer 2 box: 'Post-Compilation Safety Scanner —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(Section 3.2)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'New Natural-Language Question' -&gt; 'Full Seven-Stage Pipeline Runs' -&gt; 'Analysis Plan Hashed (SHA-256)' -&gt; a decision diamond 'Identical widget hash already exists?'. If YES, arrow to 'Return Cached Widget Immediately'. If NO, arrow to 'Save New Widget (SQL, chart config, access rule, refresh schedule)'. Both paths converge into a 'Dashboard Widget' box, from which a looping arrow labeled 'Scheduled Refresh (re-executes stored SQL on fresh data)' curves back into the same box —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Chapter 5. All benchmark construction, execution, and measurement were carried out by the author as part of this thesis, using a self-built dataset and evaluation harness; none of it has been independently replicated by a third party, externally audited, or peer-reviewed. This is distinct from reproducibility: the underlying artifacts (evaluation_dataset/questions.json, benchmark_results.json, pattern_classification.json, and the scripts that compute statistics from them) are published alongside this thesis specifically so that any reader can independently re-run the computation and check the reported figures against the raw data, even though no one outside this research has done so yet. Where a figure states that an annotation or classification step was performed by a named number of people (for example, two database engineers verifying gold-standard SQL), that step was part of the author's own research process rather than an independent, third-party audit. These results should therefore be read as internal evidence produced during this research and reproducible from the published artifacts, but not yet independently verified by anyone outside it.</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Assessed qualitatively against the design-time review (Section 3.2), and via an ablation study on the 100-query benchmark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after="0" w:before="0" w:line="360" w:lineRule="auto"/>
        <w:jc w:val="both"/>
      </w:pPr>
      <w:r>
        <w:rPr>
          <w:rFonts w:ascii="Times New Roman" w:hAnsi="Times New Roman"/>
          <w:b w:val="0"/>
          <w:i w:val="0"/>
          <w:sz w:val="24"/>
        </w:rPr>
        <w:t>This thesis is presented at the mid-defense stage: the figures below are preliminary estimates from the author's own prototype evaluation to date (Section 4.3), not final, independently verified results. They are reported to demonstrate the direction and plausibility of the architecture's safety and coverage claims, and should be read as work in progress rather than a closed, proven case; the final defense will report results from a more complete evaluation.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during the broader design-time review (Section 3.2),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Evaluation results across unsafe-SQL rate, execution validity, and coverage</w:t>
            </w:r>
          </w:p>
          <w:p>
            <w:pPr>
              <w:spacing w:after="280" w:line="300" w:lineRule="auto"/>
              <w:ind w:left="432" w:right="432"/>
              <w:jc w:val="center"/>
            </w:pPr>
            <w:r>
              <w:rPr>
                <w:rFonts w:ascii="Times New Roman" w:hAnsi="Times New Roman"/>
                <w:i/>
                <w:color w:val="555555"/>
                <w:sz w:val="19"/>
              </w:rPr>
              <w:t>A grouped bar chart with three metric groups on the x-axis (Unsafe SQL Rate, Execution Validity, Coverage), two bars per group comparing 'Baseline (Direct LLM-to-SQL)' in red/orange against 'AEGIS' in green. Baseline: 5.0% unsafe, 99% validity, 99% coverage. AEGIS: 0% unsafe, 100% validity, 100% coverage. The AEGIS unsafe-rate bar should read visually as flat/near-zero next to the baseline's visible red bar, to make the safety contrast the immediate takeaway of the figure.</w:t>
            </w:r>
          </w:p>
        </w:tc>
      </w:tr>
    </w:tbl>
    <w:p>
      <w:pPr>
        <w:spacing w:before="120" w:after="280"/>
        <w:jc w:val="center"/>
      </w:pPr>
      <w:r>
        <w:rPr>
          <w:rFonts w:ascii="Times New Roman" w:hAnsi="Times New Roman"/>
          <w:b/>
          <w:sz w:val="21"/>
        </w:rPr>
        <w:t>Figure 8: Evaluation results across unsafe-SQL rate, execution validity, and coverage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Across the 100-query benchmark and the design-time review (Section 3.2), the large majority of requests were answered directly without clarification, with a minority requiring a clarification turn, a semantic layer extension to cover a missing metric or dimension, or falling outside the template library entirely. The evaluation tooling accompanying this thesis (Chapter 4) measures execution validity and safety directly from benchmark runs; it does not yet compute a formal breakdown across these four outcome categories, so no precise percentage is reported here, and this is noted as future work in Chapter 6.</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Ablation study results</w:t>
            </w:r>
          </w:p>
          <w:p>
            <w:pPr>
              <w:spacing w:after="280" w:line="300" w:lineRule="auto"/>
              <w:ind w:left="432" w:right="432"/>
              <w:jc w:val="center"/>
            </w:pPr>
            <w:r>
              <w:rPr>
                <w:rFonts w:ascii="Times New Roman" w:hAnsi="Times New Roman"/>
                <w:i/>
                <w:color w:val="555555"/>
                <w:sz w:val="19"/>
              </w:rPr>
              <w:t>A horizontal bar chart listing each configuration from Table 7 on the y-axis (Full AEGIS, minus vocabulary injection, minus semantic layer, minus AST validation, minus confidence-gated clarification, minus permission rewriter, minus repair-on-parse-failure) with execution-validity percentage bars: 100%, 64.7%, 88.7%, 100%, 94.2%, 100%, 92.9%. Highlight the 'minus vocabulary injection' bar in a distinct color (e.g. red), since it shows the largest drop, to visually confirm it is the single most load-bearing component.</w:t>
            </w:r>
          </w:p>
        </w:tc>
      </w:tr>
    </w:tbl>
    <w:p>
      <w:pPr>
        <w:spacing w:before="120" w:after="280"/>
        <w:jc w:val="center"/>
      </w:pPr>
      <w:r>
        <w:rPr>
          <w:rFonts w:ascii="Times New Roman" w:hAnsi="Times New Roman"/>
          <w:b/>
          <w:sz w:val="21"/>
        </w:rPr>
        <w:t>Figure 9: Ablation study results</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10 NOT YET INSERTED ]</w:t>
            </w:r>
          </w:p>
          <w:p>
            <w:pPr>
              <w:spacing w:after="160"/>
              <w:jc w:val="center"/>
            </w:pPr>
            <w:r>
              <w:rPr>
                <w:rFonts w:ascii="Times New Roman" w:hAnsi="Times New Roman"/>
                <w:b/>
                <w:color w:val="333333"/>
                <w:sz w:val="22"/>
              </w:rPr>
              <w:t>Pipeline stage latency breakdown</w:t>
            </w:r>
          </w:p>
          <w:p>
            <w:pPr>
              <w:spacing w:after="280" w:line="300" w:lineRule="auto"/>
              <w:ind w:left="432" w:right="432"/>
              <w:jc w:val="center"/>
            </w:pPr>
            <w:r>
              <w:rPr>
                <w:rFonts w:ascii="Times New Roman" w:hAnsi="Times New Roman"/>
                <w:i/>
                <w:color w:val="555555"/>
                <w:sz w:val="19"/>
              </w:rPr>
              <w:t>A horizontal stacked bar (or waterfall) chart of the six pipeline stages from Table 9 and their median latency: LLM API call (Groq) 1,850 ms, semantic mapping 12 ms, SQL compilation 8 ms, query execution (MySQL) 45 ms, visualization selector 2 ms, widget persistence 5 ms, totaling 1,922 ms. Since the LLM call dominates at 96.2% of the total, include an inset panel zooming into just the five non-LLM stages (the remaining ~72 ms) so their relative proportions are visible rather than compressed to invisibility next to the LLM bar.</w:t>
            </w:r>
          </w:p>
        </w:tc>
      </w:tr>
    </w:tbl>
    <w:p>
      <w:pPr>
        <w:spacing w:before="120" w:after="280"/>
        <w:jc w:val="center"/>
      </w:pPr>
      <w:r>
        <w:rPr>
          <w:rFonts w:ascii="Times New Roman" w:hAnsi="Times New Roman"/>
          <w:b/>
          <w:sz w:val="21"/>
        </w:rPr>
        <w:t>Figure 10: Pipeline stage latency breakdown</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Requests that could not be answered at all during the design-time review and benchmark construction fell into recurring categories: metrics not present in the semantic layer, unregistered dimensions, requests requiring multi-metric aggregation beyond a single pattern, causal or explanatory questions such as “why did revenue drop,” and requests requiring a join path not present in the join graph. This thesis does not yet instrument a measured frequency for each category (Chapter 6 lists this as future work), so these are reported as recurring categories rather than a percentage breakdown. Every rejection, in this review and in the benchmark, included the full list of available identifiers rather than a bare error, consistent with the design principle (Section 3.3) that a coverage failure should be actionable rather than opaque.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11 NOT YET INSERTED ]</w:t>
            </w:r>
          </w:p>
          <w:p>
            <w:pPr>
              <w:spacing w:after="160"/>
              <w:jc w:val="center"/>
            </w:pPr>
            <w:r>
              <w:rPr>
                <w:rFonts w:ascii="Times New Roman" w:hAnsi="Times New Roman"/>
                <w:b/>
                <w:color w:val="333333"/>
                <w:sz w:val="22"/>
              </w:rPr>
              <w:t>Coverage-boundary rejection categories (illustrative)</w:t>
            </w:r>
          </w:p>
          <w:p>
            <w:pPr>
              <w:spacing w:after="280" w:line="300" w:lineRule="auto"/>
              <w:ind w:left="432" w:right="432"/>
              <w:jc w:val="center"/>
            </w:pPr>
            <w:r>
              <w:rPr>
                <w:rFonts w:ascii="Times New Roman" w:hAnsi="Times New Roman"/>
                <w:i/>
                <w:color w:val="555555"/>
                <w:sz w:val="19"/>
              </w:rPr>
              <w:t>A single panel listing the recurring rejection categories observed during design-time review and benchmark construction: metric not in semantic layer, unregistered dimension, multi-metric aggregation, causal/explanatory question, missing join path. Present these as a labeled list or simple diagram, not a chart with percentages, since no measured frequency breakdown is currently instrumented (Section 5.6).</w:t>
            </w:r>
          </w:p>
        </w:tc>
      </w:tr>
    </w:tbl>
    <w:p>
      <w:pPr>
        <w:spacing w:before="120" w:after="280"/>
        <w:jc w:val="center"/>
      </w:pPr>
      <w:r>
        <w:rPr>
          <w:rFonts w:ascii="Times New Roman" w:hAnsi="Times New Roman"/>
          <w:b/>
          <w:sz w:val="21"/>
        </w:rPr>
        <w:t>Figure 11: Coverage-boundary rejection categories (illustrative)</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Scope and coverage boundary. </w:t>
      </w:r>
    </w:p>
    <w:p>
      <w:pPr>
        <w:spacing w:after="160" w:before="0" w:line="360" w:lineRule="auto"/>
        <w:jc w:val="both"/>
      </w:pPr>
      <w:r>
        <w:rPr>
          <w:rFonts w:ascii="Times New Roman" w:hAnsi="Times New Roman"/>
          <w:b w:val="0"/>
          <w:i w:val="0"/>
          <w:sz w:val="24"/>
        </w:rPr>
        <w:t>AEGIS only supports queries that fit within its defined metrics, dimensions, and patterns, an approximately 5,610-combination space (15 metrics times 34 dimensions times 11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with no model retraining and no synonym curation required, since vocabulary injection (Section 3.8) propagates a new entry to the LLM's available vocabulary automatically. For open-ended data exploration requiring custom joins or schema-level operations outside this space, an unconstrained system may be more appropriate; AEGIS is designed for the everyday reporting needs identified in the formative study (Section 3.2), not ad hoc data science exploration.</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pPr>
        <w:pStyle w:val="ListBullet"/>
        <w:spacing w:after="80" w:line="360" w:lineRule="auto"/>
      </w:pP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(Sections 5.3 and 5.6). This thesis currently reports these categories qualitatively; adding this instrumentation would let a future revision report a measured percentage breakdown rather than a qualitative one.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[3]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[4]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[7]  M. Liu and J. Xu, "NLI4DB: A systematic review of natural language interfaces for databases," arXiv:2503.02435, 2025.</w:t>
      </w:r>
    </w:p>
    <w:p>
      <w:pPr>
        <w:spacing w:after="200" w:line="312" w:lineRule="auto"/>
        <w:ind w:left="576" w:hanging="576"/>
      </w:pPr>
      <w:r>
        <w:rPr>
          <w:rFonts w:ascii="Times New Roman" w:hAnsi="Times New Roman"/>
          <w:sz w:val="23"/>
        </w:rPr>
        <w:t>[8]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[9]  OpenAI, "Introducing structured outputs in the API," OpenAI, 2024.</w:t>
      </w:r>
    </w:p>
    <w:p>
      <w:pPr>
        <w:spacing w:after="200" w:line="312" w:lineRule="auto"/>
        <w:ind w:left="576" w:hanging="576"/>
      </w:pPr>
      <w:r>
        <w:rPr>
          <w:rFonts w:ascii="Times New Roman" w:hAnsi="Times New Roman"/>
          <w:sz w:val="23"/>
        </w:rPr>
        <w:t>[10]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[11]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[12]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[13]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[14]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[15]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[16]  T. Yu et al., "Spider: A large-scale human-labeled dataset for complex and cross-domain semantic parsing and text-to-SQL task," in Proc. 2018 Conf. Empirical Methods in Natural Language Processing (EMNLP), 2018, pp. 3911-3921.</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