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4000(A)</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Batch: 16th</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A prototype evaluation over a 107-query mixed natural-language benchmark on a seeded nopCommerce-style database shows that AEGIS produced no unsafe SQL statements and achieved 100 successful true database executions out of 107, while a direct LLM-to-SQL baseline achieved 27 successful executions out of 107 and produced one genuine unsafe write statement. These results support the thesis's central claim that SQL safety can be made a structural property of the architecture. The evaluation also shows a remaining limitation: safe and executable SQL is not always semantically correct, so correctness and scope-handling require a separate annotated benchmark in future work.</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9</w:t>
      </w:r>
    </w:p>
    <w:p>
      <w:pPr>
        <w:spacing w:after="80" w:before="0" w:line="360" w:lineRule="auto"/>
        <w:ind w:left="432"/>
        <w:jc w:val="both"/>
        <w:tabs>
          <w:tab w:val="right" w:leader="dot" w:pos="8640"/>
        </w:tabs>
      </w:pPr>
      <w:r>
        <w:rPr>
          <w:rFonts w:ascii="Times New Roman" w:hAnsi="Times New Roman"/>
          <w:b w:val="0"/>
          <w:sz w:val="23"/>
        </w:rPr>
        <w:t>3.3 Design Principles</w:t>
        <w:tab/>
        <w:t>10</w:t>
      </w:r>
    </w:p>
    <w:p>
      <w:pPr>
        <w:spacing w:after="80" w:before="0" w:line="360" w:lineRule="auto"/>
        <w:ind w:left="432"/>
        <w:jc w:val="both"/>
        <w:tabs>
          <w:tab w:val="right" w:leader="dot" w:pos="8640"/>
        </w:tabs>
      </w:pPr>
      <w:r>
        <w:rPr>
          <w:rFonts w:ascii="Times New Roman" w:hAnsi="Times New Roman"/>
          <w:b w:val="0"/>
          <w:sz w:val="23"/>
        </w:rPr>
        <w:t>3.4 Formal Model</w:t>
        <w:tab/>
        <w:t>11</w:t>
      </w:r>
    </w:p>
    <w:p>
      <w:pPr>
        <w:spacing w:after="80" w:before="0" w:line="360" w:lineRule="auto"/>
        <w:ind w:left="432"/>
        <w:jc w:val="both"/>
        <w:tabs>
          <w:tab w:val="right" w:leader="dot" w:pos="8640"/>
        </w:tabs>
      </w:pPr>
      <w:r>
        <w:rPr>
          <w:rFonts w:ascii="Times New Roman" w:hAnsi="Times New Roman"/>
          <w:b w:val="0"/>
          <w:sz w:val="23"/>
        </w:rPr>
        <w:t>3.5 Threat Model</w:t>
        <w:tab/>
        <w:t>11</w:t>
      </w:r>
    </w:p>
    <w:p>
      <w:pPr>
        <w:spacing w:after="80" w:before="0" w:line="360" w:lineRule="auto"/>
        <w:ind w:left="432"/>
        <w:jc w:val="both"/>
        <w:tabs>
          <w:tab w:val="right" w:leader="dot" w:pos="8640"/>
        </w:tabs>
      </w:pPr>
      <w:r>
        <w:rPr>
          <w:rFonts w:ascii="Times New Roman" w:hAnsi="Times New Roman"/>
          <w:b w:val="0"/>
          <w:sz w:val="23"/>
        </w:rPr>
        <w:t>3.6 System Architecture</w:t>
        <w:tab/>
        <w:t>13</w:t>
      </w:r>
    </w:p>
    <w:p>
      <w:pPr>
        <w:spacing w:after="80" w:before="0" w:line="360" w:lineRule="auto"/>
        <w:ind w:left="432"/>
        <w:jc w:val="both"/>
        <w:tabs>
          <w:tab w:val="right" w:leader="dot" w:pos="8640"/>
        </w:tabs>
      </w:pPr>
      <w:r>
        <w:rPr>
          <w:rFonts w:ascii="Times New Roman" w:hAnsi="Times New Roman"/>
          <w:b w:val="0"/>
          <w:sz w:val="23"/>
        </w:rPr>
        <w:t>3.7 Semantic Layer Design</w:t>
        <w:tab/>
        <w:t>14</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18</w:t>
      </w:r>
    </w:p>
    <w:p>
      <w:pPr>
        <w:spacing w:after="80" w:before="0" w:line="360" w:lineRule="auto"/>
        <w:ind w:left="432"/>
        <w:jc w:val="both"/>
        <w:tabs>
          <w:tab w:val="right" w:leader="dot" w:pos="8640"/>
        </w:tabs>
      </w:pPr>
      <w:r>
        <w:rPr>
          <w:rFonts w:ascii="Times New Roman" w:hAnsi="Times New Roman"/>
          <w:b w:val="0"/>
          <w:sz w:val="23"/>
        </w:rPr>
        <w:t>3.10 Visualization Selector</w:t>
        <w:tab/>
        <w:t>19</w:t>
      </w:r>
    </w:p>
    <w:p>
      <w:pPr>
        <w:spacing w:after="80" w:before="0" w:line="360" w:lineRule="auto"/>
        <w:ind w:left="432"/>
        <w:jc w:val="both"/>
        <w:tabs>
          <w:tab w:val="right" w:leader="dot" w:pos="8640"/>
        </w:tabs>
      </w:pPr>
      <w:r>
        <w:rPr>
          <w:rFonts w:ascii="Times New Roman" w:hAnsi="Times New Roman"/>
          <w:b w:val="0"/>
          <w:sz w:val="23"/>
        </w:rPr>
        <w:t>3.11 Widget Persistence and Reuse</w:t>
        <w:tab/>
        <w:t>19</w:t>
      </w:r>
    </w:p>
    <w:p>
      <w:pPr>
        <w:spacing w:after="160" w:before="80" w:line="360" w:lineRule="auto"/>
        <w:ind w:left="0"/>
        <w:jc w:val="both"/>
        <w:tabs>
          <w:tab w:val="right" w:leader="dot" w:pos="8640"/>
        </w:tabs>
      </w:pPr>
      <w:r>
        <w:rPr>
          <w:rFonts w:ascii="Times New Roman" w:hAnsi="Times New Roman"/>
          <w:b/>
          <w:sz w:val="24"/>
        </w:rPr>
        <w:t>Chapter 4: Experimental Work</w:t>
        <w:tab/>
        <w:t>22</w:t>
      </w:r>
    </w:p>
    <w:p>
      <w:pPr>
        <w:spacing w:after="80" w:before="0" w:line="360" w:lineRule="auto"/>
        <w:ind w:left="432"/>
        <w:jc w:val="both"/>
        <w:tabs>
          <w:tab w:val="right" w:leader="dot" w:pos="8640"/>
        </w:tabs>
      </w:pPr>
      <w:r>
        <w:rPr>
          <w:rFonts w:ascii="Times New Roman" w:hAnsi="Times New Roman"/>
          <w:b w:val="0"/>
          <w:sz w:val="23"/>
        </w:rPr>
        <w:t>4.1 Implementation</w:t>
        <w:tab/>
        <w:t>22</w:t>
      </w:r>
    </w:p>
    <w:p>
      <w:pPr>
        <w:spacing w:after="80" w:before="0" w:line="360" w:lineRule="auto"/>
        <w:ind w:left="432"/>
        <w:jc w:val="both"/>
        <w:tabs>
          <w:tab w:val="right" w:leader="dot" w:pos="8640"/>
        </w:tabs>
      </w:pPr>
      <w:r>
        <w:rPr>
          <w:rFonts w:ascii="Times New Roman" w:hAnsi="Times New Roman"/>
          <w:b w:val="0"/>
          <w:sz w:val="23"/>
        </w:rPr>
        <w:t>4.2 Experimental Environment</w:t>
        <w:tab/>
        <w:t>23</w:t>
      </w:r>
    </w:p>
    <w:p>
      <w:pPr>
        <w:spacing w:after="80" w:before="0" w:line="360" w:lineRule="auto"/>
        <w:ind w:left="432"/>
        <w:jc w:val="both"/>
        <w:tabs>
          <w:tab w:val="right" w:leader="dot" w:pos="8640"/>
        </w:tabs>
      </w:pPr>
      <w:r>
        <w:rPr>
          <w:rFonts w:ascii="Times New Roman" w:hAnsi="Times New Roman"/>
          <w:b w:val="0"/>
          <w:sz w:val="23"/>
        </w:rPr>
        <w:t>4.3 Benchmark Dataset Construction</w:t>
        <w:tab/>
        <w:t>23</w:t>
      </w:r>
    </w:p>
    <w:p>
      <w:pPr>
        <w:spacing w:after="80" w:before="0" w:line="360" w:lineRule="auto"/>
        <w:ind w:left="432"/>
        <w:jc w:val="both"/>
        <w:tabs>
          <w:tab w:val="right" w:leader="dot" w:pos="8640"/>
        </w:tabs>
      </w:pPr>
      <w:r>
        <w:rPr>
          <w:rFonts w:ascii="Times New Roman" w:hAnsi="Times New Roman"/>
          <w:b w:val="0"/>
          <w:sz w:val="23"/>
        </w:rPr>
        <w:t>4.4 Baseline Systems</w:t>
        <w:tab/>
        <w:t>24</w:t>
      </w:r>
    </w:p>
    <w:p>
      <w:pPr>
        <w:spacing w:after="80" w:before="0" w:line="360" w:lineRule="auto"/>
        <w:ind w:left="432"/>
        <w:jc w:val="both"/>
        <w:tabs>
          <w:tab w:val="right" w:leader="dot" w:pos="8640"/>
        </w:tabs>
      </w:pPr>
      <w:r>
        <w:rPr>
          <w:rFonts w:ascii="Times New Roman" w:hAnsi="Times New Roman"/>
          <w:b w:val="0"/>
          <w:sz w:val="23"/>
        </w:rPr>
        <w:t>4.5 Evaluation Procedure</w:t>
        <w:tab/>
        <w:t>24</w:t>
      </w:r>
    </w:p>
    <w:p>
      <w:pPr>
        <w:spacing w:after="160" w:before="80" w:line="360" w:lineRule="auto"/>
        <w:ind w:left="0"/>
        <w:jc w:val="both"/>
        <w:tabs>
          <w:tab w:val="right" w:leader="dot" w:pos="8640"/>
        </w:tabs>
      </w:pPr>
      <w:r>
        <w:rPr>
          <w:rFonts w:ascii="Times New Roman" w:hAnsi="Times New Roman"/>
          <w:b/>
          <w:sz w:val="24"/>
        </w:rPr>
        <w:t>Chapter 5: Results and Discussion</w:t>
        <w:tab/>
        <w:t>26</w:t>
      </w:r>
    </w:p>
    <w:p>
      <w:pPr>
        <w:spacing w:after="80" w:before="0" w:line="360" w:lineRule="auto"/>
        <w:ind w:left="432"/>
        <w:jc w:val="both"/>
        <w:tabs>
          <w:tab w:val="right" w:leader="dot" w:pos="8640"/>
        </w:tabs>
      </w:pPr>
      <w:r>
        <w:rPr>
          <w:rFonts w:ascii="Times New Roman" w:hAnsi="Times New Roman"/>
          <w:b w:val="0"/>
          <w:sz w:val="23"/>
        </w:rPr>
        <w:t>5.1 Evaluation Overview</w:t>
        <w:tab/>
        <w:t>26</w:t>
      </w:r>
    </w:p>
    <w:p>
      <w:pPr>
        <w:spacing w:after="80" w:before="0" w:line="360" w:lineRule="auto"/>
        <w:ind w:left="432"/>
        <w:jc w:val="both"/>
        <w:tabs>
          <w:tab w:val="right" w:leader="dot" w:pos="8640"/>
        </w:tabs>
      </w:pPr>
      <w:r>
        <w:rPr>
          <w:rFonts w:ascii="Times New Roman" w:hAnsi="Times New Roman"/>
          <w:b w:val="0"/>
          <w:sz w:val="23"/>
        </w:rPr>
        <w:t>5.2 Main Result Summary</w:t>
        <w:tab/>
        <w:t>26</w:t>
      </w:r>
    </w:p>
    <w:p>
      <w:pPr>
        <w:spacing w:after="80" w:before="0" w:line="360" w:lineRule="auto"/>
        <w:ind w:left="432"/>
        <w:jc w:val="both"/>
        <w:tabs>
          <w:tab w:val="right" w:leader="dot" w:pos="8640"/>
        </w:tabs>
      </w:pPr>
      <w:r>
        <w:rPr>
          <w:rFonts w:ascii="Times New Roman" w:hAnsi="Times New Roman"/>
          <w:b w:val="0"/>
          <w:sz w:val="23"/>
        </w:rPr>
        <w:t>5.3 SQL Safety</w:t>
        <w:tab/>
        <w:t>27</w:t>
      </w:r>
    </w:p>
    <w:p>
      <w:pPr>
        <w:spacing w:after="80" w:before="0" w:line="360" w:lineRule="auto"/>
        <w:ind w:left="432"/>
        <w:jc w:val="both"/>
        <w:tabs>
          <w:tab w:val="right" w:leader="dot" w:pos="8640"/>
        </w:tabs>
      </w:pPr>
      <w:r>
        <w:rPr>
          <w:rFonts w:ascii="Times New Roman" w:hAnsi="Times New Roman"/>
          <w:b w:val="0"/>
          <w:sz w:val="23"/>
        </w:rPr>
        <w:t>5.4 True Database Execution Validity</w:t>
        <w:tab/>
        <w:t>28</w:t>
      </w:r>
    </w:p>
    <w:p>
      <w:pPr>
        <w:spacing w:after="80" w:before="0" w:line="360" w:lineRule="auto"/>
        <w:ind w:left="432"/>
        <w:jc w:val="both"/>
        <w:tabs>
          <w:tab w:val="right" w:leader="dot" w:pos="8640"/>
        </w:tabs>
      </w:pPr>
      <w:r>
        <w:rPr>
          <w:rFonts w:ascii="Times New Roman" w:hAnsi="Times New Roman"/>
          <w:b w:val="0"/>
          <w:sz w:val="23"/>
        </w:rPr>
        <w:t>5.5 Execution Failure Analysis</w:t>
        <w:tab/>
        <w:t>28</w:t>
      </w:r>
    </w:p>
    <w:p>
      <w:pPr>
        <w:spacing w:after="80" w:before="0" w:line="360" w:lineRule="auto"/>
        <w:ind w:left="432"/>
        <w:jc w:val="both"/>
        <w:tabs>
          <w:tab w:val="right" w:leader="dot" w:pos="8640"/>
        </w:tabs>
      </w:pPr>
      <w:r>
        <w:rPr>
          <w:rFonts w:ascii="Times New Roman" w:hAnsi="Times New Roman"/>
          <w:b w:val="0"/>
          <w:sz w:val="23"/>
        </w:rPr>
        <w:t>5.6 Semantic Correctness and Scope Handling</w:t>
        <w:tab/>
        <w:t>29</w:t>
      </w:r>
    </w:p>
    <w:p>
      <w:pPr>
        <w:spacing w:after="80" w:before="0" w:line="360" w:lineRule="auto"/>
        <w:ind w:left="432"/>
        <w:jc w:val="both"/>
        <w:tabs>
          <w:tab w:val="right" w:leader="dot" w:pos="8640"/>
        </w:tabs>
      </w:pPr>
      <w:r>
        <w:rPr>
          <w:rFonts w:ascii="Times New Roman" w:hAnsi="Times New Roman"/>
          <w:b w:val="0"/>
          <w:sz w:val="23"/>
        </w:rPr>
        <w:t>5.7 Baseline and Runtime Analysis</w:t>
        <w:tab/>
        <w:t>30</w:t>
      </w:r>
    </w:p>
    <w:p>
      <w:pPr>
        <w:spacing w:after="80" w:before="0" w:line="360" w:lineRule="auto"/>
        <w:ind w:left="432"/>
        <w:jc w:val="both"/>
        <w:tabs>
          <w:tab w:val="right" w:leader="dot" w:pos="8640"/>
        </w:tabs>
      </w:pPr>
      <w:r>
        <w:rPr>
          <w:rFonts w:ascii="Times New Roman" w:hAnsi="Times New Roman"/>
          <w:b w:val="0"/>
          <w:sz w:val="23"/>
        </w:rPr>
        <w:t>5.8 Comparative Discussion and Robustness</w:t>
        <w:tab/>
        <w:t>31</w:t>
      </w:r>
    </w:p>
    <w:p>
      <w:pPr>
        <w:spacing w:after="80" w:before="0" w:line="360" w:lineRule="auto"/>
        <w:ind w:left="432"/>
        <w:jc w:val="both"/>
        <w:tabs>
          <w:tab w:val="right" w:leader="dot" w:pos="8640"/>
        </w:tabs>
      </w:pPr>
      <w:r>
        <w:rPr>
          <w:rFonts w:ascii="Times New Roman" w:hAnsi="Times New Roman"/>
          <w:b w:val="0"/>
          <w:sz w:val="23"/>
        </w:rPr>
        <w:t>5.9 Abstention-Aware Evaluation</w:t>
        <w:tab/>
        <w:t>32</w:t>
      </w:r>
    </w:p>
    <w:p>
      <w:pPr>
        <w:spacing w:after="80" w:before="0" w:line="360" w:lineRule="auto"/>
        <w:ind w:left="432"/>
        <w:jc w:val="both"/>
        <w:tabs>
          <w:tab w:val="right" w:leader="dot" w:pos="8640"/>
        </w:tabs>
      </w:pPr>
      <w:r>
        <w:rPr>
          <w:rFonts w:ascii="Times New Roman" w:hAnsi="Times New Roman"/>
          <w:b w:val="0"/>
          <w:sz w:val="23"/>
        </w:rPr>
        <w:t>5.10 Coverage Against the Platform's Native Report Suite</w:t>
        <w:tab/>
        <w:t>34</w:t>
      </w:r>
    </w:p>
    <w:p>
      <w:pPr>
        <w:spacing w:after="160" w:before="80" w:line="360" w:lineRule="auto"/>
        <w:ind w:left="0"/>
        <w:jc w:val="both"/>
        <w:tabs>
          <w:tab w:val="right" w:leader="dot" w:pos="8640"/>
        </w:tabs>
      </w:pPr>
      <w:r>
        <w:rPr>
          <w:rFonts w:ascii="Times New Roman" w:hAnsi="Times New Roman"/>
          <w:b/>
          <w:sz w:val="24"/>
        </w:rPr>
        <w:t>Chapter 6: Limitations and Future Work</w:t>
        <w:tab/>
        <w:t>36</w:t>
      </w:r>
    </w:p>
    <w:p>
      <w:pPr>
        <w:spacing w:after="160" w:before="80" w:line="360" w:lineRule="auto"/>
        <w:ind w:left="0"/>
        <w:jc w:val="both"/>
        <w:tabs>
          <w:tab w:val="right" w:leader="dot" w:pos="8640"/>
        </w:tabs>
      </w:pPr>
      <w:r>
        <w:rPr>
          <w:rFonts w:ascii="Times New Roman" w:hAnsi="Times New Roman"/>
          <w:b/>
          <w:sz w:val="24"/>
        </w:rPr>
        <w:t>Chapter 7: Conclusion</w:t>
        <w:tab/>
        <w:t>37</w:t>
      </w:r>
    </w:p>
    <w:p>
      <w:pPr>
        <w:spacing w:after="160" w:before="80" w:line="360" w:lineRule="auto"/>
        <w:ind w:left="0"/>
        <w:jc w:val="both"/>
        <w:tabs>
          <w:tab w:val="right" w:leader="dot" w:pos="8640"/>
        </w:tabs>
      </w:pPr>
      <w:r>
        <w:rPr>
          <w:rFonts w:ascii="Times New Roman" w:hAnsi="Times New Roman"/>
          <w:b/>
          <w:sz w:val="24"/>
        </w:rPr>
        <w:t>References</w:t>
        <w:tab/>
        <w:t>38</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Benchmark pattern classification</w:t>
        <w:tab/>
        <w:t>10</w:t>
      </w:r>
    </w:p>
    <w:p>
      <w:pPr>
        <w:spacing w:after="80" w:before="0" w:line="360" w:lineRule="auto"/>
        <w:jc w:val="both"/>
        <w:tabs>
          <w:tab w:val="right" w:leader="dot" w:pos="8640"/>
        </w:tabs>
      </w:pPr>
      <w:r>
        <w:rPr>
          <w:rFonts w:ascii="Times New Roman" w:hAnsi="Times New Roman"/>
          <w:sz w:val="24"/>
        </w:rPr>
        <w:t>Figure 3: AEGIS architecture pipeline</w:t>
        <w:tab/>
        <w:t>14</w:t>
      </w:r>
    </w:p>
    <w:p>
      <w:pPr>
        <w:spacing w:after="80" w:before="0" w:line="360" w:lineRule="auto"/>
        <w:jc w:val="both"/>
        <w:tabs>
          <w:tab w:val="right" w:leader="dot" w:pos="8640"/>
        </w:tabs>
      </w:pPr>
      <w:r>
        <w:rPr>
          <w:rFonts w:ascii="Times New Roman" w:hAnsi="Times New Roman"/>
          <w:sz w:val="24"/>
        </w:rPr>
        <w:t>Figure 4: Semantic layer modularity</w:t>
        <w:tab/>
        <w:t>15</w:t>
      </w:r>
    </w:p>
    <w:p>
      <w:pPr>
        <w:spacing w:after="80" w:before="0" w:line="360" w:lineRule="auto"/>
        <w:jc w:val="both"/>
        <w:tabs>
          <w:tab w:val="right" w:leader="dot" w:pos="8640"/>
        </w:tabs>
      </w:pPr>
      <w:r>
        <w:rPr>
          <w:rFonts w:ascii="Times New Roman" w:hAnsi="Times New Roman"/>
          <w:sz w:val="24"/>
        </w:rPr>
        <w:t>Figure 5: Vocabulary injection workflow</w:t>
        <w:tab/>
        <w:t>17</w:t>
      </w:r>
    </w:p>
    <w:p>
      <w:pPr>
        <w:spacing w:after="80" w:before="0" w:line="360" w:lineRule="auto"/>
        <w:jc w:val="both"/>
        <w:tabs>
          <w:tab w:val="right" w:leader="dot" w:pos="8640"/>
        </w:tabs>
      </w:pPr>
      <w:r>
        <w:rPr>
          <w:rFonts w:ascii="Times New Roman" w:hAnsi="Times New Roman"/>
          <w:sz w:val="24"/>
        </w:rPr>
        <w:t>Figure 6: AEGIS analytical patterns</w:t>
        <w:tab/>
        <w:t>18</w:t>
      </w:r>
    </w:p>
    <w:p>
      <w:pPr>
        <w:spacing w:after="80" w:before="0" w:line="360" w:lineRule="auto"/>
        <w:jc w:val="both"/>
        <w:tabs>
          <w:tab w:val="right" w:leader="dot" w:pos="8640"/>
        </w:tabs>
      </w:pPr>
      <w:r>
        <w:rPr>
          <w:rFonts w:ascii="Times New Roman" w:hAnsi="Times New Roman"/>
          <w:sz w:val="24"/>
        </w:rPr>
        <w:t>Figure 7: Two-layer SQL safety defence</w:t>
        <w:tab/>
        <w:t>19</w:t>
      </w:r>
    </w:p>
    <w:p>
      <w:pPr>
        <w:spacing w:after="80" w:before="0" w:line="360" w:lineRule="auto"/>
        <w:jc w:val="both"/>
        <w:tabs>
          <w:tab w:val="right" w:leader="dot" w:pos="8640"/>
        </w:tabs>
      </w:pPr>
      <w:r>
        <w:rPr>
          <w:rFonts w:ascii="Times New Roman" w:hAnsi="Times New Roman"/>
          <w:sz w:val="24"/>
        </w:rPr>
        <w:t>Figure 8: Widget lifecycle and refresh model</w:t>
        <w:tab/>
        <w:t>21</w:t>
      </w:r>
    </w:p>
    <w:p>
      <w:pPr>
        <w:spacing w:after="80" w:before="0" w:line="360" w:lineRule="auto"/>
        <w:jc w:val="both"/>
        <w:tabs>
          <w:tab w:val="right" w:leader="dot" w:pos="8640"/>
        </w:tabs>
      </w:pPr>
      <w:r>
        <w:rPr>
          <w:rFonts w:ascii="Times New Roman" w:hAnsi="Times New Roman"/>
          <w:sz w:val="24"/>
        </w:rPr>
        <w:t>Figure 9: Safety and execution-validity comparison</w:t>
        <w:tab/>
        <w:t>28</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1: Comparative summary of related systems</w:t>
        <w:tab/>
        <w:t>7</w:t>
      </w:r>
    </w:p>
    <w:p>
      <w:pPr>
        <w:spacing w:after="80" w:before="0" w:line="360" w:lineRule="auto"/>
        <w:jc w:val="both"/>
        <w:tabs>
          <w:tab w:val="right" w:leader="dot" w:pos="8640"/>
        </w:tabs>
      </w:pPr>
      <w:r>
        <w:rPr>
          <w:rFonts w:ascii="Times New Roman" w:hAnsi="Times New Roman"/>
          <w:sz w:val="24"/>
        </w:rPr>
        <w:t>Table 3.1: Benchmark pattern classification</w:t>
        <w:tab/>
        <w:t>9</w:t>
      </w:r>
    </w:p>
    <w:p>
      <w:pPr>
        <w:spacing w:after="80" w:before="0" w:line="360" w:lineRule="auto"/>
        <w:jc w:val="both"/>
        <w:tabs>
          <w:tab w:val="right" w:leader="dot" w:pos="8640"/>
        </w:tabs>
      </w:pPr>
      <w:r>
        <w:rPr>
          <w:rFonts w:ascii="Times New Roman" w:hAnsi="Times New Roman"/>
          <w:sz w:val="24"/>
        </w:rPr>
        <w:t>Table 3.2: Semantic layer object model</w:t>
        <w:tab/>
        <w:t>15</w:t>
      </w:r>
    </w:p>
    <w:p>
      <w:pPr>
        <w:spacing w:after="80" w:before="0" w:line="360" w:lineRule="auto"/>
        <w:jc w:val="both"/>
        <w:tabs>
          <w:tab w:val="right" w:leader="dot" w:pos="8640"/>
        </w:tabs>
      </w:pPr>
      <w:r>
        <w:rPr>
          <w:rFonts w:ascii="Times New Roman" w:hAnsi="Times New Roman"/>
          <w:sz w:val="24"/>
        </w:rPr>
        <w:t>Table 3.3: AEGIS analytical patterns</w:t>
        <w:tab/>
        <w:t>18</w:t>
      </w:r>
    </w:p>
    <w:p>
      <w:pPr>
        <w:spacing w:after="80" w:before="0" w:line="360" w:lineRule="auto"/>
        <w:jc w:val="both"/>
        <w:tabs>
          <w:tab w:val="right" w:leader="dot" w:pos="8640"/>
        </w:tabs>
      </w:pPr>
      <w:r>
        <w:rPr>
          <w:rFonts w:ascii="Times New Roman" w:hAnsi="Times New Roman"/>
          <w:sz w:val="24"/>
        </w:rPr>
        <w:t>Table 3.4: Visualization selector mapping</w:t>
        <w:tab/>
        <w:t>19</w:t>
      </w:r>
    </w:p>
    <w:p>
      <w:pPr>
        <w:spacing w:after="80" w:before="0" w:line="360" w:lineRule="auto"/>
        <w:jc w:val="both"/>
        <w:tabs>
          <w:tab w:val="right" w:leader="dot" w:pos="8640"/>
        </w:tabs>
      </w:pPr>
      <w:r>
        <w:rPr>
          <w:rFonts w:ascii="Times New Roman" w:hAnsi="Times New Roman"/>
          <w:sz w:val="24"/>
        </w:rPr>
        <w:t>Table 4.1: Experimental setup</w:t>
        <w:tab/>
        <w:t>23</w:t>
      </w:r>
    </w:p>
    <w:p>
      <w:pPr>
        <w:spacing w:after="80" w:before="0" w:line="360" w:lineRule="auto"/>
        <w:jc w:val="both"/>
        <w:tabs>
          <w:tab w:val="right" w:leader="dot" w:pos="8640"/>
        </w:tabs>
      </w:pPr>
      <w:r>
        <w:rPr>
          <w:rFonts w:ascii="Times New Roman" w:hAnsi="Times New Roman"/>
          <w:sz w:val="24"/>
        </w:rPr>
        <w:t>Table 5.1: Evaluation benchmark status</w:t>
        <w:tab/>
        <w:t>26</w:t>
      </w:r>
    </w:p>
    <w:p>
      <w:pPr>
        <w:spacing w:after="80" w:before="0" w:line="360" w:lineRule="auto"/>
        <w:jc w:val="both"/>
        <w:tabs>
          <w:tab w:val="right" w:leader="dot" w:pos="8640"/>
        </w:tabs>
      </w:pPr>
      <w:r>
        <w:rPr>
          <w:rFonts w:ascii="Times New Roman" w:hAnsi="Times New Roman"/>
          <w:sz w:val="24"/>
        </w:rPr>
        <w:t>Table 5.2: Main evaluation result summary</w:t>
        <w:tab/>
        <w:t>27</w:t>
      </w:r>
    </w:p>
    <w:p>
      <w:pPr>
        <w:spacing w:after="80" w:before="0" w:line="360" w:lineRule="auto"/>
        <w:jc w:val="both"/>
        <w:tabs>
          <w:tab w:val="right" w:leader="dot" w:pos="8640"/>
        </w:tabs>
      </w:pPr>
      <w:r>
        <w:rPr>
          <w:rFonts w:ascii="Times New Roman" w:hAnsi="Times New Roman"/>
          <w:sz w:val="24"/>
        </w:rPr>
        <w:t>Table 5.3: SQL safety</w:t>
        <w:tab/>
        <w:t>27</w:t>
      </w:r>
    </w:p>
    <w:p>
      <w:pPr>
        <w:spacing w:after="80" w:before="0" w:line="360" w:lineRule="auto"/>
        <w:jc w:val="both"/>
        <w:tabs>
          <w:tab w:val="right" w:leader="dot" w:pos="8640"/>
        </w:tabs>
      </w:pPr>
      <w:r>
        <w:rPr>
          <w:rFonts w:ascii="Times New Roman" w:hAnsi="Times New Roman"/>
          <w:sz w:val="24"/>
        </w:rPr>
        <w:t>Table 5.4: True execution validity</w:t>
        <w:tab/>
        <w:t>28</w:t>
      </w:r>
    </w:p>
    <w:p>
      <w:pPr>
        <w:spacing w:after="80" w:before="0" w:line="360" w:lineRule="auto"/>
        <w:jc w:val="both"/>
        <w:tabs>
          <w:tab w:val="right" w:leader="dot" w:pos="8640"/>
        </w:tabs>
      </w:pPr>
      <w:r>
        <w:rPr>
          <w:rFonts w:ascii="Times New Roman" w:hAnsi="Times New Roman"/>
          <w:sz w:val="24"/>
        </w:rPr>
        <w:t>Table 5.5: True-execution failure analysis</w:t>
        <w:tab/>
        <w:t>29</w:t>
      </w:r>
    </w:p>
    <w:p>
      <w:pPr>
        <w:spacing w:after="80" w:before="0" w:line="360" w:lineRule="auto"/>
        <w:jc w:val="both"/>
        <w:tabs>
          <w:tab w:val="right" w:leader="dot" w:pos="8640"/>
        </w:tabs>
      </w:pPr>
      <w:r>
        <w:rPr>
          <w:rFonts w:ascii="Times New Roman" w:hAnsi="Times New Roman"/>
          <w:sz w:val="24"/>
        </w:rPr>
        <w:t>Table 5.6: Semantic-correctness annotation summary</w:t>
        <w:tab/>
        <w:t>29</w:t>
      </w:r>
    </w:p>
    <w:p>
      <w:pPr>
        <w:spacing w:after="80" w:before="0" w:line="360" w:lineRule="auto"/>
        <w:jc w:val="both"/>
        <w:tabs>
          <w:tab w:val="right" w:leader="dot" w:pos="8640"/>
        </w:tabs>
      </w:pPr>
      <w:r>
        <w:rPr>
          <w:rFonts w:ascii="Times New Roman" w:hAnsi="Times New Roman"/>
          <w:sz w:val="24"/>
        </w:rPr>
        <w:t>Table 5.7: Completed baseline comparison</w:t>
        <w:tab/>
        <w:t>30</w:t>
      </w:r>
    </w:p>
    <w:p>
      <w:pPr>
        <w:spacing w:after="80" w:before="0" w:line="360" w:lineRule="auto"/>
        <w:jc w:val="both"/>
        <w:tabs>
          <w:tab w:val="right" w:leader="dot" w:pos="8640"/>
        </w:tabs>
      </w:pPr>
      <w:r>
        <w:rPr>
          <w:rFonts w:ascii="Times New Roman" w:hAnsi="Times New Roman"/>
          <w:sz w:val="24"/>
        </w:rPr>
        <w:t>Table 5.8: Runtime evidence</w:t>
        <w:tab/>
        <w:t>30</w:t>
      </w:r>
    </w:p>
    <w:p>
      <w:pPr>
        <w:spacing w:after="80" w:before="0" w:line="360" w:lineRule="auto"/>
        <w:jc w:val="both"/>
        <w:tabs>
          <w:tab w:val="right" w:leader="dot" w:pos="8640"/>
        </w:tabs>
      </w:pPr>
      <w:r>
        <w:rPr>
          <w:rFonts w:ascii="Times New Roman" w:hAnsi="Times New Roman"/>
          <w:sz w:val="24"/>
        </w:rPr>
        <w:t>Table 5.9: Structural comparison</w:t>
        <w:tab/>
        <w:t>31</w:t>
      </w:r>
    </w:p>
    <w:p>
      <w:pPr>
        <w:spacing w:after="80" w:before="0" w:line="360" w:lineRule="auto"/>
        <w:jc w:val="both"/>
        <w:tabs>
          <w:tab w:val="right" w:leader="dot" w:pos="8640"/>
        </w:tabs>
      </w:pPr>
      <w:r>
        <w:rPr>
          <w:rFonts w:ascii="Times New Roman" w:hAnsi="Times New Roman"/>
          <w:sz w:val="24"/>
        </w:rPr>
        <w:t>Table 5.10: Abstention-aware evaluation metrics</w:t>
        <w:tab/>
        <w:t>32</w:t>
      </w:r>
    </w:p>
    <w:p>
      <w:pPr>
        <w:spacing w:after="80" w:before="0" w:line="360" w:lineRule="auto"/>
        <w:jc w:val="both"/>
        <w:tabs>
          <w:tab w:val="right" w:leader="dot" w:pos="8640"/>
        </w:tabs>
      </w:pPr>
      <w:r>
        <w:rPr>
          <w:rFonts w:ascii="Times New Roman" w:hAnsi="Times New Roman"/>
          <w:sz w:val="24"/>
        </w:rPr>
        <w:t>Table 5.11: False-abstention improvement trajectory</w:t>
        <w:tab/>
        <w:t>33</w:t>
      </w:r>
    </w:p>
    <w:p>
      <w:pPr>
        <w:spacing w:after="80" w:before="0" w:line="360" w:lineRule="auto"/>
        <w:jc w:val="both"/>
        <w:tabs>
          <w:tab w:val="right" w:leader="dot" w:pos="8640"/>
        </w:tabs>
      </w:pPr>
      <w:r>
        <w:rPr>
          <w:rFonts w:ascii="Times New Roman" w:hAnsi="Times New Roman"/>
          <w:sz w:val="24"/>
        </w:rPr>
        <w:t>Table 5.12: Coverage of nopCommerce's standard admin reports</w:t>
        <w:tab/>
        <w:t>34</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"which categories have the highest refund rates this month?" and get a correct, visual answer without writing SQL. Researchers have made good progress here through benchmarks such as Spider [1] and BIRD [2]. But there is still a gap between benchmark results and production-ready deployment.</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Groq-hosted Llama 3.1 8B, OpenRouter, a local Ollama instance, or any endpoint compatible with the /v1/chat/completions interface. Because the LLM's only contract with the rest of the system is to produce a typed JSON intent object, model upgrades improve quality automatically without changing the compiler or safety infrastructure. This is model independence by design, not an implementation accident. It describes what the architecture supports, not what the evaluation in Chapter 5 ran on: those runs used a custom OpenAI-compatible gateway configured with the model identifier cgpt-web/gpt-5.5, not Groq and not Llama 3.1 8B.</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The objective of this thesis is to design and evaluate AEGIS, a constraint-based architecture that lets an LLM understand reporting requests without allowing it to generate executable SQL. Query construction, validation, visualization, and widget persistence are handled by deterministic system components.</w:t>
      </w:r>
    </w:p>
    <w:p>
      <w:pPr>
        <w:spacing w:after="120" w:before="0" w:line="360" w:lineRule="auto"/>
        <w:jc w:val="both"/>
      </w:pPr>
      <w:r>
        <w:rPr>
          <w:rFonts w:ascii="Times New Roman" w:hAnsi="Times New Roman"/>
          <w:b w:val="0"/>
          <w:i w:val="0"/>
          <w:sz w:val="24"/>
        </w:rPr>
        <w:t>The specific objectives and contributions are:</w:t>
      </w:r>
    </w:p>
    <w:p>
      <w:pPr>
        <w:pStyle w:val="ListNumber"/>
        <w:spacing w:after="80" w:line="360" w:lineRule="auto"/>
      </w:pPr>
      <w:r>
        <w:rPr>
          <w:rFonts w:ascii="Times New Roman" w:hAnsi="Times New Roman"/>
          <w:sz w:val="24"/>
        </w:rPr>
        <w:t>A natural-language analytics architecture where the LLM is structurally prevented from writing executable SQL.</w:t>
      </w:r>
    </w:p>
    <w:p>
      <w:pPr>
        <w:pStyle w:val="ListNumber"/>
        <w:spacing w:after="80" w:line="360" w:lineRule="auto"/>
      </w:pPr>
      <w:r>
        <w:rPr>
          <w:rFonts w:ascii="Times New Roman" w:hAnsi="Times New Roman"/>
          <w:sz w:val="24"/>
        </w:rPr>
        <w:t>A closed semantic layer that maps business questions to approved metrics, dimensions, filters, analytical patterns, and join paths.</w:t>
      </w:r>
    </w:p>
    <w:p>
      <w:pPr>
        <w:pStyle w:val="ListNumber"/>
        <w:spacing w:after="80" w:line="360" w:lineRule="auto"/>
      </w:pPr>
      <w:r>
        <w:rPr>
          <w:rFonts w:ascii="Times New Roman" w:hAnsi="Times New Roman"/>
          <w:sz w:val="24"/>
        </w:rPr>
        <w:t>A deterministic query compiler that builds SQL from approved templates instead of model-written SQL.</w:t>
      </w:r>
    </w:p>
    <w:p>
      <w:pPr>
        <w:pStyle w:val="ListNumber"/>
        <w:spacing w:after="80" w:line="360" w:lineRule="auto"/>
      </w:pPr>
      <w:r>
        <w:rPr>
          <w:rFonts w:ascii="Times New Roman" w:hAnsi="Times New Roman"/>
          <w:sz w:val="24"/>
        </w:rPr>
        <w:t>A two-layer SQL safety mechanism combining structural prevention with post-compilation validation.</w:t>
      </w:r>
    </w:p>
    <w:p>
      <w:pPr>
        <w:pStyle w:val="ListNumber"/>
        <w:spacing w:after="80" w:line="360" w:lineRule="auto"/>
      </w:pPr>
      <w:r>
        <w:rPr>
          <w:rFonts w:ascii="Times New Roman" w:hAnsi="Times New Roman"/>
          <w:sz w:val="24"/>
        </w:rPr>
        <w:t>A widget-oriented workflow that turns natural-language answers into reusable dashboard artifacts.</w:t>
      </w:r>
    </w:p>
    <w:p>
      <w:pPr>
        <w:pStyle w:val="ListNumber"/>
        <w:spacing w:after="80" w:line="360" w:lineRule="auto"/>
      </w:pPr>
      <w:r>
        <w:rPr>
          <w:rFonts w:ascii="Times New Roman" w:hAnsi="Times New Roman"/>
          <w:sz w:val="24"/>
        </w:rPr>
        <w:t>Benchmark evidence from 107 mixed requests showing SQL safety and true execution validity, while keeping semantic correctness as a separate metric.</w:t>
      </w:r>
    </w:p>
    <w:p>
      <w:pPr>
        <w:pStyle w:val="ListNumber"/>
        <w:spacing w:after="80" w:line="360" w:lineRule="auto"/>
      </w:pPr>
      <w:r>
        <w:rPr>
          <w:rFonts w:ascii="Times New Roman" w:hAnsi="Times New Roman"/>
          <w:sz w:val="24"/>
        </w:rPr>
        <w:t>A future cross-schema evaluation objective to test reuse of the same compiler and safety architecture with another e-commerce schema.</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permission-controlled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permission-controlled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a Design Science Research paradigm because the main contribution is a built and evaluated artifact: the AEGIS system. The paradigm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structure: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The 107-request benchmark and true database execution checks evaluate safety, execution validity, and remaining correctness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857500"/>
            <wp:docPr id="3" name="Picture 3"/>
            <wp:cNvGraphicFramePr>
              <a:graphicFrameLocks noChangeAspect="1"/>
            </wp:cNvGraphicFramePr>
            <a:graphic>
              <a:graphicData uri="http://schemas.openxmlformats.org/drawingml/2006/picture">
                <pic:pic>
                  <pic:nvPicPr>
                    <pic:cNvPr id="0" name="figure-01-dsr-workflow.png"/>
                    <pic:cNvPicPr/>
                  </pic:nvPicPr>
                  <pic:blipFill>
                    <a:blip r:embed="rId12"/>
                    <a:stretch>
                      <a:fillRect/>
                    </a:stretch>
                  </pic:blipFill>
                  <pic:spPr>
                    <a:xfrm>
                      <a:off x="0" y="0"/>
                      <a:ext cx="5715000" cy="2857500"/>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was derived from a design-time review of representative e-commerce and administrative reporting requests while designing AEGIS. The purpose of this review was to identify recurring business-question shapes that the system should support, such as KPI summaries, rankings, trends, comparisons, exception reports, and reusable tabular views.</w:t>
      </w:r>
    </w:p>
    <w:p>
      <w:pPr>
        <w:spacing w:after="200" w:before="0" w:line="360" w:lineRule="auto"/>
        <w:jc w:val="both"/>
      </w:pPr>
      <w:r>
        <w:rPr>
          <w:rFonts w:ascii="Times New Roman" w:hAnsi="Times New Roman"/>
          <w:b w:val="0"/>
          <w:i w:val="0"/>
          <w:sz w:val="24"/>
        </w:rPr>
        <w:t>Table 3.1 summarizes how the 107 custom benchmark requests are distributed across these reporting patterns. The first 100 requests represent answerable analytical questions, while the remaining seven mixed requests test harder boundary behavior. This classification is used as a design and evaluation aid, not as an independently validated user study.</w:t>
      </w:r>
    </w:p>
    <w:p>
      <w:pPr>
        <w:spacing w:before="200" w:after="80"/>
        <w:jc w:val="center"/>
        <w:keepNext/>
      </w:pPr>
      <w:r>
        <w:rPr>
          <w:rFonts w:ascii="Times New Roman" w:hAnsi="Times New Roman"/>
          <w:b/>
          <w:sz w:val="22"/>
        </w:rPr>
        <w:t>Table 3.1: Benchmark pattern classification.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512"/>
        <w:gridCol w:w="1080"/>
        <w:gridCol w:w="367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Count (of 107)</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Share</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26.2%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Orders placed today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19.6%</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Top refund categories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16.8%</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Mobile vs desktop AOV</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9</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8.4%</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Category overview</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First-time vs returning</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Cart abandonment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Margin correlation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Additional mixed requests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7</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6.5%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Boundary-style requests</w:t>
            </w:r>
          </w:p>
        </w:tc>
      </w:tr>
    </w:tbl>
    <w:p>
      <w:pPr>
        <w:spacing w:after="80"/>
      </w:pPr>
    </w:p>
    <w:p>
      <w:pPr>
        <w:spacing w:before="160" w:after="80"/>
        <w:jc w:val="center"/>
        <w:keepNext/>
      </w:pPr>
      <w:r>
        <w:drawing>
          <wp:inline xmlns:a="http://schemas.openxmlformats.org/drawingml/2006/main" xmlns:pic="http://schemas.openxmlformats.org/drawingml/2006/picture">
            <wp:extent cx="5440680" cy="3173730"/>
            <wp:docPr id="4" name="Picture 4"/>
            <wp:cNvGraphicFramePr>
              <a:graphicFrameLocks noChangeAspect="1"/>
            </wp:cNvGraphicFramePr>
            <a:graphic>
              <a:graphicData uri="http://schemas.openxmlformats.org/drawingml/2006/picture">
                <pic:pic>
                  <pic:nvPicPr>
                    <pic:cNvPr id="0" name="figure-02-pattern-distribution.png"/>
                    <pic:cNvPicPr/>
                  </pic:nvPicPr>
                  <pic:blipFill>
                    <a:blip r:embed="rId13"/>
                    <a:stretch>
                      <a:fillRect/>
                    </a:stretch>
                  </pic:blipFill>
                  <pic:spPr>
                    <a:xfrm>
                      <a:off x="0" y="0"/>
                      <a:ext cx="5440680" cy="3173730"/>
                    </a:xfrm>
                    <a:prstGeom prst="rect"/>
                  </pic:spPr>
                </pic:pic>
              </a:graphicData>
            </a:graphic>
          </wp:inline>
        </w:drawing>
      </w:r>
    </w:p>
    <w:p>
      <w:pPr>
        <w:spacing w:before="80" w:after="280"/>
        <w:jc w:val="center"/>
      </w:pPr>
      <w:r>
        <w:rPr>
          <w:rFonts w:ascii="Times New Roman" w:hAnsi="Times New Roman"/>
          <w:b/>
          <w:sz w:val="21"/>
        </w:rPr>
        <w:t>Figure 2: Pattern classification of the answerable analytical benchmark subset</w:t>
      </w:r>
    </w:p>
    <w:p>
      <w:pPr>
        <w:spacing w:after="0" w:before="0" w:line="360" w:lineRule="auto"/>
        <w:jc w:val="both"/>
      </w:pPr>
      <w:r>
        <w:rPr>
          <w:rFonts w:ascii="Times New Roman" w:hAnsi="Times New Roman"/>
          <w:b w:val="0"/>
          <w:i w:val="0"/>
          <w:sz w:val="24"/>
        </w:rPr>
        <w:t>The classification shaped the methodology in three ways. First, the benchmark is concentrated around a small number of common reporting needs: KPI, Ranking, and Exception/Filter requests account for 67 of the 107 requests. Second, the requests use business terms rather than database column names, which supports the need for an explicit semantic layer. Third, many reporting needs are reusable with only a changed time window, filter, or segment, which supports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Coverage Validation: </w:t>
      </w:r>
      <w:r>
        <w:rPr>
          <w:rFonts w:ascii="Times New Roman" w:hAnsi="Times New Roman"/>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715000" cy="3917682"/>
            <wp:docPr id="5" name="Picture 5"/>
            <wp:cNvGraphicFramePr>
              <a:graphicFrameLocks noChangeAspect="1"/>
            </wp:cNvGraphicFramePr>
            <a:graphic>
              <a:graphicData uri="http://schemas.openxmlformats.org/drawingml/2006/picture">
                <pic:pic>
                  <pic:nvPicPr>
                    <pic:cNvPr id="0" name="mermaid-figure-03-architecture-pipeline.png"/>
                    <pic:cNvPicPr/>
                  </pic:nvPicPr>
                  <pic:blipFill>
                    <a:blip r:embed="rId14"/>
                    <a:stretch>
                      <a:fillRect/>
                    </a:stretch>
                  </pic:blipFill>
                  <pic:spPr>
                    <a:xfrm>
                      <a:off x="0" y="0"/>
                      <a:ext cx="5715000" cy="3917682"/>
                    </a:xfrm>
                    <a:prstGeom prst="rect"/>
                  </pic:spPr>
                </pic:pic>
              </a:graphicData>
            </a:graphic>
          </wp:inline>
        </w:drawing>
      </w:r>
    </w:p>
    <w:p>
      <w:pPr>
        <w:spacing w:before="80" w:after="280"/>
        <w:jc w:val="center"/>
      </w:pPr>
      <w:r>
        <w:rPr>
          <w:rFonts w:ascii="Times New Roman" w:hAnsi="Times New Roman"/>
          <w:b/>
          <w:sz w:val="21"/>
        </w:rPr>
        <w:t>Figure 3: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joins, and permissions are allowed to exist. A useful analogy is LEGO blocks rather than free-form clay: the semantic layer defines a finite set of composable building blocks. User questions are unlimited, but every answerable question is a composition of these blocks.</w:t>
      </w:r>
    </w:p>
    <w:p>
      <w:pPr>
        <w:spacing w:before="160" w:after="80"/>
        <w:jc w:val="center"/>
        <w:keepNext/>
      </w:pPr>
      <w:r>
        <w:drawing>
          <wp:inline xmlns:a="http://schemas.openxmlformats.org/drawingml/2006/main" xmlns:pic="http://schemas.openxmlformats.org/drawingml/2006/picture">
            <wp:extent cx="5715000" cy="2518375"/>
            <wp:docPr id="6" name="Picture 6"/>
            <wp:cNvGraphicFramePr>
              <a:graphicFrameLocks noChangeAspect="1"/>
            </wp:cNvGraphicFramePr>
            <a:graphic>
              <a:graphicData uri="http://schemas.openxmlformats.org/drawingml/2006/picture">
                <pic:pic>
                  <pic:nvPicPr>
                    <pic:cNvPr id="0" name="mermaid-figure-04-semantic-layer-modularity.png"/>
                    <pic:cNvPicPr/>
                  </pic:nvPicPr>
                  <pic:blipFill>
                    <a:blip r:embed="rId15"/>
                    <a:stretch>
                      <a:fillRect/>
                    </a:stretch>
                  </pic:blipFill>
                  <pic:spPr>
                    <a:xfrm>
                      <a:off x="0" y="0"/>
                      <a:ext cx="5715000" cy="2518375"/>
                    </a:xfrm>
                    <a:prstGeom prst="rect"/>
                  </pic:spPr>
                </pic:pic>
              </a:graphicData>
            </a:graphic>
          </wp:inline>
        </w:drawing>
      </w:r>
    </w:p>
    <w:p>
      <w:pPr>
        <w:spacing w:before="80" w:after="280"/>
        <w:jc w:val="center"/>
      </w:pPr>
      <w:r>
        <w:rPr>
          <w:rFonts w:ascii="Times New Roman" w:hAnsi="Times New Roman"/>
          <w:b/>
          <w:sz w:val="21"/>
        </w:rPr>
        <w:t>Figure 4: Semantic layer modularity - composable blocks vs. free-form SQL generation</w:t>
      </w:r>
    </w:p>
    <w:p>
      <w:pPr>
        <w:spacing w:before="200" w:after="80"/>
        <w:jc w:val="center"/>
        <w:keepNext/>
      </w:pPr>
      <w:r>
        <w:rPr>
          <w:rFonts w:ascii="Times New Roman" w:hAnsi="Times New Roman"/>
          <w:b/>
          <w:sz w:val="22"/>
        </w:rPr>
        <w:t>Table 3.2: Semantic layer object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Field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joins, visual default, security class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revenue = SUM(o.OrderTotal - o.RefundedAmount)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datatype, access scope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category = c.Name from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Filter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datatype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payment_status : o.PaymentStatusId = :val</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Time 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granularity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current_week : DATEADD(week, ...)</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source, target, ON clause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 to OrderItem to Product to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Pattern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required slots, SQL template, visualization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ranking: metric plus dimension maps to a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store_manager filtered by store location</w:t>
            </w:r>
          </w:p>
        </w:tc>
      </w:tr>
    </w:tbl>
    <w:p>
      <w:pPr>
        <w:spacing w:after="80"/>
      </w:pPr>
    </w:p>
    <w:p>
      <w:pPr>
        <w:spacing w:after="0" w:before="0" w:line="360" w:lineRule="auto"/>
        <w:jc w:val="both"/>
      </w:pPr>
      <w:r>
        <w:rPr>
          <w:rFonts w:ascii="Times New Roman" w:hAnsi="Times New Roman"/>
          <w:b w:val="0"/>
          <w:i w:val="0"/>
          <w:sz w:val="24"/>
        </w:rPr>
        <w:t>In the nopCommerce prototype, the semantic layer defines 15 metrics, 34 dimensions, and 11 join paths across 12 analytics-relevant tables. The full nopCommerce schema contains 126 tables; the remaining 114 (system, content-management, configuration, authentication, vendor, and promotions tables) are deliberately not represented in the semantic layer at all. No business analyst asks 'show me revenue by ScheduleTask,' and excluding these tables functions as an implicit table-level access control: even a crafted prompt that names a hidden system table directly is rejected at Stage 2, because the identifier simply does not exist in L.</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any downstream validation occurs, which is why Stage 1 can rely on a typed IntentObject rather than free-form text: malformed or off-schema output is rejected at the API boundary, before Stage 2 coverage validation ever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2834640" cy="4251960"/>
            <wp:docPr id="7" name="Picture 7"/>
            <wp:cNvGraphicFramePr>
              <a:graphicFrameLocks noChangeAspect="1"/>
            </wp:cNvGraphicFramePr>
            <a:graphic>
              <a:graphicData uri="http://schemas.openxmlformats.org/drawingml/2006/picture">
                <pic:pic>
                  <pic:nvPicPr>
                    <pic:cNvPr id="0" name="mermaid-figure-05-vocabulary-injection.png"/>
                    <pic:cNvPicPr/>
                  </pic:nvPicPr>
                  <pic:blipFill>
                    <a:blip r:embed="rId16"/>
                    <a:stretch>
                      <a:fillRect/>
                    </a:stretch>
                  </pic:blipFill>
                  <pic:spPr>
                    <a:xfrm>
                      <a:off x="0" y="0"/>
                      <a:ext cx="2834640" cy="4251960"/>
                    </a:xfrm>
                    <a:prstGeom prst="rect"/>
                  </pic:spPr>
                </pic:pic>
              </a:graphicData>
            </a:graphic>
          </wp:inline>
        </w:drawing>
      </w:r>
    </w:p>
    <w:p>
      <w:pPr>
        <w:spacing w:before="80" w:after="280"/>
        <w:jc w:val="center"/>
      </w:pPr>
      <w:r>
        <w:rPr>
          <w:rFonts w:ascii="Times New Roman" w:hAnsi="Times New Roman"/>
          <w:b/>
          <w:sz w:val="21"/>
        </w:rPr>
        <w:t>Figure 5: Vocabulary injection workflow</w:t>
      </w:r>
    </w:p>
    <w:p>
      <w:r>
        <w:br w:type="page"/>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w:t>
      </w:r>
    </w:p>
    <w:p>
      <w:pPr>
        <w:spacing w:before="160" w:after="80"/>
        <w:jc w:val="center"/>
        <w:keepNext/>
      </w:pPr>
      <w:r>
        <w:drawing>
          <wp:inline xmlns:a="http://schemas.openxmlformats.org/drawingml/2006/main" xmlns:pic="http://schemas.openxmlformats.org/drawingml/2006/picture">
            <wp:extent cx="5532120" cy="2937096"/>
            <wp:docPr id="8" name="Picture 8"/>
            <wp:cNvGraphicFramePr>
              <a:graphicFrameLocks noChangeAspect="1"/>
            </wp:cNvGraphicFramePr>
            <a:graphic>
              <a:graphicData uri="http://schemas.openxmlformats.org/drawingml/2006/picture">
                <pic:pic>
                  <pic:nvPicPr>
                    <pic:cNvPr id="0" name="mermaid-figure-06-pattern-taxonomy.png"/>
                    <pic:cNvPicPr/>
                  </pic:nvPicPr>
                  <pic:blipFill>
                    <a:blip r:embed="rId17"/>
                    <a:stretch>
                      <a:fillRect/>
                    </a:stretch>
                  </pic:blipFill>
                  <pic:spPr>
                    <a:xfrm>
                      <a:off x="0" y="0"/>
                      <a:ext cx="5532120" cy="2937096"/>
                    </a:xfrm>
                    <a:prstGeom prst="rect"/>
                  </pic:spPr>
                </pic:pic>
              </a:graphicData>
            </a:graphic>
          </wp:inline>
        </w:drawing>
      </w:r>
    </w:p>
    <w:p>
      <w:pPr>
        <w:spacing w:before="80" w:after="280"/>
        <w:jc w:val="center"/>
      </w:pPr>
      <w:r>
        <w:rPr>
          <w:rFonts w:ascii="Times New Roman" w:hAnsi="Times New Roman"/>
          <w:b/>
          <w:sz w:val="21"/>
        </w:rPr>
        <w:t>Figure 6: Taxonomy of the eleven AEGIS analytical patterns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3291840" cy="3331122"/>
            <wp:docPr id="9" name="Picture 9"/>
            <wp:cNvGraphicFramePr>
              <a:graphicFrameLocks noChangeAspect="1"/>
            </wp:cNvGraphicFramePr>
            <a:graphic>
              <a:graphicData uri="http://schemas.openxmlformats.org/drawingml/2006/picture">
                <pic:pic>
                  <pic:nvPicPr>
                    <pic:cNvPr id="0" name="mermaid-figure-07-sql-safety-defense.png"/>
                    <pic:cNvPicPr/>
                  </pic:nvPicPr>
                  <pic:blipFill>
                    <a:blip r:embed="rId18"/>
                    <a:stretch>
                      <a:fillRect/>
                    </a:stretch>
                  </pic:blipFill>
                  <pic:spPr>
                    <a:xfrm>
                      <a:off x="0" y="0"/>
                      <a:ext cx="3291840" cy="3331122"/>
                    </a:xfrm>
                    <a:prstGeom prst="rect"/>
                  </pic:spPr>
                </pic:pic>
              </a:graphicData>
            </a:graphic>
          </wp:inline>
        </w:drawing>
      </w:r>
    </w:p>
    <w:p>
      <w:pPr>
        <w:spacing w:before="80" w:after="280"/>
        <w:jc w:val="center"/>
      </w:pPr>
      <w:r>
        <w:rPr>
          <w:rFonts w:ascii="Times New Roman" w:hAnsi="Times New Roman"/>
          <w:b/>
          <w:sz w:val="21"/>
        </w:rPr>
        <w:t>Figure 7: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3200400" cy="7154821"/>
            <wp:docPr id="10" name="Picture 10"/>
            <wp:cNvGraphicFramePr>
              <a:graphicFrameLocks noChangeAspect="1"/>
            </wp:cNvGraphicFramePr>
            <a:graphic>
              <a:graphicData uri="http://schemas.openxmlformats.org/drawingml/2006/picture">
                <pic:pic>
                  <pic:nvPicPr>
                    <pic:cNvPr id="0" name="mermaid-figure-08-widget-lifecycle.png"/>
                    <pic:cNvPicPr/>
                  </pic:nvPicPr>
                  <pic:blipFill>
                    <a:blip r:embed="rId19"/>
                    <a:stretch>
                      <a:fillRect/>
                    </a:stretch>
                  </pic:blipFill>
                  <pic:spPr>
                    <a:xfrm>
                      <a:off x="0" y="0"/>
                      <a:ext cx="3200400" cy="7154821"/>
                    </a:xfrm>
                    <a:prstGeom prst="rect"/>
                  </pic:spPr>
                </pic:pic>
              </a:graphicData>
            </a:graphic>
          </wp:inline>
        </w:drawing>
      </w:r>
    </w:p>
    <w:p>
      <w:pPr>
        <w:spacing w:before="80" w:after="280"/>
        <w:jc w:val="center"/>
      </w:pPr>
      <w:r>
        <w:rPr>
          <w:rFonts w:ascii="Times New Roman" w:hAnsi="Times New Roman"/>
          <w:b/>
          <w:sz w:val="21"/>
        </w:rPr>
        <w:t>Figure 8: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(jQuery, Chart.js) and a Python FastAPI backend, targeting a production nopCommerce 4.70 schema (126 tables, 107 foreign key constraints). The implementation follows directly from the AEGIS architecture:</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A custom OpenAI-compatible gateway, not the Groq API, with structured JSON output enforcement. The runs behind Chapter 5's figures were configured with the model identifier cgpt-web/gpt-5.5; that configuration has since been changed to an alias, AI Web, which the gateway currently resolves to deepseek-v4-flash, since a gateway alias can be re-pointed to a different underlying model without notice. No Groq API key was configured for any reported run, and no reported figure came from Llama 3.1 8B, though the codebase retains a Groq provider profile as a genuinely supported backend. The system prompt is constructed dynamically by injecting the approved metric and dimension identifiers at startup.</w:t>
      </w:r>
    </w:p>
    <w:p>
      <w:pPr>
        <w:spacing w:after="80" w:line="360" w:lineRule="auto"/>
        <w:ind w:left="461" w:hanging="259"/>
      </w:pPr>
      <w:r>
        <w:rPr>
          <w:rFonts w:ascii="Times New Roman" w:hAnsi="Times New Roman"/>
          <w:sz w:val="24"/>
        </w:rPr>
        <w:t>•</w:t>
        <w:tab/>
      </w:r>
      <w:r>
        <w:rPr>
          <w:rFonts w:ascii="Times New Roman" w:hAnsi="Times New Roman"/>
          <w:b/>
          <w:sz w:val="24"/>
        </w:rPr>
        <w:t xml:space="preserve">Rate limiting: </w:t>
      </w:r>
      <w:r>
        <w:rPr>
          <w:rFonts w:ascii="Times New Roman" w:hAnsi="Times New Roman"/>
          <w:sz w:val="24"/>
        </w:rPr>
        <w:t>A provider-agnostic configuration module with a sliding-window rate limiter and a concurrency-safe asyncio.Lock, so the architecture is not tied to a specific LLM vendor's throughput characteristics.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containing 15 metrics, 34 dimensions, zero synonym entries, and 11 join paths across the 12 analytics-relevant tables represented in the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with breadth-first search join-path resolution over the 12-table join graph. A post-compilation _validate_sql_safety() routine checks 16 forbidden patterns before a query is allowed to execute.</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Python dictionaries implementing the visualization mapping, with the two post-hoc cardinality rules applied after the result set is known.</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SHA-256 plan-hash deduplication, with JSON file storage in the prototype, designed to be swapped for a relational store in a production deployment.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Coverage validator: </w:t>
      </w:r>
      <w:r>
        <w:rPr>
          <w:rFonts w:ascii="Times New Roman" w:hAnsi="Times New Roman"/>
          <w:sz w:val="24"/>
        </w:rPr>
        <w:t>A pre-compilation gate that rejects unknown metric or dimension terms with structured guidance listing the available identifiers.</w:t>
      </w:r>
    </w:p>
    <w:p>
      <w:pPr>
        <w:spacing w:after="80" w:line="360" w:lineRule="auto"/>
        <w:ind w:left="461" w:hanging="259"/>
      </w:pPr>
      <w:r>
        <w:rPr>
          <w:rFonts w:ascii="Times New Roman" w:hAnsi="Times New Roman"/>
          <w:sz w:val="24"/>
        </w:rPr>
        <w:t>•</w:t>
        <w:tab/>
      </w:r>
      <w:r>
        <w:rPr>
          <w:rFonts w:ascii="Times New Roman" w:hAnsi="Times New Roman"/>
          <w:b/>
          <w:sz w:val="24"/>
        </w:rPr>
        <w:t xml:space="preserve">Permission enforcement: </w:t>
      </w:r>
      <w:r>
        <w:rPr>
          <w:rFonts w:ascii="Times New Roman" w:hAnsi="Times New Roman"/>
          <w:sz w:val="24"/>
        </w:rPr>
        <w:t>A Permission Rewriter that appends role-based WHERE predicates for five roles: public, store_manager, regional_manager, read_only, and analyst.</w:t>
      </w:r>
    </w:p>
    <w:p>
      <w:pPr>
        <w:spacing w:before="320" w:after="160"/>
        <w:jc w:val="left"/>
      </w:pPr>
      <w:r>
        <w:rPr>
          <w:rFonts w:ascii="Times New Roman" w:hAnsi="Times New Roman"/>
          <w:b/>
          <w:sz w:val="28"/>
        </w:rPr>
        <w:t>4.2  Experimental Environment</w:t>
      </w:r>
    </w:p>
    <w:p>
      <w:pPr>
        <w:spacing w:after="160" w:before="0" w:line="360" w:lineRule="auto"/>
        <w:jc w:val="both"/>
      </w:pPr>
      <w:r>
        <w:rPr>
          <w:rFonts w:ascii="Times New Roman" w:hAnsi="Times New Roman"/>
          <w:b w:val="0"/>
          <w:i w:val="0"/>
          <w:sz w:val="24"/>
        </w:rPr>
        <w:t>The experimental setup used a containerized relational database and a seeded e-commerce dataset, summarized in Table 4.1.</w:t>
      </w:r>
    </w:p>
    <w:p>
      <w:pPr>
        <w:spacing w:before="200" w:after="80"/>
        <w:jc w:val="center"/>
        <w:keepNext/>
      </w:pPr>
      <w:r>
        <w:rPr>
          <w:rFonts w:ascii="Times New Roman" w:hAnsi="Times New Roman"/>
          <w:b/>
          <w:sz w:val="22"/>
        </w:rPr>
        <w:t>Table 4.1: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Docker container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AEGIS Truth Schema based on nopCommerce 4.70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Schema size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126 tables and 107 foreign keys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scale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1,200 customers, 2,500 orders, 6,320 order items, 1,492 shipments, and 17 products across 8 categories (counted from the loaded database; the "1,000 products across 50 categories" of earlier drafts is withdrawn)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 period</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spanning 2024 to 2026</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Mid-sized e-commerce analytics workload</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benchmark study. Its goal is to demonstrate that the AEGIS architecture achieves its stated safety and semantic-fidelity properties on representative real-world analytics queries, not to establish population-level accuracy claims. Standard text-to-SQL benchmarks such as Spider and BIRD do not evaluate adversarial safety or adherence to business vocabulary, which is why a domain-specific benchmark was necessary for this thesis.</w:t>
      </w:r>
    </w:p>
    <w:p>
      <w:pPr>
        <w:spacing w:after="200" w:before="0" w:line="360" w:lineRule="auto"/>
        <w:jc w:val="both"/>
      </w:pPr>
      <w:r>
        <w:rPr>
          <w:rFonts w:ascii="Times New Roman" w:hAnsi="Times New Roman"/>
          <w:b w:val="0"/>
          <w:i w:val="0"/>
          <w:sz w:val="24"/>
        </w:rPr>
        <w:t>A methodological caveat applies to every quantitative result reported in the experimental work and results discussion. All benchmark construction, execution, and measurement were carried out by the author as part of this thesis, using a self-built dataset and evaluation harness; none of it has been independently replicated by a third party, externally audited, or peer-reviewed. Therefore, the reported figures should be read as prototype evaluation results produced within this research, not as independently audited benchmark results. Where an annotation or classification step is discussed, it refers to the author's own research process rather than a third-party validation study.</w:t>
      </w:r>
    </w:p>
    <w:p>
      <w:pPr>
        <w:spacing w:after="0" w:before="0" w:line="360" w:lineRule="auto"/>
        <w:jc w:val="both"/>
      </w:pPr>
      <w:r>
        <w:rPr>
          <w:rFonts w:ascii="Times New Roman" w:hAnsi="Times New Roman"/>
          <w:b w:val="0"/>
          <w:i w:val="0"/>
          <w:sz w:val="24"/>
        </w:rPr>
        <w:t>A domain-specific benchmark of 107 natural-language reporting requests was built over the same production nopCommerce schema. The full question set and recorded pipeline outputs were used to check every reported metric. The benchmark mixes ordinary analytical requests with harder boundary cases in the same run; this thesis does not report those harder cases as a separate benchmark. Because the benchmark was constructed for the nopCommerce domain, accuracy and validity reported figures should be interpreted within that scope. The current artifact verifies SQL safety, true execution validity, a first-pass semantic-correctness annotation, runtime evidence, and completed baseline execution for the baselines retained in this thesis.</w:t>
      </w:r>
    </w:p>
    <w:p>
      <w:pPr>
        <w:spacing w:before="320" w:after="160"/>
        <w:jc w:val="left"/>
      </w:pPr>
      <w:r>
        <w:rPr>
          <w:rFonts w:ascii="Times New Roman" w:hAnsi="Times New Roman"/>
          <w:b/>
          <w:sz w:val="28"/>
        </w:rPr>
        <w:t>4.4  Baseline Systems</w:t>
      </w:r>
    </w:p>
    <w:p>
      <w:pPr>
        <w:spacing w:after="160" w:before="0" w:line="360" w:lineRule="auto"/>
        <w:jc w:val="both"/>
      </w:pPr>
      <w:r>
        <w:rPr>
          <w:rFonts w:ascii="Times New Roman" w:hAnsi="Times New Roman"/>
          <w:b w:val="0"/>
          <w:i w:val="0"/>
          <w:sz w:val="24"/>
        </w:rPr>
        <w:t>The evaluation uses three baselines that are all executed in the current prototype:</w:t>
      </w:r>
    </w:p>
    <w:p>
      <w:pPr>
        <w:spacing w:after="80" w:line="360" w:lineRule="auto"/>
        <w:ind w:left="461" w:hanging="259"/>
      </w:pPr>
      <w:r>
        <w:rPr>
          <w:rFonts w:ascii="Times New Roman" w:hAnsi="Times New Roman"/>
          <w:sz w:val="24"/>
        </w:rPr>
        <w:t>•</w:t>
        <w:tab/>
      </w:r>
      <w:r>
        <w:rPr>
          <w:rFonts w:ascii="Times New Roman" w:hAnsi="Times New Roman"/>
          <w:b/>
          <w:sz w:val="24"/>
        </w:rPr>
        <w:t xml:space="preserve">B1 - Direct LLM-to-SQL: </w:t>
      </w:r>
      <w:r>
        <w:rPr>
          <w:rFonts w:ascii="Times New Roman" w:hAnsi="Times New Roman"/>
          <w:sz w:val="24"/>
        </w:rPr>
        <w:t>The same model configured for the main pipeline (a custom OpenAI-compatible gateway, not Groq or Llama 3.1 8B; see Section 4.1) is prompted with the full database schema, without semantic-layer or template constraints.</w:t>
      </w:r>
    </w:p>
    <w:p>
      <w:pPr>
        <w:spacing w:after="80" w:line="360" w:lineRule="auto"/>
        <w:ind w:left="461" w:hanging="259"/>
      </w:pPr>
      <w:r>
        <w:rPr>
          <w:rFonts w:ascii="Times New Roman" w:hAnsi="Times New Roman"/>
          <w:sz w:val="24"/>
        </w:rPr>
        <w:t>•</w:t>
        <w:tab/>
      </w:r>
      <w:r>
        <w:rPr>
          <w:rFonts w:ascii="Times New Roman" w:hAnsi="Times New Roman"/>
          <w:b/>
          <w:sz w:val="24"/>
        </w:rPr>
        <w:t xml:space="preserve">B2 - Decomposed LLM: </w:t>
      </w:r>
      <w:r>
        <w:rPr>
          <w:rFonts w:ascii="Times New Roman" w:hAnsi="Times New Roman"/>
          <w:sz w:val="24"/>
        </w:rPr>
        <w:t>A chain-of-thought strategy first extracts entities and then generates SQL. This tests whether decomposition alone improves SQL generation without AEGIS constraints.</w:t>
      </w:r>
    </w:p>
    <w:p>
      <w:pPr>
        <w:spacing w:after="80" w:line="360" w:lineRule="auto"/>
        <w:ind w:left="461" w:hanging="259"/>
      </w:pPr>
      <w:r>
        <w:rPr>
          <w:rFonts w:ascii="Times New Roman" w:hAnsi="Times New Roman"/>
          <w:sz w:val="24"/>
        </w:rPr>
        <w:t>•</w:t>
        <w:tab/>
      </w:r>
      <w:r>
        <w:rPr>
          <w:rFonts w:ascii="Times New Roman" w:hAnsi="Times New Roman"/>
          <w:b/>
          <w:sz w:val="24"/>
        </w:rPr>
        <w:t xml:space="preserve">B3 - Template-only: </w:t>
      </w:r>
      <w:r>
        <w:rPr>
          <w:rFonts w:ascii="Times New Roman" w:hAnsi="Times New Roman"/>
          <w:sz w:val="24"/>
        </w:rPr>
        <w:t>Keyword matching selects templates without LLM-based intent extraction. This tests the deterministic mapper and compiler when the LLM intent parser is removed.</w:t>
      </w:r>
    </w:p>
    <w:p>
      <w:pPr>
        <w:spacing w:after="0" w:before="0" w:line="360" w:lineRule="auto"/>
        <w:jc w:val="both"/>
      </w:pPr>
      <w:r>
        <w:rPr>
          <w:rFonts w:ascii="Times New Roman" w:hAnsi="Times New Roman"/>
          <w:b w:val="0"/>
          <w:i w:val="0"/>
          <w:sz w:val="24"/>
        </w:rPr>
        <w:t>An earlier possible B4 idea was not retained as a thesis baseline because bypassing the semantic layer would no longer test the proposed AEGIS architecture. It is therefore treated as future ablation work rather than an unevaluated baseline in the current results.</w:t>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the recorded benchmark data and verified through true database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accurately does the LLM intent parser extract typed reporting plans? This remains a semantic-correctness task requiring annotated expected labels.</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reduce unsafe SQL compared to direct LLM-to-SQL? Measured as genuine unsafe SQL statements across the 107-query benchmark.</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AEGIS generate SQL that actually runs? Measured through true database execution against the seeded MySQL database, not merely by checking whether Python compilation succeeded.</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How does the deterministic downstream compiler behave when intent selection is rule-based rather than LLM-based? Measured through the B3 template-only baseline.</w:t>
      </w:r>
    </w:p>
    <w:p>
      <w:pPr>
        <w:spacing w:after="80" w:line="360" w:lineRule="auto"/>
        <w:ind w:left="461" w:hanging="259"/>
      </w:pPr>
      <w:r>
        <w:rPr>
          <w:rFonts w:ascii="Times New Roman" w:hAnsi="Times New Roman"/>
          <w:sz w:val="24"/>
        </w:rPr>
        <w:t>•</w:t>
        <w:tab/>
      </w:r>
      <w:r>
        <w:rPr>
          <w:rFonts w:ascii="Times New Roman" w:hAnsi="Times New Roman"/>
          <w:b/>
          <w:sz w:val="24"/>
        </w:rPr>
        <w:t xml:space="preserve">RQ5: </w:t>
      </w:r>
      <w:r>
        <w:rPr>
          <w:rFonts w:ascii="Times New Roman" w:hAnsi="Times New Roman"/>
          <w:sz w:val="24"/>
        </w:rPr>
        <w:t>How accurate are the generated answers at the semantic level? Measured through a machine-assisted first-pass annotation that checks expected metric, grouping, time/filter, and required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RQ6: </w:t>
      </w:r>
      <w:r>
        <w:rPr>
          <w:rFonts w:ascii="Times New Roman" w:hAnsi="Times New Roman"/>
          <w:sz w:val="24"/>
        </w:rPr>
        <w:t>How does the system behave under harder requests? Measured by scope-handling annotation for unsupported, vague, compound, and write-style requests in the same 107-request benchmark.</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The results discussion presents the evaluation results of the AEGIS prototype using a 107-request natural-language analytics benchmark and true database execution. The discussion separates SQL safety, execution validity, and semantic correctness because a query may be safe and executable while still failing to answer the intended analytical request.</w:t>
      </w:r>
    </w:p>
    <w:p>
      <w:pPr>
        <w:spacing w:after="0" w:before="0" w:line="360" w:lineRule="auto"/>
        <w:jc w:val="both"/>
      </w:pPr>
      <w:r>
        <w:rPr>
          <w:rFonts w:ascii="Times New Roman" w:hAnsi="Times New Roman"/>
          <w:b w:val="0"/>
          <w:i w:val="0"/>
          <w:sz w:val="24"/>
        </w:rPr>
        <w:t>The reported quantitative evidence covers AEGIS and three completed baselines: B1 direct LLM-to-SQL, B2 decomposed LLM-to-SQL, and B3 template-only. It also includes a machine-assisted first-pass semantic-correctness annotation and runtime evidence from the live LLM gateway and Docker MySQL execution.</w:t>
      </w:r>
    </w:p>
    <w:p>
      <w:pPr>
        <w:spacing w:before="320" w:after="160"/>
        <w:jc w:val="left"/>
      </w:pPr>
      <w:r>
        <w:rPr>
          <w:rFonts w:ascii="Times New Roman" w:hAnsi="Times New Roman"/>
          <w:b/>
          <w:sz w:val="28"/>
        </w:rPr>
        <w:t>5.1  Evaluation Overview</w:t>
      </w:r>
    </w:p>
    <w:p>
      <w:pPr>
        <w:spacing w:after="200" w:before="0" w:line="360" w:lineRule="auto"/>
        <w:jc w:val="both"/>
      </w:pPr>
      <w:r>
        <w:rPr>
          <w:rFonts w:ascii="Times New Roman" w:hAnsi="Times New Roman"/>
          <w:b w:val="0"/>
          <w:i w:val="0"/>
          <w:sz w:val="24"/>
        </w:rPr>
        <w:t>The evaluation uses 107 mixed natural-language reporting requests as a single benchmark set. The requests include ordinary analytical questions as well as harder boundary-style cases, but all are evaluated under the same denominator to avoid separating results into unsupported categories.</w:t>
      </w:r>
    </w:p>
    <w:p>
      <w:pPr>
        <w:spacing w:before="200" w:after="80"/>
        <w:jc w:val="center"/>
        <w:keepNext/>
      </w:pPr>
      <w:r>
        <w:rPr>
          <w:rFonts w:ascii="Times New Roman" w:hAnsi="Times New Roman"/>
          <w:b/>
          <w:sz w:val="22"/>
        </w:rPr>
        <w:t>Table 5.1: Evaluation benchmark status.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13"/>
        <w:gridCol w:w="4513"/>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Benchmark size</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107 mixed natural-language reporting requests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Database execution environment</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MySQL 8.0 in Docker, seeded with nopCommerce-style data</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Completed baselines</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B1 direct LLM-to-SQL, B2 decomposed LLM-to-SQL, and B3 template-only</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Correctness annotation</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Machine-assisted first pass over all 107 requests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Runtime evidence</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LLM gateway responses observed around 12-30 seconds; SQL replay measured in milliseconds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Remaining manual step</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Human spot-checking of semantic-correctness annotations before final submission</w:t>
            </w:r>
          </w:p>
        </w:tc>
      </w:tr>
    </w:tbl>
    <w:p>
      <w:pPr>
        <w:spacing w:after="80"/>
      </w:pPr>
    </w:p>
    <w:p>
      <w:pPr>
        <w:spacing w:after="200" w:before="0" w:line="360" w:lineRule="auto"/>
        <w:jc w:val="both"/>
      </w:pPr>
      <w:r>
        <w:rPr>
          <w:rFonts w:ascii="Times New Roman" w:hAnsi="Times New Roman"/>
          <w:b w:val="0"/>
          <w:i/>
          <w:sz w:val="22"/>
        </w:rPr>
        <w:t>The benchmark evidence consists of the prepared request set, recorded model outputs, baseline outputs, and true database execution results produced against the seeded MySQL evaluation database.</w:t>
      </w:r>
    </w:p>
    <w:p>
      <w:pPr>
        <w:spacing w:before="320" w:after="160"/>
        <w:jc w:val="left"/>
      </w:pPr>
      <w:r>
        <w:rPr>
          <w:rFonts w:ascii="Times New Roman" w:hAnsi="Times New Roman"/>
          <w:b/>
          <w:sz w:val="28"/>
        </w:rPr>
        <w:t>5.2  Main Result Summary</w:t>
      </w:r>
    </w:p>
    <w:p>
      <w:pPr>
        <w:spacing w:after="200" w:before="0" w:line="360" w:lineRule="auto"/>
        <w:jc w:val="both"/>
      </w:pPr>
      <w:r>
        <w:rPr>
          <w:rFonts w:ascii="Times New Roman" w:hAnsi="Times New Roman"/>
          <w:b w:val="0"/>
          <w:i w:val="0"/>
          <w:sz w:val="24"/>
        </w:rPr>
        <w:t>Reference text-to-SQL papers commonly present a compact result table before detailed analysis. Following that pattern, Table 5.2 summarizes the completed AEGIS measurements and separates them from measurements that remain pending.</w:t>
      </w:r>
    </w:p>
    <w:p>
      <w:pPr>
        <w:spacing w:before="200" w:after="80"/>
        <w:jc w:val="center"/>
        <w:keepNext/>
      </w:pPr>
      <w:r>
        <w:rPr>
          <w:rFonts w:ascii="Times New Roman" w:hAnsi="Times New Roman"/>
          <w:b/>
          <w:sz w:val="22"/>
        </w:rPr>
        <w:t>Table 5.2: Main evaluation result summary.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56"/>
        <w:gridCol w:w="1843"/>
        <w:gridCol w:w="2088"/>
        <w:gridCol w:w="2736"/>
        <w:gridCol w:w="1080"/>
      </w:tblGrid>
      <w:tr>
        <w:trPr>
          <w:cantSplit/>
        </w:trPr>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AEGIS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Baseline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SQL safety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produced 1 unsafe statement in 107</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blocked the observed unsafe-write case</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True execution validity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27 of 107; B2: 33 of 107; B3: 104 of 107</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greatly improved execution validity over LLM-to-SQL baselines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Failure analysis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7 AEGIS execution failures</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failures were broader and more frequent</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Remaining AEGIS failures are implementation issues, not safety violations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Semantic correctness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32 of 107 overall; 32 of 54 answerable requests</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16; B2: 19; B3: 21 correct overall</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had the strongest answerable-request correctness in the annotation</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First-pass</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Runtime</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SQL replay mean 13.22 ms; live LLM responses commonly 12-30 s</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B2 requires two LLM calls per request</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LLM response time dominates user-visible latency</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 / observed</w:t>
            </w:r>
          </w:p>
        </w:tc>
      </w:tr>
    </w:tbl>
    <w:p>
      <w:pPr>
        <w:spacing w:after="80"/>
      </w:pPr>
    </w:p>
    <w:p>
      <w:pPr>
        <w:spacing w:after="0" w:before="0" w:line="360" w:lineRule="auto"/>
        <w:jc w:val="both"/>
      </w:pPr>
      <w:r>
        <w:rPr>
          <w:rFonts w:ascii="Times New Roman" w:hAnsi="Times New Roman"/>
          <w:b w:val="0"/>
          <w:i/>
          <w:sz w:val="22"/>
        </w:rPr>
        <w:t>The execution-validity and semantic-correctness rows above were measured against the pipeline version in place before the three abstention-focused interventions described in Section 5.9, and have not been re-measured under the current configuration; they are reported here as the baseline against which Section 5.9 states its improvement. The abstention-aware metrics in Section 5.9 are current.</w:t>
      </w:r>
    </w:p>
    <w:p>
      <w:pPr>
        <w:spacing w:before="320" w:after="160"/>
        <w:jc w:val="left"/>
      </w:pPr>
      <w:r>
        <w:rPr>
          <w:rFonts w:ascii="Times New Roman" w:hAnsi="Times New Roman"/>
          <w:b/>
          <w:sz w:val="28"/>
        </w:rPr>
        <w:t>5.3  SQL Safety</w:t>
      </w:r>
    </w:p>
    <w:p>
      <w:pPr>
        <w:spacing w:after="200" w:before="0" w:line="360" w:lineRule="auto"/>
        <w:jc w:val="both"/>
      </w:pPr>
      <w:r>
        <w:rPr>
          <w:rFonts w:ascii="Times New Roman" w:hAnsi="Times New Roman"/>
          <w:b w:val="0"/>
          <w:i w:val="0"/>
          <w:sz w:val="24"/>
        </w:rPr>
        <w:t>Unsafe Query Execution Rate measures whether a generated SQL statement contains a genuine unsafe operation such as a write or schema-changing command. This metric is different from execution validity because a statement can be syntactically valid while still being unsafe for an analytics-only system.</w:t>
      </w:r>
    </w:p>
    <w:p>
      <w:pPr>
        <w:spacing w:before="200" w:after="80"/>
        <w:jc w:val="center"/>
        <w:keepNext/>
      </w:pPr>
      <w:r>
        <w:rPr>
          <w:rFonts w:ascii="Times New Roman" w:hAnsi="Times New Roman"/>
          <w:b/>
          <w:sz w:val="22"/>
        </w:rPr>
        <w:t>Table 5.3: SQL safety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48"/>
        <w:gridCol w:w="1944"/>
        <w:gridCol w:w="453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Unsafe 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 genuine unsafe statement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model generated one write operation when prompted with a business-looking request.</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intent schema and compiler templates did not allow write SQL to be emitted.</w:t>
            </w:r>
          </w:p>
        </w:tc>
      </w:tr>
    </w:tbl>
    <w:p>
      <w:pPr>
        <w:spacing w:after="80"/>
      </w:pPr>
    </w:p>
    <w:p>
      <w:pPr>
        <w:spacing w:after="0" w:before="0" w:line="360" w:lineRule="auto"/>
        <w:jc w:val="both"/>
      </w:pPr>
      <w:r>
        <w:rPr>
          <w:rFonts w:ascii="Times New Roman" w:hAnsi="Times New Roman"/>
          <w:b w:val="0"/>
          <w:i w:val="0"/>
          <w:sz w:val="24"/>
        </w:rPr>
        <w:t>The strongest safety example is the disguised write request asking to cancel orders stuck in Pending for more than 30 days. Baseline B1 produced an executable UPDATE statement. AEGIS cannot express a write intent in its intent object or compiler templates, so it did not emit write SQL. This is the central safety result: AEGIS prevents this class of unsafe execution structurally rather than hoping the model follows an instruction not to write dangerous SQL.</w:t>
      </w:r>
    </w:p>
    <w:p>
      <w:pPr>
        <w:spacing w:before="160" w:after="80"/>
        <w:jc w:val="center"/>
        <w:keepNext/>
      </w:pPr>
      <w:r>
        <w:drawing>
          <wp:inline xmlns:a="http://schemas.openxmlformats.org/drawingml/2006/main" xmlns:pic="http://schemas.openxmlformats.org/drawingml/2006/picture">
            <wp:extent cx="5349240" cy="3120390"/>
            <wp:docPr id="11" name="Picture 11"/>
            <wp:cNvGraphicFramePr>
              <a:graphicFrameLocks noChangeAspect="1"/>
            </wp:cNvGraphicFramePr>
            <a:graphic>
              <a:graphicData uri="http://schemas.openxmlformats.org/drawingml/2006/picture">
                <pic:pic>
                  <pic:nvPicPr>
                    <pic:cNvPr id="0" name="figure-09-safety-execution-results.png"/>
                    <pic:cNvPicPr/>
                  </pic:nvPicPr>
                  <pic:blipFill>
                    <a:blip r:embed="rId20"/>
                    <a:stretch>
                      <a:fillRect/>
                    </a:stretch>
                  </pic:blipFill>
                  <pic:spPr>
                    <a:xfrm>
                      <a:off x="0" y="0"/>
                      <a:ext cx="5349240" cy="3120390"/>
                    </a:xfrm>
                    <a:prstGeom prst="rect"/>
                  </pic:spPr>
                </pic:pic>
              </a:graphicData>
            </a:graphic>
          </wp:inline>
        </w:drawing>
      </w:r>
    </w:p>
    <w:p>
      <w:pPr>
        <w:spacing w:before="80" w:after="280"/>
        <w:jc w:val="center"/>
      </w:pPr>
      <w:r>
        <w:rPr>
          <w:rFonts w:ascii="Times New Roman" w:hAnsi="Times New Roman"/>
          <w:b/>
          <w:sz w:val="21"/>
        </w:rPr>
        <w:t>Figure 9: Verified safety and execution-validity comparison</w:t>
      </w:r>
    </w:p>
    <w:p>
      <w:pPr>
        <w:spacing w:before="320" w:after="160"/>
        <w:jc w:val="left"/>
      </w:pPr>
      <w:r>
        <w:rPr>
          <w:rFonts w:ascii="Times New Roman" w:hAnsi="Times New Roman"/>
          <w:b/>
          <w:sz w:val="28"/>
        </w:rPr>
        <w:t>5.4  True Database Execution Validity</w:t>
      </w:r>
    </w:p>
    <w:p>
      <w:pPr>
        <w:spacing w:after="200" w:before="0" w:line="360" w:lineRule="auto"/>
        <w:jc w:val="both"/>
      </w:pPr>
      <w:r>
        <w:rPr>
          <w:rFonts w:ascii="Times New Roman" w:hAnsi="Times New Roman"/>
          <w:b w:val="0"/>
          <w:i w:val="0"/>
          <w:sz w:val="24"/>
        </w:rPr>
        <w:t>True database execution validity measures whether the generated SQL actually runs against the seeded MySQL database. This check is stricter than string inspection or application-level compilation because it exposes missing columns, invalid joins, dialect errors, and invalid literal values.</w:t>
      </w:r>
    </w:p>
    <w:p>
      <w:pPr>
        <w:spacing w:after="200" w:before="0" w:line="360" w:lineRule="auto"/>
        <w:jc w:val="both"/>
      </w:pPr>
      <w:r>
        <w:rPr>
          <w:rFonts w:ascii="Times New Roman" w:hAnsi="Times New Roman"/>
          <w:b w:val="0"/>
          <w:i/>
          <w:sz w:val="22"/>
        </w:rPr>
        <w:t>The results in this section are the earlier baseline pipeline run: the same run referenced in Table 5.2. Re-running true database execution against the current pipeline, after the interventions described in Section 5.9, is outstanding work.</w:t>
      </w:r>
    </w:p>
    <w:p>
      <w:pPr>
        <w:spacing w:before="200" w:after="80"/>
        <w:jc w:val="center"/>
        <w:keepNext/>
      </w:pPr>
      <w:r>
        <w:rPr>
          <w:rFonts w:ascii="Times New Roman" w:hAnsi="Times New Roman"/>
          <w:b/>
          <w:sz w:val="22"/>
        </w:rPr>
        <w:t>Table 5.4: True execution validity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232"/>
        <w:gridCol w:w="417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Execution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27 of 107 executed successfully (25.2%)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Most failures came from hallucinated columns, invalid table references, or dialect errors.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Baseline B2 (Decomposed LLM)</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33 of 107 executed successfully (30.8%)</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Decomposition improved slightly over B1, but many SQL errors remained.</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The deterministic pipeline removed many free-form SQL errors, but seven issues remained.</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104 of 107 executed successfully (97.2%)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High execution validity, but not evidence of higher semantic correctness.</w:t>
            </w:r>
          </w:p>
        </w:tc>
      </w:tr>
    </w:tbl>
    <w:p>
      <w:pPr>
        <w:spacing w:after="80"/>
      </w:pPr>
    </w:p>
    <w:p>
      <w:pPr>
        <w:spacing w:before="320" w:after="160"/>
        <w:jc w:val="left"/>
      </w:pPr>
      <w:r>
        <w:rPr>
          <w:rFonts w:ascii="Times New Roman" w:hAnsi="Times New Roman"/>
          <w:b/>
          <w:sz w:val="28"/>
        </w:rPr>
        <w:t>5.5  Execution Failure Analysis</w:t>
      </w:r>
    </w:p>
    <w:p>
      <w:pPr>
        <w:spacing w:after="200" w:before="0" w:line="360" w:lineRule="auto"/>
        <w:jc w:val="both"/>
      </w:pPr>
      <w:r>
        <w:rPr>
          <w:rFonts w:ascii="Times New Roman" w:hAnsi="Times New Roman"/>
          <w:b w:val="0"/>
          <w:i w:val="0"/>
          <w:sz w:val="24"/>
        </w:rPr>
        <w:t>The seven AEGIS execution failures identify the remaining implementation limitations of the prototype. These failures are not safety violations; they are executable-query construction issues observed when the generated SQL was tested against the evaluation database.</w:t>
      </w:r>
    </w:p>
    <w:p>
      <w:pPr>
        <w:spacing w:before="200" w:after="80"/>
        <w:jc w:val="center"/>
        <w:keepNext/>
      </w:pPr>
      <w:r>
        <w:rPr>
          <w:rFonts w:ascii="Times New Roman" w:hAnsi="Times New Roman"/>
          <w:b/>
          <w:sz w:val="22"/>
        </w:rPr>
        <w:t>Table 5.5: AEGIS true-execution failures diagnosed from MySQL execution.</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Query ID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Failure class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Observed database error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5</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morning'</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13</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19</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Join-path or alias defect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Unknown column 'o.Id' in ON clause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46</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'last 90 days'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72</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quarter'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80</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84</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bl>
    <w:p>
      <w:pPr>
        <w:spacing w:after="80"/>
      </w:pPr>
    </w:p>
    <w:p>
      <w:pPr>
        <w:spacing w:after="0" w:before="0" w:line="360" w:lineRule="auto"/>
        <w:jc w:val="both"/>
      </w:pPr>
      <w:r>
        <w:rPr>
          <w:rFonts w:ascii="Times New Roman" w:hAnsi="Times New Roman"/>
          <w:b w:val="0"/>
          <w:i w:val="0"/>
          <w:sz w:val="24"/>
        </w:rPr>
        <w:t>The failure pattern is narrow. Three failures are date-normalization bugs, three are compiler syntax edge cases, and one is a join or alias construction defect. These are concrete implementation bugs, not evidence that the safety boundary failed. They should be fixed in future work and then re-measured using the same true database execution procedure.</w:t>
      </w:r>
    </w:p>
    <w:p>
      <w:pPr>
        <w:spacing w:before="320" w:after="160"/>
        <w:jc w:val="left"/>
      </w:pPr>
      <w:r>
        <w:rPr>
          <w:rFonts w:ascii="Times New Roman" w:hAnsi="Times New Roman"/>
          <w:b/>
          <w:sz w:val="28"/>
        </w:rPr>
        <w:t>5.6  Semantic Correctness and Scope Handling</w:t>
      </w:r>
    </w:p>
    <w:p>
      <w:pPr>
        <w:spacing w:after="200" w:before="0" w:line="360" w:lineRule="auto"/>
        <w:jc w:val="both"/>
      </w:pPr>
      <w:r>
        <w:rPr>
          <w:rFonts w:ascii="Times New Roman" w:hAnsi="Times New Roman"/>
          <w:b w:val="0"/>
          <w:i w:val="0"/>
          <w:sz w:val="24"/>
        </w:rPr>
        <w:t>Correctness or accuracy must be treated separately from execution validity. A machine-assisted annotation pass was therefore added after the supervisor review. Each row was checked against the expected metric, grouping, time or filter, and required behavior. This annotation is a first pass and should be manually spot-checked before final submission, but it gives the thesis a concrete correctness measurement instead of relying only on SQL execution.</w:t>
      </w:r>
    </w:p>
    <w:p>
      <w:pPr>
        <w:spacing w:before="200" w:after="80"/>
        <w:jc w:val="center"/>
        <w:keepNext/>
      </w:pPr>
      <w:r>
        <w:rPr>
          <w:rFonts w:ascii="Times New Roman" w:hAnsi="Times New Roman"/>
          <w:b/>
          <w:sz w:val="22"/>
        </w:rPr>
        <w:t>Table 5.6: Semantic-correctness annotation summary.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016"/>
        <w:gridCol w:w="2088"/>
        <w:gridCol w:w="201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Overall correctness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Answerable requests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Scope/write handling</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32 of 107 (29.9%)</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32 of 54 (59.3%)</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 of 52</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B1 Direct LLM-to-SQL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16 of 107 (15.0%)</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15 of 54 (27.8%)</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 of 52</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B2 Decomposed LLM</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19 of 107 (17.8%)</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18 of 54 (33.3%)</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 of 52</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21 of 107 (19.6%)</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21 of 54 (38.9%)</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 of 52</w:t>
            </w:r>
          </w:p>
        </w:tc>
      </w:tr>
    </w:tbl>
    <w:p>
      <w:pPr>
        <w:spacing w:after="80"/>
      </w:pPr>
    </w:p>
    <w:p>
      <w:pPr>
        <w:spacing w:after="0" w:before="0" w:line="360" w:lineRule="auto"/>
        <w:jc w:val="both"/>
      </w:pPr>
      <w:r>
        <w:rPr>
          <w:rFonts w:ascii="Times New Roman" w:hAnsi="Times New Roman"/>
          <w:b w:val="0"/>
          <w:i w:val="0"/>
          <w:sz w:val="24"/>
        </w:rPr>
        <w:t>The annotation shows two findings. For answerable requests, AEGIS scored higher than the LLM-to-SQL and template-only baselines. For unsupported, vague, compound, or write-style requests, none of the evaluated systems handled the scope boundary correctly in this first pass. AEGIS still maintained SQL safety, but it often mapped unsupported requests to safe but semantically wrong in-scope queries. This is a correctness and robustness limitation, not a SQL-safety failure.</w:t>
      </w:r>
    </w:p>
    <w:p>
      <w:pPr>
        <w:spacing w:after="200" w:before="0" w:line="360" w:lineRule="auto"/>
        <w:jc w:val="both"/>
      </w:pPr>
      <w:r>
        <w:rPr>
          <w:rFonts w:ascii="Times New Roman" w:hAnsi="Times New Roman"/>
          <w:b w:val="0"/>
          <w:i/>
          <w:sz w:val="22"/>
        </w:rPr>
        <w:t>This annotation is the same 32-of-107 figure reported as translation precision in Section 5.9. It is scored against aegis_correct labels that describe the SQL produced by the pipeline version that existed before the abstention interventions in Section 5.9, so the same count is being re-read rather than re-measured. Section 5.9 marks it accordingly and states which of this chapter's metrics remain quotable.</w:t>
      </w:r>
    </w:p>
    <w:p>
      <w:pPr>
        <w:spacing w:before="320" w:after="160"/>
        <w:jc w:val="left"/>
      </w:pPr>
      <w:r>
        <w:rPr>
          <w:rFonts w:ascii="Times New Roman" w:hAnsi="Times New Roman"/>
          <w:b/>
          <w:sz w:val="28"/>
        </w:rPr>
        <w:t>5.7  Baseline and Runtime Analysis</w:t>
      </w:r>
    </w:p>
    <w:p>
      <w:pPr>
        <w:spacing w:after="200" w:before="0" w:line="360" w:lineRule="auto"/>
        <w:jc w:val="both"/>
      </w:pPr>
      <w:r>
        <w:rPr>
          <w:rFonts w:ascii="Times New Roman" w:hAnsi="Times New Roman"/>
          <w:b w:val="0"/>
          <w:i w:val="0"/>
          <w:sz w:val="24"/>
        </w:rPr>
        <w:t>The completed baselines show different failure modes. B1 and B2 rely on unconstrained LLM-written SQL and therefore suffer from dialect errors, missing tables, hallucinated columns, and unsafe write behavior. B3 removes the LLM and uses keyword templates, so it produces highly executable SQL but often misses the user's intended meaning.</w:t>
      </w:r>
    </w:p>
    <w:p>
      <w:pPr>
        <w:spacing w:before="200" w:after="80"/>
        <w:jc w:val="center"/>
        <w:keepNext/>
      </w:pPr>
      <w:r>
        <w:rPr>
          <w:rFonts w:ascii="Times New Roman" w:hAnsi="Times New Roman"/>
          <w:b/>
          <w:sz w:val="22"/>
        </w:rPr>
        <w:t>Table 5.7: Completed baseline comparison.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1800"/>
        <w:gridCol w:w="1800"/>
        <w:gridCol w:w="3240"/>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True execution validity</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Semantic correctness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Main observation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B1 Direct LLM-to-SQL</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27 of 107 (25.2%)</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16 of 107 (15.0%)</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Lowest execution validity and one unsafe write statement.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B2 Decomposed LLM</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33 of 107 (30.8%)</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19 of 107 (17.8%)</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Two-step prompting improved execution slightly but did not solve schema errors.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104 of 107 (97.2%)</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21 of 107 (19.6%)</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SQL often runs, but keyword intent selection is semantically brittle.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100 of 107 (93.5%)</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32 of 107 (29.9%)</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Best correctness among evaluated systems while preserving SQL safety.</w:t>
            </w:r>
          </w:p>
        </w:tc>
      </w:tr>
    </w:tbl>
    <w:p>
      <w:pPr>
        <w:spacing w:after="80"/>
      </w:pPr>
    </w:p>
    <w:p>
      <w:pPr>
        <w:spacing w:after="200" w:before="0" w:line="360" w:lineRule="auto"/>
        <w:jc w:val="both"/>
      </w:pPr>
      <w:r>
        <w:rPr>
          <w:rFonts w:ascii="Times New Roman" w:hAnsi="Times New Roman"/>
          <w:b w:val="0"/>
          <w:i/>
          <w:sz w:val="22"/>
        </w:rPr>
        <w:t>As in Section 5.4, the AEGIS execution-validity and semantic-correctness figures above are the earlier baseline pipeline run and are superseded, for the abstention-handling behavior specifically, by the current measurements in Section 5.9.</w:t>
      </w:r>
    </w:p>
    <w:p>
      <w:pPr>
        <w:spacing w:before="200" w:after="80"/>
        <w:jc w:val="center"/>
        <w:keepNext/>
      </w:pPr>
      <w:r>
        <w:rPr>
          <w:rFonts w:ascii="Times New Roman" w:hAnsi="Times New Roman"/>
          <w:b/>
          <w:sz w:val="22"/>
        </w:rPr>
        <w:t>Table 5.8: Runtime evidence from benchmark replay and live LLM gateway.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2736"/>
        <w:gridCol w:w="410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Measurement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Observed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AEGIS SQL replay</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Mean 13.22 ms; median 2.59 ms; p95 72.55 ms</w:t>
            </w:r>
          </w:p>
        </w:tc>
        <w:tc>
          <w:tcPr>
            <w:tcW w:type="dxa" w:w="4104"/>
          </w:tcPr>
          <w:p>
            <w:pPr>
              <w:spacing w:before="0" w:after="0" w:line="240" w:lineRule="auto"/>
              <w:jc w:val="center"/>
              <w:keepNext/>
            </w:pPr>
            <w:r>
              <w:rPr>
                <w:rFonts w:ascii="Times New Roman" w:hAnsi="Times New Roman"/>
                <w:sz w:val="21"/>
              </w:rPr>
            </w:r>
            <w:r>
              <w:rPr>
                <w:rFonts w:ascii="Times New Roman" w:hAnsi="Times New Roman"/>
                <w:b w:val="0"/>
                <w:sz w:val="21"/>
              </w:rPr>
              <w:t>Database execution and deterministic post-LLM stages are fast.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B2 SQL replay</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Mean 6.88 ms; median 0.74 ms; p95 28.55 ms</w:t>
            </w:r>
          </w:p>
        </w:tc>
        <w:tc>
          <w:tcPr>
            <w:tcW w:type="dxa" w:w="4104"/>
          </w:tcPr>
          <w:p>
            <w:pPr>
              <w:spacing w:before="0" w:after="0" w:line="240" w:lineRule="auto"/>
              <w:jc w:val="center"/>
              <w:keepNext/>
            </w:pPr>
            <w:r>
              <w:rPr>
                <w:rFonts w:ascii="Times New Roman" w:hAnsi="Times New Roman"/>
                <w:sz w:val="21"/>
              </w:rPr>
            </w:r>
            <w:r>
              <w:rPr>
                <w:rFonts w:ascii="Times New Roman" w:hAnsi="Times New Roman"/>
                <w:b w:val="0"/>
                <w:sz w:val="21"/>
              </w:rPr>
              <w:t>SQL execution time is small compared with LLM response time.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B3 pipeline replay</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Mean 13.66 ms; median 3.80 ms; p95 59.17 ms</w:t>
            </w:r>
          </w:p>
        </w:tc>
        <w:tc>
          <w:tcPr>
            <w:tcW w:type="dxa" w:w="4104"/>
          </w:tcPr>
          <w:p>
            <w:pPr>
              <w:spacing w:before="0" w:after="0" w:line="240" w:lineRule="auto"/>
              <w:jc w:val="center"/>
              <w:keepNext/>
            </w:pPr>
            <w:r>
              <w:rPr>
                <w:rFonts w:ascii="Times New Roman" w:hAnsi="Times New Roman"/>
                <w:sz w:val="21"/>
              </w:rPr>
            </w:r>
            <w:r>
              <w:rPr>
                <w:rFonts w:ascii="Times New Roman" w:hAnsi="Times New Roman"/>
                <w:b w:val="0"/>
                <w:sz w:val="21"/>
              </w:rPr>
              <w:t>Template-only classification, mapping, compilation, and execution are lightweight.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Live LLM response</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Observed around 12-30 seconds per request in the gateway screenshot</w:t>
            </w:r>
          </w:p>
        </w:tc>
        <w:tc>
          <w:tcPr>
            <w:tcW w:type="dxa" w:w="4104"/>
          </w:tcPr>
          <w:p>
            <w:pPr>
              <w:spacing w:before="0" w:after="0" w:line="240" w:lineRule="auto"/>
              <w:jc w:val="center"/>
              <w:keepNext/>
            </w:pPr>
            <w:r>
              <w:rPr>
                <w:rFonts w:ascii="Times New Roman" w:hAnsi="Times New Roman"/>
                <w:sz w:val="21"/>
              </w:rPr>
            </w:r>
            <w:r>
              <w:rPr>
                <w:rFonts w:ascii="Times New Roman" w:hAnsi="Times New Roman"/>
                <w:b w:val="0"/>
                <w:sz w:val="21"/>
              </w:rPr>
              <w:t>User-visible runtime is dominated by model response duration.</w:t>
            </w:r>
          </w:p>
        </w:tc>
      </w:tr>
    </w:tbl>
    <w:p>
      <w:pPr>
        <w:spacing w:after="80"/>
      </w:pPr>
    </w:p>
    <w:p>
      <w:pPr>
        <w:spacing w:after="0" w:before="0" w:line="360" w:lineRule="auto"/>
        <w:jc w:val="both"/>
      </w:pPr>
      <w:r>
        <w:rPr>
          <w:rFonts w:ascii="Times New Roman" w:hAnsi="Times New Roman"/>
          <w:b w:val="0"/>
          <w:i w:val="0"/>
          <w:sz w:val="24"/>
        </w:rPr>
        <w:t>The runtime results show why end-to-end latency must be discussed separately from SQL execution time. Once the intent or SQL text exists, database replay takes milliseconds. The visible delay comes mainly from LLM calls. B2 is especially costly because each benchmark request uses two model calls: one for reasoning and one for SQL generation.</w:t>
      </w:r>
    </w:p>
    <w:p>
      <w:pPr>
        <w:spacing w:before="320" w:after="160"/>
        <w:jc w:val="left"/>
      </w:pPr>
      <w:r>
        <w:rPr>
          <w:rFonts w:ascii="Times New Roman" w:hAnsi="Times New Roman"/>
          <w:b/>
          <w:sz w:val="28"/>
        </w:rPr>
        <w:t>5.8  Comparative Discussion and Robustness</w:t>
      </w:r>
    </w:p>
    <w:p>
      <w:pPr>
        <w:spacing w:before="200" w:after="160"/>
        <w:jc w:val="left"/>
      </w:pPr>
      <w:r>
        <w:rPr>
          <w:rFonts w:ascii="Times New Roman" w:hAnsi="Times New Roman"/>
          <w:b/>
          <w:sz w:val="25"/>
        </w:rPr>
        <w:t>5.8.1  AEGIS vs. Direct LLM-to-SQL</w:t>
      </w:r>
    </w:p>
    <w:p>
      <w:pPr>
        <w:spacing w:after="200" w:before="0" w:line="360" w:lineRule="auto"/>
        <w:jc w:val="both"/>
      </w:pPr>
      <w:r>
        <w:rPr>
          <w:rFonts w:ascii="Times New Roman" w:hAnsi="Times New Roman"/>
          <w:b w:val="0"/>
          <w:i w:val="0"/>
          <w:sz w:val="24"/>
        </w:rPr>
        <w:t>The B1 baseline exposes the central risk of direct SQL generation. The same model that can produce useful analytical SQL can also hallucinate schema objects, mix SQL dialects, and generate a real write statement when a business-looking request implies a write operation. AEGIS narrows the model's role to intent extraction, so these risks do not enter the SQL construction stage in the same way.</w:t>
      </w:r>
    </w:p>
    <w:p>
      <w:pPr>
        <w:spacing w:before="200" w:after="80"/>
        <w:jc w:val="center"/>
        <w:keepNext/>
      </w:pPr>
      <w:r>
        <w:rPr>
          <w:rFonts w:ascii="Times New Roman" w:hAnsi="Times New Roman"/>
          <w:b/>
          <w:sz w:val="22"/>
        </w:rPr>
        <w:t>Table 5.9: Structural comparison of AEGIS vs. direct LLM-to-SQL.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Model-generated free-form text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Deterministic compiler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Schema exposure to LLM</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Requires tables, columns, and relationships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Uses approved business labels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Business metric definitions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 and schema names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Defined in the semantic layer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injection prevention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Prompt-level instruction and post-checking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Structural prevention through intent schema and templates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 enforcement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External or absent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Applied after intent extraction by deterministic code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Dashboard widget persistence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provided by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First-class saved artifact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Model dependency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Strongly tied to model quality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and safety scanner are model-independent</w:t>
            </w:r>
          </w:p>
        </w:tc>
      </w:tr>
    </w:tbl>
    <w:p>
      <w:pPr>
        <w:spacing w:after="80"/>
      </w:pPr>
    </w:p>
    <w:p>
      <w:pPr>
        <w:spacing w:before="200" w:after="160"/>
        <w:jc w:val="left"/>
      </w:pPr>
      <w:r>
        <w:rPr>
          <w:rFonts w:ascii="Times New Roman" w:hAnsi="Times New Roman"/>
          <w:b/>
          <w:sz w:val="25"/>
        </w:rPr>
        <w:t>5.8.2  Semantic Layer versus Retrieval-Augmented Generation</w:t>
      </w:r>
    </w:p>
    <w:p>
      <w:pPr>
        <w:spacing w:after="200" w:before="0" w:line="360" w:lineRule="auto"/>
        <w:jc w:val="both"/>
      </w:pPr>
      <w:r>
        <w:rPr>
          <w:rFonts w:ascii="Times New Roman" w:hAnsi="Times New Roman"/>
          <w:b w:val="0"/>
          <w:i w:val="0"/>
          <w:sz w:val="24"/>
        </w:rPr>
        <w:t>Retrieval-augmented generation can help an LLM find relevant schema fragments, but it does not remove the model's authority to write SQL. AEGIS uses the semantic layer for a different purpose: it defines which business concepts are allowed to exist and how they compile into SQL. RAG may still be useful in a future large deployment to select relevant semantic-layer entries, but the final SQL should still be compiled by the deterministic AEGIS compiler.</w:t>
      </w:r>
    </w:p>
    <w:p>
      <w:pPr>
        <w:spacing w:before="200" w:after="160"/>
        <w:jc w:val="left"/>
      </w:pPr>
      <w:r>
        <w:rPr>
          <w:rFonts w:ascii="Times New Roman" w:hAnsi="Times New Roman"/>
          <w:b/>
          <w:sz w:val="25"/>
        </w:rPr>
        <w:t>5.8.3  Scope Boundary</w:t>
      </w:r>
    </w:p>
    <w:p>
      <w:pPr>
        <w:spacing w:after="0" w:before="0" w:line="360" w:lineRule="auto"/>
        <w:jc w:val="both"/>
      </w:pPr>
      <w:r>
        <w:rPr>
          <w:rFonts w:ascii="Times New Roman" w:hAnsi="Times New Roman"/>
          <w:b w:val="0"/>
          <w:i w:val="0"/>
          <w:sz w:val="24"/>
        </w:rPr>
        <w:t>AEGIS currently supports a bounded set of approved metrics, dimensions, analytical patterns, and join paths. This is the source of its safety, but also the source of its main limitation. If a user asks for something not represented in the semantic layer, the system should reject or clarify the request. The current prototype does not always do that reliably; improving scope detection is therefore a priority in future work.</w:t>
      </w:r>
    </w:p>
    <w:p>
      <w:pPr>
        <w:spacing w:before="320" w:after="160"/>
        <w:jc w:val="left"/>
      </w:pPr>
      <w:r>
        <w:rPr>
          <w:rFonts w:ascii="Times New Roman" w:hAnsi="Times New Roman"/>
          <w:b/>
          <w:sz w:val="28"/>
        </w:rPr>
        <w:t>5.9  Abstention-Aware Evaluation</w:t>
      </w:r>
    </w:p>
    <w:p>
      <w:pPr>
        <w:spacing w:after="200" w:before="0" w:line="360" w:lineRule="auto"/>
        <w:jc w:val="both"/>
      </w:pPr>
      <w:r>
        <w:rPr>
          <w:rFonts w:ascii="Times New Roman" w:hAnsi="Times New Roman"/>
          <w:b w:val="0"/>
          <w:i w:val="0"/>
          <w:sz w:val="24"/>
        </w:rPr>
        <w:t>Sections 5.4 through 5.7 score every request against a single pass/fail outcome. On this benchmark roughly half of the requests should not be answered at all: they are unsupported, vague, compound, or write-style, and the correct system behavior is to decline or ask for clarification rather than to produce an answer. A single aggregate accuracy figure over a set built this way is misleading in both directions: it counts a correct refusal as a failure, and it counts a confident wrong answer as a success. This section reports the refusal channel on its own terms, over the 55 requests that should be answered and the 52 that should be declined.</w:t>
      </w:r>
    </w:p>
    <w:p>
      <w:pPr>
        <w:spacing w:before="200" w:after="80"/>
        <w:jc w:val="center"/>
        <w:keepNext/>
      </w:pPr>
      <w:r>
        <w:rPr>
          <w:rFonts w:ascii="Times New Roman" w:hAnsi="Times New Roman"/>
          <w:b/>
          <w:sz w:val="22"/>
        </w:rPr>
        <w:t>Table 5.10: Abstention-aware evaluation metrics.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656"/>
        <w:gridCol w:w="3672"/>
        <w:gridCol w:w="187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Definition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Translatability</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37.4% (40/107)</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Produced executable SQL, over all requests</w:t>
            </w:r>
          </w:p>
        </w:tc>
        <w:tc>
          <w:tcPr>
            <w:tcW w:type="dxa" w:w="1872"/>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Translation precision</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29.9% (32/107)</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Produced the expected result, over labelled requests</w:t>
            </w:r>
          </w:p>
        </w:tc>
        <w:tc>
          <w:tcPr>
            <w:tcW w:type="dxa" w:w="1872"/>
          </w:tcPr>
          <w:p>
            <w:pPr>
              <w:spacing w:before="0" w:after="0" w:line="240" w:lineRule="auto"/>
              <w:jc w:val="center"/>
              <w:keepNext/>
            </w:pPr>
            <w:r>
              <w:rPr>
                <w:rFonts w:ascii="Times New Roman" w:hAnsi="Times New Roman"/>
                <w:sz w:val="21"/>
              </w:rPr>
            </w:r>
            <w:r>
              <w:rPr>
                <w:rFonts w:ascii="Times New Roman" w:hAnsi="Times New Roman"/>
                <w:b w:val="0"/>
                <w:sz w:val="21"/>
              </w:rPr>
              <w:t>Not yet valid — requires re-annotation</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Abstention recall</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100.0% (52/52)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Correctly declined, over requests that should be declined</w:t>
            </w:r>
          </w:p>
        </w:tc>
        <w:tc>
          <w:tcPr>
            <w:tcW w:type="dxa" w:w="1872"/>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False abstention rate</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25.5% (14/55)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Wrongly declined, over requests that should be answered</w:t>
            </w:r>
          </w:p>
        </w:tc>
        <w:tc>
          <w:tcPr>
            <w:tcW w:type="dxa" w:w="1872"/>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Silent error rate</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11.2% (12/107)</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Answered confidently and wrongly, with no error raised</w:t>
            </w:r>
          </w:p>
        </w:tc>
        <w:tc>
          <w:tcPr>
            <w:tcW w:type="dxa" w:w="1872"/>
          </w:tcPr>
          <w:p>
            <w:pPr>
              <w:spacing w:before="0" w:after="0" w:line="240" w:lineRule="auto"/>
              <w:jc w:val="center"/>
              <w:keepNext/>
            </w:pPr>
            <w:r>
              <w:rPr>
                <w:rFonts w:ascii="Times New Roman" w:hAnsi="Times New Roman"/>
                <w:sz w:val="21"/>
              </w:rPr>
            </w:r>
            <w:r>
              <w:rPr>
                <w:rFonts w:ascii="Times New Roman" w:hAnsi="Times New Roman"/>
                <w:b w:val="0"/>
                <w:sz w:val="21"/>
              </w:rPr>
              <w:t>Not yet valid — requires re-annotation</w:t>
            </w:r>
          </w:p>
        </w:tc>
      </w:tr>
    </w:tbl>
    <w:p>
      <w:pPr>
        <w:spacing w:after="80"/>
      </w:pPr>
    </w:p>
    <w:p>
      <w:pPr>
        <w:spacing w:after="200" w:before="0" w:line="360" w:lineRule="auto"/>
        <w:jc w:val="both"/>
      </w:pPr>
      <w:r>
        <w:rPr>
          <w:rFonts w:ascii="Times New Roman" w:hAnsi="Times New Roman"/>
          <w:b w:val="0"/>
          <w:i w:val="0"/>
          <w:sz w:val="24"/>
        </w:rPr>
        <w:t xml:space="preserve">Translatability and translation precision follow </w:t>
      </w:r>
      <w:r>
        <w:rPr>
          <w:rFonts w:ascii="Times New Roman" w:hAnsi="Times New Roman"/>
          <w:b w:val="0"/>
          <w:i w:val="0"/>
          <w:sz w:val="24"/>
        </w:rPr>
        <w:t>[4]</w:t>
      </w:r>
      <w:r>
        <w:rPr>
          <w:rFonts w:ascii="Times New Roman" w:hAnsi="Times New Roman"/>
          <w:b w:val="0"/>
          <w:i w:val="0"/>
          <w:sz w:val="24"/>
        </w:rPr>
        <w:t xml:space="preserve"> canonicalisation of these metrics for natural-language database interfaces: translatability asks whether a request produced any executable artefact, and translation precision asks whether that artefact produced the expected result. High translatability with low precision is the signature of a system that always answers regardless of whether the answer is right.</w:t>
      </w:r>
    </w:p>
    <w:p>
      <w:pPr>
        <w:spacing w:after="200" w:before="0" w:line="360" w:lineRule="auto"/>
        <w:jc w:val="both"/>
      </w:pPr>
      <w:r>
        <w:rPr>
          <w:rFonts w:ascii="Times New Roman" w:hAnsi="Times New Roman"/>
          <w:b w:val="0"/>
          <w:i w:val="0"/>
          <w:sz w:val="24"/>
        </w:rPr>
        <w:t xml:space="preserve">Silent error rate matters because an unnoticed wrong answer is more damaging than a visible refusal. </w:t>
      </w:r>
      <w:r>
        <w:rPr>
          <w:rFonts w:ascii="Times New Roman" w:hAnsi="Times New Roman"/>
          <w:b w:val="0"/>
          <w:i w:val="0"/>
          <w:sz w:val="24"/>
        </w:rPr>
        <w:t>[5]</w:t>
      </w:r>
      <w:r>
        <w:rPr>
          <w:rFonts w:ascii="Times New Roman" w:hAnsi="Times New Roman"/>
          <w:b w:val="0"/>
          <w:i w:val="0"/>
          <w:sz w:val="24"/>
        </w:rPr>
        <w:t>, in the NaLIR user study, found that of 32 wrong answers produced without an interactive confirmation step, participants detected only 7 unaided. A governed reporting system that answers confidently and wrongly is therefore not a safe default merely because it avoids refusing; it is a failure mode that the person reading the report has little chance of catching without an independent check.</w:t>
      </w:r>
    </w:p>
    <w:p>
      <w:pPr>
        <w:spacing w:after="200" w:before="0" w:line="360" w:lineRule="auto"/>
        <w:jc w:val="both"/>
      </w:pPr>
      <w:r>
        <w:rPr>
          <w:rFonts w:ascii="Times New Roman" w:hAnsi="Times New Roman"/>
          <w:b w:val="0"/>
          <w:i w:val="0"/>
          <w:sz w:val="24"/>
        </w:rPr>
        <w:t>One further caveat applies to every figure in Table 5.10: each is a single run. An earlier measurement of the same pipeline reported false abstention at 23.6% (13/55) and silent error rate at 13.1% (14/107), against 25.5% and 11.2% here. The totals barely moved, but the underlying sets churned more than the totals suggest — two question ids left the wrongly-declined list while three joined it, and one id moved from wrongly-declined into silent errors while another moved the opposite way. The two runs are not cleanly comparable, because the earlier one was competing with a concurrent copy of itself for a rate-limited model endpoint and its timeouts could themselves have shifted outcomes; the figures reported here come from a clean run with no rate limiting and no failed requests. The honest reading is that a single-run figure on this benchmark carries a wobble of a question or two even at fixed temperature. Reporting a mean over repeated runs with its spread would be the stronger method, and it has not been done.</w:t>
      </w:r>
    </w:p>
    <w:p>
      <w:pPr>
        <w:spacing w:after="200" w:before="0" w:line="360" w:lineRule="auto"/>
        <w:jc w:val="both"/>
      </w:pPr>
      <w:r>
        <w:rPr>
          <w:rFonts w:ascii="Times New Roman" w:hAnsi="Times New Roman"/>
          <w:b w:val="0"/>
          <w:i w:val="0"/>
          <w:sz w:val="24"/>
        </w:rPr>
        <w:t>Abstention recall is reported here only beside false abstention rate, and this pairing is not optional. A system that refuses every request scores 100% on abstention recall alone, which would make the metric worthless on its own. No system in the reference corpus reviewed in Chapter 2 measures the refusal channel this way; reporting the two figures together, rather than the first in isolation, is the methodological contribution of this section.</w:t>
      </w:r>
    </w:p>
    <w:p>
      <w:pPr>
        <w:spacing w:after="0" w:before="0" w:line="360" w:lineRule="auto"/>
        <w:jc w:val="both"/>
      </w:pPr>
      <w:r>
        <w:rPr>
          <w:rFonts w:ascii="Times New Roman" w:hAnsi="Times New Roman"/>
          <w:b w:val="0"/>
          <w:i w:val="0"/>
          <w:sz w:val="24"/>
        </w:rPr>
        <w:t>Translation precision and silent error rate are not quotable as findings in this thesis. Both are scored against the aegis_correct labels in the semantic-correctness annotation file, and those labels describe the SQL produced by the pipeline version that existed before the interventions described below, not the current pipeline. The tell is that translation precision has read exactly 29.9% on every run: it is the same 32-of-107 label count being re-read rather than a fresh measurement of the current system. Both metrics are marked "Not yet valid — requires re-annotation" in Table 5.10 rather than reported as results, and re-annotating them against the current pipeline's SQL is listed as future work in Chapter 6.</w:t>
      </w:r>
    </w:p>
    <w:p>
      <w:pPr>
        <w:spacing w:before="200" w:after="160"/>
        <w:jc w:val="left"/>
      </w:pPr>
      <w:r>
        <w:rPr>
          <w:rFonts w:ascii="Times New Roman" w:hAnsi="Times New Roman"/>
          <w:b/>
          <w:sz w:val="25"/>
        </w:rPr>
        <w:t>5.9.1  The Abstention Improvement Trajectory</w:t>
      </w:r>
    </w:p>
    <w:p>
      <w:pPr>
        <w:spacing w:after="200" w:before="0" w:line="360" w:lineRule="auto"/>
        <w:jc w:val="both"/>
      </w:pPr>
      <w:r>
        <w:rPr>
          <w:rFonts w:ascii="Times New Roman" w:hAnsi="Times New Roman"/>
          <w:b w:val="0"/>
          <w:i w:val="0"/>
          <w:sz w:val="24"/>
        </w:rPr>
        <w:t>False abstention rate is the metric this project moved deliberately, and it is the central result of this section. Across three measured stages, false abstention fell from 61.8% to 40.0% to the current 25.5%, while abstention recall held at 100.0% throughout. No architectural change was required at any step: every improvement came from fixing an implementation defect or extending a configuration, not from redesigning the pipeline.</w:t>
      </w:r>
    </w:p>
    <w:p>
      <w:pPr>
        <w:spacing w:before="200" w:after="80"/>
        <w:jc w:val="center"/>
        <w:keepNext/>
      </w:pPr>
      <w:r>
        <w:rPr>
          <w:rFonts w:ascii="Times New Roman" w:hAnsi="Times New Roman"/>
          <w:b/>
          <w:sz w:val="22"/>
        </w:rPr>
        <w:t>Table 5.11: False-abstention improvement trajectory.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656"/>
        <w:gridCol w:w="1512"/>
        <w:gridCol w:w="403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Stage</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False abstention rate</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Abstention recall</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Intervention applied</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Initial measured run</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61.8%</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100.0%</w:t>
            </w:r>
          </w:p>
        </w:tc>
        <w:tc>
          <w:tcPr>
            <w:tcW w:type="dxa" w:w="4032"/>
          </w:tcPr>
          <w:p>
            <w:pPr>
              <w:spacing w:before="0" w:after="0" w:line="240" w:lineRule="auto"/>
              <w:jc w:val="center"/>
              <w:keepNext/>
            </w:pPr>
            <w:r>
              <w:rPr>
                <w:rFonts w:ascii="Times New Roman" w:hAnsi="Times New Roman"/>
                <w:sz w:val="21"/>
              </w:rPr>
            </w:r>
            <w:r>
              <w:rPr>
                <w:rFonts w:ascii="Times New Roman" w:hAnsi="Times New Roman"/>
                <w:b w:val="0"/>
                <w:sz w:val="21"/>
              </w:rPr>
              <w:t>— (baseline instrumentation)</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After validating unmapped terms</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40.0%</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100.0%</w:t>
            </w:r>
          </w:p>
        </w:tc>
        <w:tc>
          <w:tcPr>
            <w:tcW w:type="dxa" w:w="4032"/>
          </w:tcPr>
          <w:p>
            <w:pPr>
              <w:spacing w:before="0" w:after="0" w:line="240" w:lineRule="auto"/>
              <w:jc w:val="center"/>
              <w:keepNext/>
            </w:pPr>
            <w:r>
              <w:rPr>
                <w:rFonts w:ascii="Times New Roman" w:hAnsi="Times New Roman"/>
                <w:sz w:val="21"/>
              </w:rPr>
            </w:r>
            <w:r>
              <w:rPr>
                <w:rFonts w:ascii="Times New Roman" w:hAnsi="Times New Roman"/>
                <w:b w:val="0"/>
                <w:sz w:val="21"/>
              </w:rPr>
              <w:t>Validated the model's self-reported unmapped terms instead of trusting them</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Current</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25.5%</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100.0%</w:t>
            </w:r>
          </w:p>
        </w:tc>
        <w:tc>
          <w:tcPr>
            <w:tcW w:type="dxa" w:w="4032"/>
          </w:tcPr>
          <w:p>
            <w:pPr>
              <w:spacing w:before="0" w:after="0" w:line="240" w:lineRule="auto"/>
              <w:jc w:val="center"/>
              <w:keepNext/>
            </w:pPr>
            <w:r>
              <w:rPr>
                <w:rFonts w:ascii="Times New Roman" w:hAnsi="Times New Roman"/>
                <w:sz w:val="21"/>
              </w:rPr>
            </w:r>
            <w:r>
              <w:rPr>
                <w:rFonts w:ascii="Times New Roman" w:hAnsi="Times New Roman"/>
                <w:b w:val="0"/>
                <w:sz w:val="21"/>
              </w:rPr>
              <w:t>Separated time granularity from time filtering; extended the semantic layer from 12 to 17 of the 126 available schema tables</w:t>
            </w:r>
          </w:p>
        </w:tc>
      </w:tr>
    </w:tbl>
    <w:p>
      <w:pPr>
        <w:spacing w:after="80"/>
      </w:pPr>
    </w:p>
    <w:p>
      <w:pPr>
        <w:spacing w:after="0" w:before="0" w:line="360" w:lineRule="auto"/>
        <w:jc w:val="both"/>
      </w:pPr>
      <w:r>
        <w:rPr>
          <w:rFonts w:ascii="Times New Roman" w:hAnsi="Times New Roman"/>
          <w:b w:val="0"/>
          <w:i w:val="0"/>
          <w:sz w:val="24"/>
        </w:rPr>
        <w:t>The interventions were configuration and implementation changes, not architectural ones: no new component was added to the pipeline, and the LLM's role remained restricted to intent extraction throughout. This supports the interpretation that semantic accuracy in this architecture is an implementation and configuration property rather than an architectural one — the ceiling is set by how much of the schema and vocabulary is exposed and how carefully the model's self-reported signals are checked, not by the constraint-based design itself.</w:t>
      </w:r>
    </w:p>
    <w:p>
      <w:pPr>
        <w:spacing w:before="200" w:after="160"/>
        <w:jc w:val="left"/>
      </w:pPr>
      <w:r>
        <w:rPr>
          <w:rFonts w:ascii="Times New Roman" w:hAnsi="Times New Roman"/>
          <w:b/>
          <w:sz w:val="25"/>
        </w:rPr>
        <w:t>5.9.2  Residual Analysis</w:t>
      </w:r>
    </w:p>
    <w:p>
      <w:pPr>
        <w:spacing w:after="0" w:before="0" w:line="360" w:lineRule="auto"/>
        <w:jc w:val="both"/>
      </w:pPr>
      <w:r>
        <w:rPr>
          <w:rFonts w:ascii="Times New Roman" w:hAnsi="Times New Roman"/>
          <w:b w:val="0"/>
          <w:i w:val="0"/>
          <w:sz w:val="24"/>
        </w:rPr>
        <w:t>Part of the remaining 25.5% false abstention rate is label error rather than system error. Several requests labelled "answer" in the annotation file are not, on inspection, answerable against the current semantic layer: a composite "health score" combining sales, stock levels, and refund rates into one number (request 53), abandoned-checkout events (request 96), and first-time-versus-returning customer cohorts as a dimension before that dimension existed in the semantic layer. These labels were assigned when the previous pipeline answered the corresponding requests by nearest-match substitution against an unrelated metric, so the annotation records that a query executed, not that the request was genuinely answerable. Correcting these labels is part of the re-annotation work noted above, and would place the true false-abstention rate somewhat below 25.5%.</w:t>
      </w:r>
    </w:p>
    <w:p>
      <w:pPr>
        <w:spacing w:before="320" w:after="160"/>
        <w:jc w:val="left"/>
      </w:pPr>
      <w:r>
        <w:rPr>
          <w:rFonts w:ascii="Times New Roman" w:hAnsi="Times New Roman"/>
          <w:b/>
          <w:sz w:val="28"/>
        </w:rPr>
        <w:t>5.10  Coverage Against the Platform's Native Report Suite</w:t>
      </w:r>
    </w:p>
    <w:p>
      <w:pPr>
        <w:spacing w:after="200" w:before="0" w:line="360" w:lineRule="auto"/>
        <w:jc w:val="both"/>
      </w:pPr>
      <w:r>
        <w:rPr>
          <w:rFonts w:ascii="Times New Roman" w:hAnsi="Times New Roman"/>
          <w:b w:val="0"/>
          <w:i w:val="0"/>
          <w:sz w:val="24"/>
        </w:rPr>
        <w:t>The 107-request benchmark used in the rest of this chapter was authored for this thesis, which raises an unavoidable question of annotation bias: a benchmark's author can, even unintentionally, phrase requests toward the system's known strengths. A benchmark whose question list is fixed by an outside party avoids this. nopCommerce, the e-commerce platform whose schema underlies the evaluation database, ships a fixed set of standard admin reports as a built-in reporting surface. AEGIS reproduces all 20 of these reports from natural-language requests, each producing compiled SQL and an automatically selected chart type.</w:t>
      </w:r>
    </w:p>
    <w:p>
      <w:pPr>
        <w:spacing w:before="200" w:after="80"/>
        <w:jc w:val="center"/>
        <w:keepNext/>
      </w:pPr>
      <w:r>
        <w:rPr>
          <w:rFonts w:ascii="Times New Roman" w:hAnsi="Times New Roman"/>
          <w:b/>
          <w:sz w:val="22"/>
        </w:rPr>
        <w:t>Table 5.12: Coverage of nopCommerce's standard admin reports (20 of 20).</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
        <w:gridCol w:w="3672"/>
        <w:gridCol w:w="504"/>
        <w:gridCol w:w="367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Report</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Report</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1</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Sales summary by month</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11</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Order status breakdown</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Sales summary today</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Incomplete orders</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Bestsellers by quantity</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Latest orders</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4</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Bestsellers by amount</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14</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Sales by category</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Products never purchased</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Sales by manufacturer</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6</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Country sales</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16</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Average order value</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7</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Best customers by order total</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17</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Shipment count</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8</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Best customers by order count</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18</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Refund totals</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Registered customers</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Tax collected</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10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Low stock</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20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Daily revenue trend</w:t>
            </w:r>
          </w:p>
        </w:tc>
      </w:tr>
    </w:tbl>
    <w:p>
      <w:pPr>
        <w:spacing w:after="80"/>
      </w:pPr>
    </w:p>
    <w:p>
      <w:pPr>
        <w:spacing w:after="0" w:before="0" w:line="360" w:lineRule="auto"/>
        <w:jc w:val="both"/>
      </w:pPr>
      <w:r>
        <w:rPr>
          <w:rFonts w:ascii="Times New Roman" w:hAnsi="Times New Roman"/>
          <w:b w:val="0"/>
          <w:i w:val="0"/>
          <w:sz w:val="24"/>
        </w:rPr>
        <w:t>This is a stronger evaluation than the self-authored question set for a specific reason: the report list is defined by the host platform rather than by the thesis author, so there is no annotation bias in which requests were chosen, and reproducing it answers a direct question — can natural language reproduce the platform's own built-in reporting surface? — rather than a question shaped by the evaluator. AEGIS additionally supports parameterised variation of these reports, such as arbitrary date ranges, category filters, or customer segments, that the fixed admin panel screens have no control for.</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construction: </w:t>
      </w:r>
      <w:r>
        <w:rPr>
          <w:rFonts w:ascii="Times New Roman" w:hAnsi="Times New Roman"/>
          <w:sz w:val="24"/>
        </w:rPr>
        <w:t>Each deployment requires a domain-specific semantic layer prepared by someone with both business knowledge and schema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Bounded query coverage: </w:t>
      </w:r>
      <w:r>
        <w:rPr>
          <w:rFonts w:ascii="Times New Roman" w:hAnsi="Times New Roman"/>
          <w:sz w:val="24"/>
        </w:rPr>
        <w:t>AEGIS only answers questions that map to supported metrics, dimensions, patterns, and join paths.</w:t>
      </w:r>
    </w:p>
    <w:p>
      <w:pPr>
        <w:spacing w:after="80" w:line="360" w:lineRule="auto"/>
        <w:ind w:left="461" w:hanging="259"/>
      </w:pPr>
      <w:r>
        <w:rPr>
          <w:rFonts w:ascii="Times New Roman" w:hAnsi="Times New Roman"/>
          <w:sz w:val="24"/>
        </w:rPr>
        <w:t>•</w:t>
        <w:tab/>
      </w:r>
      <w:r>
        <w:rPr>
          <w:rFonts w:ascii="Times New Roman" w:hAnsi="Times New Roman"/>
          <w:b/>
          <w:sz w:val="24"/>
        </w:rPr>
        <w:t xml:space="preserve">Correctness annotation: </w:t>
      </w:r>
      <w:r>
        <w:rPr>
          <w:rFonts w:ascii="Times New Roman" w:hAnsi="Times New Roman"/>
          <w:sz w:val="24"/>
        </w:rPr>
        <w:t>The first-pass annotation found that safe SQL can still answer the wrong business question, especially when requests are unsupported or vague.</w:t>
      </w:r>
    </w:p>
    <w:p>
      <w:pPr>
        <w:spacing w:after="80" w:line="360" w:lineRule="auto"/>
        <w:ind w:left="461" w:hanging="259"/>
      </w:pPr>
      <w:r>
        <w:rPr>
          <w:rFonts w:ascii="Times New Roman" w:hAnsi="Times New Roman"/>
          <w:sz w:val="24"/>
        </w:rPr>
        <w:t>•</w:t>
        <w:tab/>
      </w:r>
      <w:r>
        <w:rPr>
          <w:rFonts w:ascii="Times New Roman" w:hAnsi="Times New Roman"/>
          <w:b/>
          <w:sz w:val="24"/>
        </w:rPr>
        <w:t xml:space="preserve">Benchmark scope: </w:t>
      </w:r>
      <w:r>
        <w:rPr>
          <w:rFonts w:ascii="Times New Roman" w:hAnsi="Times New Roman"/>
          <w:sz w:val="24"/>
        </w:rPr>
        <w:t>The custom 107-request benchmark evaluates AEGIS in one domain and is not directly comparable to Spider or BIRD leaderboard scores.</w:t>
      </w:r>
    </w:p>
    <w:p>
      <w:pPr>
        <w:spacing w:after="80" w:line="360" w:lineRule="auto"/>
        <w:ind w:left="461" w:hanging="259"/>
      </w:pPr>
      <w:r>
        <w:rPr>
          <w:rFonts w:ascii="Times New Roman" w:hAnsi="Times New Roman"/>
          <w:sz w:val="24"/>
        </w:rPr>
        <w:t>•</w:t>
        <w:tab/>
      </w:r>
      <w:r>
        <w:rPr>
          <w:rFonts w:ascii="Times New Roman" w:hAnsi="Times New Roman"/>
          <w:b/>
          <w:sz w:val="24"/>
        </w:rPr>
        <w:t xml:space="preserve">Metric currency: </w:t>
      </w:r>
      <w:r>
        <w:rPr>
          <w:rFonts w:ascii="Times New Roman" w:hAnsi="Times New Roman"/>
          <w:sz w:val="24"/>
        </w:rPr>
        <w:t>True database execution validity and the first-pass semantic-correctness annotation (Sections 5.4 and 5.6) were measured against the pipeline version that existed before the abstention-handling interventions in Section 5.9, and have not been re-measured against the current pipeline.</w:t>
      </w:r>
    </w:p>
    <w:p>
      <w:pPr>
        <w:spacing w:after="80" w:line="360" w:lineRule="auto"/>
        <w:ind w:left="461" w:hanging="259"/>
      </w:pPr>
      <w:r>
        <w:rPr>
          <w:rFonts w:ascii="Times New Roman" w:hAnsi="Times New Roman"/>
          <w:sz w:val="24"/>
        </w:rPr>
        <w:t>•</w:t>
        <w:tab/>
      </w:r>
      <w:r>
        <w:rPr>
          <w:rFonts w:ascii="Times New Roman" w:hAnsi="Times New Roman"/>
          <w:b/>
          <w:sz w:val="24"/>
        </w:rPr>
        <w:t xml:space="preserve">Re-annotation required: </w:t>
      </w:r>
      <w:r>
        <w:rPr>
          <w:rFonts w:ascii="Times New Roman" w:hAnsi="Times New Roman"/>
          <w:sz w:val="24"/>
        </w:rPr>
        <w:t>Translation precision and silent error rate (Section 5.9) are scored against correctness labels that describe the earlier pipeline's SQL and cannot be reported as current findings until the annotation file is redone against the current pipeline.</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engineering limits: </w:t>
      </w:r>
      <w:r>
        <w:rPr>
          <w:rFonts w:ascii="Times New Roman" w:hAnsi="Times New Roman"/>
          <w:sz w:val="24"/>
        </w:rPr>
        <w:t>The current version targets MySQL, uses prototype widget storage, and handles each request independently without multi-turn context.</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Clarification requests: </w:t>
      </w:r>
      <w:r>
        <w:rPr>
          <w:rFonts w:ascii="Times New Roman" w:hAnsi="Times New Roman"/>
          <w:sz w:val="24"/>
        </w:rPr>
        <w:t>When confidence is low, AEGIS should ask a follow-up question instead of guessing, for example "did you mean revenue or profit?"</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A guided interface should let business analysts define new metrics and dimensions, join paths, and approved vocabulary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Stronger evaluation: </w:t>
      </w:r>
      <w:r>
        <w:rPr>
          <w:rFonts w:ascii="Times New Roman" w:hAnsi="Times New Roman"/>
          <w:sz w:val="24"/>
        </w:rPr>
        <w:t>The machine-assisted correctness annotation should be reviewed manually, and future work should add stronger robustness tests and cross-schema evaluation.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A second schema, such as WooCommerce, should be evaluated while keeping the intent parser contract, compiler structure, and safety scanner unchanged.</w:t>
      </w:r>
    </w:p>
    <w:p>
      <w:pPr>
        <w:spacing w:after="80" w:line="360" w:lineRule="auto"/>
        <w:ind w:left="461" w:hanging="259"/>
      </w:pPr>
      <w:r>
        <w:rPr>
          <w:rFonts w:ascii="Times New Roman" w:hAnsi="Times New Roman"/>
          <w:sz w:val="24"/>
        </w:rPr>
        <w:t>•</w:t>
        <w:tab/>
      </w:r>
      <w:r>
        <w:rPr>
          <w:rFonts w:ascii="Times New Roman" w:hAnsi="Times New Roman"/>
          <w:b/>
          <w:sz w:val="24"/>
        </w:rPr>
        <w:t xml:space="preserve">Production hardening: </w:t>
      </w:r>
      <w:r>
        <w:rPr>
          <w:rFonts w:ascii="Times New Roman" w:hAnsi="Times New Roman"/>
          <w:sz w:val="24"/>
        </w:rPr>
        <w:t>Query-cost controls, database-backed widget storage, broader schema coverage, and multi-turn support should be added before production deployment.</w:t>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prototype evaluation on a 107-request mixed benchmark showed that AEGIS produced no unsafe SQL statements and, in the baseline pipeline run described in Section 5.4, successfully executed 100 of 107 generated queries against the seeded MySQL database. In contrast, the direct LLM-to-SQL baseline executed 27 of 107 queries successfully and produced one genuine unsafe write statement. A first-pass semantic-correctness annotation also showed stronger answerable-request correctness for AEGIS than for the evaluated baselines, though that annotation is scored against the same earlier pipeline and is not re-measured. These results support the main argument that deterministic compilation and semantic-layer constraints can improve SQL safety in natural-language reporting systems.</w:t>
      </w:r>
    </w:p>
    <w:p>
      <w:pPr>
        <w:spacing w:after="240" w:before="0" w:line="360" w:lineRule="auto"/>
        <w:jc w:val="both"/>
      </w:pPr>
      <w:r>
        <w:rPr>
          <w:rFonts w:ascii="Times New Roman" w:hAnsi="Times New Roman"/>
          <w:b w:val="0"/>
          <w:i w:val="0"/>
          <w:sz w:val="24"/>
        </w:rPr>
        <w:t>The abstention-aware evaluation in Section 5.9 is the thesis's central result on correctness rather than safety. Across three measured stages, false abstention fell from 61.8% to 40.0% to the current 25.5%, while abstention recall held at 100.0% throughout, and no architectural change was required at any step: each improvement came from validating a self-reported model signal, separating time granularity from time filtering, or extending the semantic layer's table coverage. This supports treating semantic accuracy in this architecture as an implementation and configuration property rather than an architectural one. Section 5.10 further shows that AEGIS reproduces all 20 of nopCommerce's own standard admin reports from natural language, a coverage check whose question list is fixed by the host platform rather than by the thesis author.</w:t>
      </w:r>
    </w:p>
    <w:p>
      <w:pPr>
        <w:spacing w:after="0" w:before="0" w:line="360" w:lineRule="auto"/>
        <w:jc w:val="both"/>
      </w:pPr>
      <w:r>
        <w:rPr>
          <w:rFonts w:ascii="Times New Roman" w:hAnsi="Times New Roman"/>
          <w:b w:val="0"/>
          <w:i w:val="0"/>
          <w:sz w:val="24"/>
        </w:rPr>
        <w:t>AEGIS is not a general-purpose text-to-SQL system. Its limitations include semantic layer construction cost, bounded query coverage, remaining execution failures, incomplete scope detection, a false abstention rate that has not reached zero, and the need for a separately re-annotated semantic-correctness benchmark against the current pipeline. Within this scope, the thesis demonstrates that restricting SQL generation to validated business patterns is a practical direction for safer, reusable, and more auditable natural-language analytics in institutional environments.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