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two static nopCommerce corpora: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16</w:t>
      </w:r>
    </w:p>
    <w:p>
      <w:pPr>
        <w:spacing w:after="80" w:before="0" w:line="360" w:lineRule="auto"/>
        <w:ind w:left="432"/>
        <w:jc w:val="both"/>
        <w:tabs>
          <w:tab w:val="right" w:leader="dot" w:pos="8640"/>
        </w:tabs>
      </w:pPr>
      <w:r>
        <w:rPr>
          <w:rFonts w:ascii="Times New Roman" w:hAnsi="Times New Roman"/>
          <w:b w:val="0"/>
          <w:sz w:val="23"/>
        </w:rPr>
        <w:t>3.10 Visualization Selector</w:t>
        <w:tab/>
        <w:t>18</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20</w:t>
      </w:r>
    </w:p>
    <w:p>
      <w:pPr>
        <w:spacing w:after="80" w:before="0" w:line="360" w:lineRule="auto"/>
        <w:ind w:left="432"/>
        <w:jc w:val="both"/>
        <w:tabs>
          <w:tab w:val="right" w:leader="dot" w:pos="8640"/>
        </w:tabs>
      </w:pPr>
      <w:r>
        <w:rPr>
          <w:rFonts w:ascii="Times New Roman" w:hAnsi="Times New Roman"/>
          <w:b w:val="0"/>
          <w:sz w:val="23"/>
        </w:rPr>
        <w:t>4.1 Implementation</w:t>
        <w:tab/>
        <w:t>20</w:t>
      </w:r>
    </w:p>
    <w:p>
      <w:pPr>
        <w:spacing w:after="80" w:before="0" w:line="360" w:lineRule="auto"/>
        <w:ind w:left="432"/>
        <w:jc w:val="both"/>
        <w:tabs>
          <w:tab w:val="right" w:leader="dot" w:pos="8640"/>
        </w:tabs>
      </w:pPr>
      <w:r>
        <w:rPr>
          <w:rFonts w:ascii="Times New Roman" w:hAnsi="Times New Roman"/>
          <w:b w:val="0"/>
          <w:sz w:val="23"/>
        </w:rPr>
        <w:t>4.2 Experimental Environment</w:t>
        <w:tab/>
        <w:t>21</w:t>
      </w:r>
    </w:p>
    <w:p>
      <w:pPr>
        <w:spacing w:after="80" w:before="0" w:line="360" w:lineRule="auto"/>
        <w:ind w:left="432"/>
        <w:jc w:val="both"/>
        <w:tabs>
          <w:tab w:val="right" w:leader="dot" w:pos="8640"/>
        </w:tabs>
      </w:pPr>
      <w:r>
        <w:rPr>
          <w:rFonts w:ascii="Times New Roman" w:hAnsi="Times New Roman"/>
          <w:b w:val="0"/>
          <w:sz w:val="23"/>
        </w:rPr>
        <w:t>4.3 Benchmark Dataset Construction</w:t>
        <w:tab/>
        <w:t>21</w:t>
      </w:r>
    </w:p>
    <w:p>
      <w:pPr>
        <w:spacing w:after="80" w:before="0" w:line="360" w:lineRule="auto"/>
        <w:ind w:left="432"/>
        <w:jc w:val="both"/>
        <w:tabs>
          <w:tab w:val="right" w:leader="dot" w:pos="8640"/>
        </w:tabs>
      </w:pPr>
      <w:r>
        <w:rPr>
          <w:rFonts w:ascii="Times New Roman" w:hAnsi="Times New Roman"/>
          <w:b w:val="0"/>
          <w:sz w:val="23"/>
        </w:rPr>
        <w:t>4.4 Baseline and Oracle Comparisons</w:t>
        <w:tab/>
        <w:t>22</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24</w:t>
      </w:r>
    </w:p>
    <w:p>
      <w:pPr>
        <w:spacing w:after="80" w:before="0" w:line="360" w:lineRule="auto"/>
        <w:ind w:left="432"/>
        <w:jc w:val="both"/>
        <w:tabs>
          <w:tab w:val="right" w:leader="dot" w:pos="8640"/>
        </w:tabs>
      </w:pPr>
      <w:r>
        <w:rPr>
          <w:rFonts w:ascii="Times New Roman" w:hAnsi="Times New Roman"/>
          <w:b w:val="0"/>
          <w:sz w:val="23"/>
        </w:rPr>
        <w:t>5.1 Evaluation Overview</w:t>
        <w:tab/>
        <w:t>24</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24</w:t>
      </w:r>
    </w:p>
    <w:p>
      <w:pPr>
        <w:spacing w:after="80" w:before="0" w:line="360" w:lineRule="auto"/>
        <w:ind w:left="432"/>
        <w:jc w:val="both"/>
        <w:tabs>
          <w:tab w:val="right" w:leader="dot" w:pos="8640"/>
        </w:tabs>
      </w:pPr>
      <w:r>
        <w:rPr>
          <w:rFonts w:ascii="Times New Roman" w:hAnsi="Times New Roman"/>
          <w:b w:val="0"/>
          <w:sz w:val="23"/>
        </w:rPr>
        <w:t>5.3 Admin Fidelity Benchmark</w:t>
        <w:tab/>
        <w:t>25</w:t>
      </w:r>
    </w:p>
    <w:p>
      <w:pPr>
        <w:spacing w:after="80" w:before="0" w:line="360" w:lineRule="auto"/>
        <w:ind w:left="432"/>
        <w:jc w:val="both"/>
        <w:tabs>
          <w:tab w:val="right" w:leader="dot" w:pos="8640"/>
        </w:tabs>
      </w:pPr>
      <w:r>
        <w:rPr>
          <w:rFonts w:ascii="Times New Roman" w:hAnsi="Times New Roman"/>
          <w:b w:val="0"/>
          <w:sz w:val="23"/>
        </w:rPr>
        <w:t>5.4 Focused Semantic Coverage</w:t>
        <w:tab/>
        <w:t>25</w:t>
      </w:r>
    </w:p>
    <w:p>
      <w:pPr>
        <w:spacing w:after="80" w:before="0" w:line="360" w:lineRule="auto"/>
        <w:ind w:left="432"/>
        <w:jc w:val="both"/>
        <w:tabs>
          <w:tab w:val="right" w:leader="dot" w:pos="8640"/>
        </w:tabs>
      </w:pPr>
      <w:r>
        <w:rPr>
          <w:rFonts w:ascii="Times New Roman" w:hAnsi="Times New Roman"/>
          <w:b w:val="0"/>
          <w:sz w:val="23"/>
        </w:rPr>
        <w:t>5.5 Safety Evaluation</w:t>
        <w:tab/>
        <w:t>26</w:t>
      </w:r>
    </w:p>
    <w:p>
      <w:pPr>
        <w:spacing w:after="80" w:before="0" w:line="360" w:lineRule="auto"/>
        <w:ind w:left="432"/>
        <w:jc w:val="both"/>
        <w:tabs>
          <w:tab w:val="right" w:leader="dot" w:pos="8640"/>
        </w:tabs>
      </w:pPr>
      <w:r>
        <w:rPr>
          <w:rFonts w:ascii="Times New Roman" w:hAnsi="Times New Roman"/>
          <w:b w:val="0"/>
          <w:sz w:val="23"/>
        </w:rPr>
        <w:t>5.6 Comparison With Direct LLM-to-SQL</w:t>
        <w:tab/>
        <w:t>26</w:t>
      </w:r>
    </w:p>
    <w:p>
      <w:pPr>
        <w:spacing w:after="80" w:before="0" w:line="360" w:lineRule="auto"/>
        <w:ind w:left="432"/>
        <w:jc w:val="both"/>
        <w:tabs>
          <w:tab w:val="right" w:leader="dot" w:pos="8640"/>
        </w:tabs>
      </w:pPr>
      <w:r>
        <w:rPr>
          <w:rFonts w:ascii="Times New Roman" w:hAnsi="Times New Roman"/>
          <w:b w:val="0"/>
          <w:sz w:val="23"/>
        </w:rPr>
        <w:t>5.7 Interpretation</w:t>
        <w:tab/>
        <w:t>27</w:t>
      </w:r>
    </w:p>
    <w:p>
      <w:pPr>
        <w:spacing w:after="160" w:before="80" w:line="360" w:lineRule="auto"/>
        <w:ind w:left="0"/>
        <w:jc w:val="both"/>
        <w:tabs>
          <w:tab w:val="right" w:leader="dot" w:pos="8640"/>
        </w:tabs>
      </w:pPr>
      <w:r>
        <w:rPr>
          <w:rFonts w:ascii="Times New Roman" w:hAnsi="Times New Roman"/>
          <w:b/>
          <w:sz w:val="24"/>
        </w:rPr>
        <w:t>Chapter 6: Limitations and Future Work</w:t>
        <w:tab/>
        <w:t>28</w:t>
      </w:r>
    </w:p>
    <w:p>
      <w:pPr>
        <w:spacing w:after="80" w:before="0" w:line="360" w:lineRule="auto"/>
        <w:ind w:left="432"/>
        <w:jc w:val="both"/>
        <w:tabs>
          <w:tab w:val="right" w:leader="dot" w:pos="8640"/>
        </w:tabs>
      </w:pPr>
      <w:r>
        <w:rPr>
          <w:rFonts w:ascii="Times New Roman" w:hAnsi="Times New Roman"/>
          <w:b w:val="0"/>
          <w:sz w:val="23"/>
        </w:rPr>
        <w:t>6.1 Limitations</w:t>
        <w:tab/>
        <w:t>28</w:t>
      </w:r>
    </w:p>
    <w:p>
      <w:pPr>
        <w:spacing w:after="80" w:before="0" w:line="360" w:lineRule="auto"/>
        <w:ind w:left="432"/>
        <w:jc w:val="both"/>
        <w:tabs>
          <w:tab w:val="right" w:leader="dot" w:pos="8640"/>
        </w:tabs>
      </w:pPr>
      <w:r>
        <w:rPr>
          <w:rFonts w:ascii="Times New Roman" w:hAnsi="Times New Roman"/>
          <w:b w:val="0"/>
          <w:sz w:val="23"/>
        </w:rPr>
        <w:t>6.2 Future Work</w:t>
        <w:tab/>
        <w:t>29</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31</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16</w:t>
      </w:r>
    </w:p>
    <w:p>
      <w:pPr>
        <w:spacing w:after="80" w:before="0" w:line="360" w:lineRule="auto"/>
        <w:jc w:val="both"/>
        <w:tabs>
          <w:tab w:val="right" w:leader="dot" w:pos="8640"/>
        </w:tabs>
      </w:pPr>
      <w:r>
        <w:rPr>
          <w:rFonts w:ascii="Times New Roman" w:hAnsi="Times New Roman"/>
          <w:sz w:val="24"/>
        </w:rPr>
        <w:t>Figure 5: Two-layer SQL safety defence</w:t>
        <w:tab/>
        <w:t>18</w:t>
      </w:r>
    </w:p>
    <w:p>
      <w:pPr>
        <w:spacing w:after="80" w:before="0" w:line="360" w:lineRule="auto"/>
        <w:jc w:val="both"/>
        <w:tabs>
          <w:tab w:val="right" w:leader="dot" w:pos="8640"/>
        </w:tabs>
      </w:pPr>
      <w:r>
        <w:rPr>
          <w:rFonts w:ascii="Times New Roman" w:hAnsi="Times New Roman"/>
          <w:sz w:val="24"/>
        </w:rPr>
        <w:t>Figure 6: Widget lifecycle and refresh model</w:t>
        <w:tab/>
        <w:t>19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14</w:t>
      </w:r>
    </w:p>
    <w:p>
      <w:pPr>
        <w:spacing w:after="80" w:before="0" w:line="360" w:lineRule="auto"/>
        <w:jc w:val="both"/>
        <w:tabs>
          <w:tab w:val="right" w:leader="dot" w:pos="8640"/>
        </w:tabs>
      </w:pPr>
      <w:r>
        <w:rPr>
          <w:rFonts w:ascii="Times New Roman" w:hAnsi="Times New Roman"/>
          <w:sz w:val="24"/>
        </w:rPr>
        <w:t>Table 3.3: AEGIS analytical patterns</w:t>
        <w:tab/>
        <w:t>17</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21</w:t>
      </w:r>
    </w:p>
    <w:p>
      <w:pPr>
        <w:spacing w:after="80" w:before="0" w:line="360" w:lineRule="auto"/>
        <w:jc w:val="both"/>
        <w:tabs>
          <w:tab w:val="right" w:leader="dot" w:pos="8640"/>
        </w:tabs>
      </w:pPr>
      <w:r>
        <w:rPr>
          <w:rFonts w:ascii="Times New Roman" w:hAnsi="Times New Roman"/>
          <w:sz w:val="24"/>
        </w:rPr>
        <w:t>Table 4.2: Experimental setup</w:t>
        <w:tab/>
        <w:t>21</w:t>
      </w:r>
    </w:p>
    <w:p>
      <w:pPr>
        <w:spacing w:after="80" w:before="0" w:line="360" w:lineRule="auto"/>
        <w:jc w:val="both"/>
        <w:tabs>
          <w:tab w:val="right" w:leader="dot" w:pos="8640"/>
        </w:tabs>
      </w:pPr>
      <w:r>
        <w:rPr>
          <w:rFonts w:ascii="Times New Roman" w:hAnsi="Times New Roman"/>
          <w:sz w:val="24"/>
        </w:rPr>
        <w:t>Table 4.3: Static evaluation datasets</w:t>
        <w:tab/>
        <w:t>22</w:t>
      </w:r>
    </w:p>
    <w:p>
      <w:pPr>
        <w:spacing w:after="80" w:before="0" w:line="360" w:lineRule="auto"/>
        <w:jc w:val="both"/>
        <w:tabs>
          <w:tab w:val="right" w:leader="dot" w:pos="8640"/>
        </w:tabs>
      </w:pPr>
      <w:r>
        <w:rPr>
          <w:rFonts w:ascii="Times New Roman" w:hAnsi="Times New Roman"/>
          <w:sz w:val="24"/>
        </w:rPr>
        <w:t>Table 5.1: Current evaluation artifacts</w:t>
        <w:tab/>
        <w:t>24</w:t>
      </w:r>
    </w:p>
    <w:p>
      <w:pPr>
        <w:spacing w:after="80" w:before="0" w:line="360" w:lineRule="auto"/>
        <w:jc w:val="both"/>
        <w:tabs>
          <w:tab w:val="right" w:leader="dot" w:pos="8640"/>
        </w:tabs>
      </w:pPr>
      <w:r>
        <w:rPr>
          <w:rFonts w:ascii="Times New Roman" w:hAnsi="Times New Roman"/>
          <w:sz w:val="24"/>
        </w:rPr>
        <w:t>Table 5.2: 500-question live benchmark results</w:t>
        <w:tab/>
        <w:t>25</w:t>
      </w:r>
    </w:p>
    <w:p>
      <w:pPr>
        <w:spacing w:after="80" w:before="0" w:line="360" w:lineRule="auto"/>
        <w:jc w:val="both"/>
        <w:tabs>
          <w:tab w:val="right" w:leader="dot" w:pos="8640"/>
        </w:tabs>
      </w:pPr>
      <w:r>
        <w:rPr>
          <w:rFonts w:ascii="Times New Roman" w:hAnsi="Times New Roman"/>
          <w:sz w:val="24"/>
        </w:rPr>
        <w:t>Table 5.3: Admin analytics oracle benchmark</w:t>
        <w:tab/>
        <w:t>25</w:t>
      </w:r>
    </w:p>
    <w:p>
      <w:pPr>
        <w:spacing w:after="80" w:before="0" w:line="360" w:lineRule="auto"/>
        <w:jc w:val="both"/>
        <w:tabs>
          <w:tab w:val="right" w:leader="dot" w:pos="8640"/>
        </w:tabs>
      </w:pPr>
      <w:r>
        <w:rPr>
          <w:rFonts w:ascii="Times New Roman" w:hAnsi="Times New Roman"/>
          <w:sz w:val="24"/>
        </w:rPr>
        <w:t>Table 5.4: Focused semantic coverage results</w:t>
        <w:tab/>
        <w:t>26</w:t>
      </w:r>
    </w:p>
    <w:p>
      <w:pPr>
        <w:spacing w:after="80" w:before="0" w:line="360" w:lineRule="auto"/>
        <w:jc w:val="both"/>
        <w:tabs>
          <w:tab w:val="right" w:leader="dot" w:pos="8640"/>
        </w:tabs>
      </w:pPr>
      <w:r>
        <w:rPr>
          <w:rFonts w:ascii="Times New Roman" w:hAnsi="Times New Roman"/>
          <w:sz w:val="24"/>
        </w:rPr>
        <w:t>Table 5.5: Safety interpretation</w:t>
        <w:tab/>
        <w:t>26</w:t>
      </w:r>
    </w:p>
    <w:p>
      <w:pPr>
        <w:spacing w:after="80" w:before="0" w:line="360" w:lineRule="auto"/>
        <w:jc w:val="both"/>
        <w:tabs>
          <w:tab w:val="right" w:leader="dot" w:pos="8640"/>
        </w:tabs>
      </w:pPr>
      <w:r>
        <w:rPr>
          <w:rFonts w:ascii="Times New Roman" w:hAnsi="Times New Roman"/>
          <w:sz w:val="24"/>
        </w:rPr>
        <w:t>Table 5.6: Structural comparison</w:t>
        <w:tab/>
        <w:t>27</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6"/>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6"/>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073589"/>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073589"/>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 4.70-style e-commerce schema.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4.70-style e-commerce schema</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is asked to write MySQL directly for the same 500 questions against the same database, with no semantic layer in between. The arms therefore differ only in whether the model authors the query, which isolates the architectural variable rather than confounding it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conflate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order-level revenue sum fanned out across item-level joins, a missing soft-delete filter, a customer breakdown grouped by display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