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Distribution of analytics primitives across 312 real reporting requests</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Query outcome distribution and coverage-boundary rejection reasons</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historical query logs show that 61% of their reporting questions were just variations of things they had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[28], and large language models can produce reasonable-looking SQL with minimal setup [10].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finding that 61% of reporting requests are recurring.</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An analysis of real reporting behavior based on 312 requests from e-commerce and business-intelligence datasets, resulting in eleven common reporting patterns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surveys prior work across six areas that bear on AEGIS's design: natural language interfaces to databases, neural text-to-SQL and its benchmarks, constrained decoding and recent hybrid NL-to-SQL systems, natural language for visualization, dashboard generation, and semantic layers for controlled analytics. It closes with a review of recent practitioner and adoption-focused literature on AI-powered dashboards, a comparative summary table, and an explicit research gap analysis. Thirty-one sources are reviewed. A systematic re-check of this thesis's reference collection against the source PDFs, undertaken during the preparation of this chapter, found that two files had been filed under the wrong name (an incorrect PDF saved against the correct citation text). Both misfiled papers turned out to be genuinely relevant and are retained under their correct, verified titles (Sections 2.3 and 2.7); the two originally-intended papers were subsequently located, confirmed, and added to the collection under their correct filenames, so this chapter reviews both.</w:t>
      </w:r>
    </w:p>
    <w:p>
      <w:pPr>
        <w:spacing w:before="320" w:after="160"/>
        <w:jc w:val="left"/>
      </w:pPr>
      <w:r>
        <w:rPr>
          <w:rFonts w:ascii="Times New Roman" w:hAnsi="Times New Roman"/>
          <w:b/>
          <w:sz w:val="28"/>
        </w:rPr>
        <w:t>2.1  Natural Language Interfaces to Databases</w:t>
      </w:r>
    </w:p>
    <w:p>
      <w:pPr>
        <w:spacing w:after="200" w:before="0" w:line="360" w:lineRule="auto"/>
        <w:jc w:val="both"/>
      </w:pPr>
      <w:r>
        <w:rPr>
          <w:rFonts w:ascii="Times New Roman" w:hAnsi="Times New Roman"/>
          <w:b w:val="0"/>
          <w:i w:val="0"/>
          <w:sz w:val="24"/>
        </w:rPr>
        <w:t>Natural language database interfaces have been studied for over four decades. Early systems such as LUNAR and TEAM used hand-crafted grammars and domain-specific ontologies to parse queries. These systems were brittle under vocabulary variation, but they established the core insight that query understanding requires an explicit bridge between natural language and schema semantics, rather than treating the schema as implicit context for a general-purpose language model.</w:t>
      </w:r>
    </w:p>
    <w:p>
      <w:pPr>
        <w:spacing w:after="200" w:before="0" w:line="360" w:lineRule="auto"/>
        <w:jc w:val="both"/>
      </w:pPr>
      <w:r>
        <w:rPr>
          <w:rFonts w:ascii="Times New Roman" w:hAnsi="Times New Roman"/>
          <w:b w:val="0"/>
          <w:i w:val="0"/>
          <w:sz w:val="24"/>
        </w:rPr>
        <w:t>Affolter et al. [1] provide the most systematic comparison of this literature to date. They define a ten-question benchmark of increasing complexity (joins, filters, aggregation, negation, subqueries) and evaluate 24 NLIDBs across four architectural classes: keyword-based, pattern-based, parsing-based, and grammar-based. Keyword-based systems answer only simple filter queries and fail on aggregation or subqueries; grammar-based systems such as SQUALL and SPARKLIS achieve the broadest coverage but require users to learn a constrained query vocabulary; parsing-based, ontology-driven systems handle free natural language well but stumble on negation and multi-level subqueries. Their survey never evaluates SQL injection, hallucination, or adversarial safety, a gap this thesis addresses directly.</w:t>
      </w:r>
    </w:p>
    <w:p>
      <w:pPr>
        <w:spacing w:after="200" w:before="0" w:line="360" w:lineRule="auto"/>
        <w:jc w:val="both"/>
      </w:pPr>
      <w:r>
        <w:rPr>
          <w:rFonts w:ascii="Times New Roman" w:hAnsi="Times New Roman"/>
          <w:b w:val="0"/>
          <w:i w:val="0"/>
          <w:sz w:val="24"/>
        </w:rPr>
        <w:t>NaLIR [9] is an important modern NLIDB because it treats ambiguity as a problem to expose rather than to silently resolve. NaLIR parses a query into a grammar-constrained intermediate “query tree” that maps deterministically to SQL, and when parsing is ambiguous it presents the user with a short multiple-choice interaction rather than guessing. In a user study on the Microsoft Academic Search dataset, users with NaLIR's interactive step correctly completed 88 of 98 tasks, versus 56 of 98 using MAS's native faceted-search interface, and only about 68 of 98 without the interactive step. Without interaction, most wrong answers went undetected by users. NaLIR anticipates AEGIS's separation of language understanding from SQL construction, but its correctness still depends on the user actively catching and correcting ambiguous parses; AEGIS instead restricts the LLM to a fixed, pre-approved vocabulary so that incorrect or unsafe SQL is structurally harder to produce in the first place, and it persists results as reusable widgets, which NaLIR does not.</w:t>
      </w:r>
    </w:p>
    <w:p>
      <w:pPr>
        <w:spacing w:after="200" w:before="0" w:line="360" w:lineRule="auto"/>
        <w:jc w:val="both"/>
      </w:pPr>
      <w:r>
        <w:rPr>
          <w:rFonts w:ascii="Times New Roman" w:hAnsi="Times New Roman"/>
          <w:b w:val="0"/>
          <w:i w:val="0"/>
          <w:sz w:val="24"/>
        </w:rPr>
        <w:t>Lehmann et al. describe Veezoo, a commercial analytics platform built around an auto-generated, user-editable Knowledge Graph that matches keywords to database concepts, combined with entity linking, relation extraction, and an ML-based ranking model over candidate logical forms. A controlled experiment with 16 users and an adversarially unoptimized configuration found a median of two query reformulations needed to reach a correct answer. Veezoo's Knowledge Graph is structurally analogous to AEGIS's semantic layer [8], but Veezoo still compiles candidate logical forms into open-ended SQL and relies on iterative dialogue to recover from wrong answers, a generate-fail-retry interaction pattern. AEGIS instead aims to prevent incorrect or unsafe generation up front through a fixed template library.</w:t>
      </w:r>
    </w:p>
    <w:p>
      <w:pPr>
        <w:spacing w:after="0" w:before="0" w:line="360" w:lineRule="auto"/>
        <w:jc w:val="both"/>
      </w:pPr>
      <w:r>
        <w:rPr>
          <w:rFonts w:ascii="Times New Roman" w:hAnsi="Times New Roman"/>
          <w:b w:val="0"/>
          <w:i w:val="0"/>
          <w:sz w:val="24"/>
        </w:rPr>
        <w:t>Liu and Xu [11] provide the most recent systematic review, organizing NLIDB research around a three-stage pipeline of preprocessing, understanding, and translation. Their review is the only one of the reviewed surveys to document empirical SQL-injection risk directly: it discusses TrojanSQL, a backdoor-based injection attack framework against text-to-SQL systems that the authors report achieves a high attack success rate and is difficult to defend against. Their recommended mitigations, chiefly vetted training data and “additional layers of security or filtering,” are general and non-constructive. AEGIS operationalizes exactly this recommendation: by never allowing the LLM to generate SQL text and compiling every query deterministically from a fixed template library, the class of attack Liu and Xu describe cannot reach the SQL layer regardless of what the LLM outputs.</w:t>
      </w:r>
    </w:p>
    <w:p>
      <w:pPr>
        <w:spacing w:before="320" w:after="160"/>
        <w:jc w:val="left"/>
      </w:pPr>
      <w:r>
        <w:rPr>
          <w:rFonts w:ascii="Times New Roman" w:hAnsi="Times New Roman"/>
          <w:b/>
          <w:sz w:val="28"/>
        </w:rPr>
        <w:t>2.2  Neural Text-to-SQL and Benchmark Progress</w:t>
      </w:r>
    </w:p>
    <w:p>
      <w:pPr>
        <w:spacing w:after="200" w:before="0" w:line="360" w:lineRule="auto"/>
        <w:jc w:val="both"/>
      </w:pPr>
      <w:r>
        <w:rPr>
          <w:rFonts w:ascii="Times New Roman" w:hAnsi="Times New Roman"/>
          <w:b w:val="0"/>
          <w:i w:val="0"/>
          <w:sz w:val="24"/>
        </w:rPr>
        <w:t>The field shifted decisively toward neural approaches with Seq2SQL [31], which combined a SQL-structured decoder (aggregation classifier, SELECT-column pointer, WHERE-clause pointer) with reinforcement learning driven by in-the-loop query execution, and released WikiSQL, 80,654 question-SQL-table triples restricted to single-table SELECT/aggregation/WHERE queries. Seq2SQL reached 59.4% execution accuracy on WikiSQL and reduced invalid-SQL generation from roughly 7.9% to 4.8% relative to a prior sequence-to-sequence baseline, demonstrating that constraining a model's output structure improves both accuracy and validity. AEGIS extends this same insight to its logical conclusion: rather than a network that still emits SQL tokens with residual freedom to hallucinate columns, AEGIS removes SQL emission from the model entirely.</w:t>
      </w:r>
    </w:p>
    <w:p>
      <w:pPr>
        <w:spacing w:after="200" w:before="0" w:line="360" w:lineRule="auto"/>
        <w:jc w:val="both"/>
      </w:pPr>
      <w:r>
        <w:rPr>
          <w:rFonts w:ascii="Times New Roman" w:hAnsi="Times New Roman"/>
          <w:b w:val="0"/>
          <w:i w:val="0"/>
          <w:sz w:val="24"/>
        </w:rPr>
        <w:t>Spider [28] exposed how far this problem remained from solved. Its 10,181 questions and 5,693 unique SQL queries span 200 multi-table databases with a strict train/test database split, forcing genuine generalization to unseen schemas. The best baseline of the time reached only 12.4% exact-match accuracy under this cross-domain setting, and accuracy degraded further as the number of foreign keys grew. SParC [29] and CoSQL [30] extended Spider's databases to conversational, multi-turn settings: SParC's best model reached only 20.2% exact-match accuracy over individual questions in a sequence, dropping sharply with turn number, and CoSQL found that roughly 40% of realistic user questions could not be directly converted to SQL at all, requiring clarification, inference, or a coverage rejection. AEGIS's semantic layer effectively hard-codes the ambiguous-or-unanswerable detection that CoSQL's models struggle to learn, by rejecting or clarifying any intent that does not map onto its approved vocabulary rather than attempting to freely interpret and generate SQL for arbitrary questions.</w:t>
      </w:r>
    </w:p>
    <w:p>
      <w:pPr>
        <w:spacing w:after="200" w:before="0" w:line="360" w:lineRule="auto"/>
        <w:jc w:val="both"/>
      </w:pPr>
      <w:r>
        <w:rPr>
          <w:rFonts w:ascii="Times New Roman" w:hAnsi="Times New Roman"/>
          <w:b w:val="0"/>
          <w:i w:val="0"/>
          <w:sz w:val="24"/>
        </w:rPr>
        <w:t>BIRD [10] closed the gap between academic benchmarks and production conditions by testing 95 real, large databases (up to 33.4 GB) with expert-written domain-knowledge annotations. Even the best evaluated model, GPT-4 combined with DIN-SQL prompting, reached only 55.9% execution accuracy against a 92.96% human-expert ceiling, and the dominant failure modes were wrong schema linking (41.6% of errors) and misunderstanding database content or values (40.8%). This is the strongest available evidence for AEGIS's core motivating claim: even frontier LLMs generating free-form SQL against real, large schemas hallucinate schema elements and misinterpret values in roughly two out of every five cases. AEGIS avoids this failure class by never asking the LLM to resolve schema, joins, or literal values at all; it only classifies a request into a fixed, pre-vetted vocabulary, after which a deterministic compiler resolves every join and expression.</w:t>
      </w:r>
    </w:p>
    <w:p>
      <w:pPr>
        <w:spacing w:after="0" w:before="0" w:line="360" w:lineRule="auto"/>
        <w:jc w:val="both"/>
      </w:pPr>
      <w:r>
        <w:rPr>
          <w:rFonts w:ascii="Times New Roman" w:hAnsi="Times New Roman"/>
          <w:b w:val="0"/>
          <w:i w:val="0"/>
          <w:sz w:val="24"/>
        </w:rPr>
        <w:t>RAT-SQL [25] is the most sophisticated attempt within the free-form generation paradigm to solve schema linking directly, using relation-aware self-attention over a typed schema graph and a grammar-constrained decoder, reaching 57.2% exact-match accuracy on Spider (65.6% with BERT augmentation). Even so, oracle analysis attributed 72-81% of its remaining errors to wrong column or table selection or wrong SQL structure. RAT-SQL's schema graph plays a role analogous to AEGIS's semantic layer, but is used to guide free SQL token generation rather than to constrain a bounded classification space; its grammar constraint guarantees syntactic validity only, not semantic correctness, safety, or injection-proofing, which remain unaddressed by any paper in this section.</w:t>
      </w:r>
    </w:p>
    <w:p>
      <w:pPr>
        <w:spacing w:before="320" w:after="160"/>
        <w:jc w:val="left"/>
      </w:pPr>
      <w:r>
        <w:rPr>
          <w:rFonts w:ascii="Times New Roman" w:hAnsi="Times New Roman"/>
          <w:b/>
          <w:sz w:val="28"/>
        </w:rPr>
        <w:t>2.3  Constrained Decoding and Recent NL-to-SQL Systems</w:t>
      </w:r>
    </w:p>
    <w:p>
      <w:pPr>
        <w:spacing w:after="200" w:before="0" w:line="360" w:lineRule="auto"/>
        <w:jc w:val="both"/>
      </w:pPr>
      <w:r>
        <w:rPr>
          <w:rFonts w:ascii="Times New Roman" w:hAnsi="Times New Roman"/>
          <w:b w:val="0"/>
          <w:i w:val="0"/>
          <w:sz w:val="24"/>
        </w:rPr>
        <w:t>PICARD [18] is the closest prior technique to AEGIS's philosophy of restricting model output, and the most important contrast case for this thesis. It is an inference-time, model-agnostic constrained-decoding method that uses incremental parsing during beam search to reject any candidate token that would make the partial SQL output invalid against a grammar and the target schema. Applied to T5-3B, PICARD reduced the invalid-SQL rate on the Spider development set from roughly 12% to 2% and raised execution accuracy to a then state-of-the-art 79.3%. Even at its strictest setting, however, PICARD does not eliminate invalid SQL, and because the LLM still writes every character of the SQL string, any semantic bug not caught by the grammar or schema check (a wrong join, a wrong aggregation, a wrong business definition of a metric) can pass through as syntactically valid but analytically wrong SQL. PICARD constrains what tokens the LLM may emit while it writes SQL; AEGIS removes SQL-writing from the LLM's role entirely, which is a categorically stronger guarantee because it eliminates an entire failure class rather than reducing its probability at the token level.</w:t>
      </w:r>
    </w:p>
    <w:p>
      <w:pPr>
        <w:spacing w:after="200" w:before="0" w:line="360" w:lineRule="auto"/>
        <w:jc w:val="both"/>
      </w:pPr>
      <w:r>
        <w:rPr>
          <w:rFonts w:ascii="Times New Roman" w:hAnsi="Times New Roman"/>
          <w:b w:val="0"/>
          <w:i w:val="0"/>
          <w:sz w:val="24"/>
        </w:rPr>
        <w:t>G-SQL [21] is the closest architectural precedent to AEGIS among the reviewed systems: a rule-based, template-driven SQL generator built on a structured, curated schema representation and a domain-specific synonym dictionary, deliberately avoiding a neural component that writes SQL directly. On the IMDB, Yelp, and MAS benchmarks it achieved 100% execution accuracy on easy queries across all three, but accuracy fell to 45-55% on extra-hard queries requiring nested reasoning. AEGIS builds on the same core insight, that a curated vocabulary plus deterministic clause assembly yields much higher executability than free-form generation, but replaces G-SQL's classical NLP pipeline (dependency parsing, GloVe embeddings) with an LLM-based intent extractor, and adds a persisted, reusable dashboard-widget layer that G-SQL does not have.</w:t>
      </w:r>
    </w:p>
    <w:p>
      <w:pPr>
        <w:spacing w:after="200" w:before="0" w:line="360" w:lineRule="auto"/>
        <w:jc w:val="both"/>
      </w:pPr>
      <w:r>
        <w:rPr>
          <w:rFonts w:ascii="Times New Roman" w:hAnsi="Times New Roman"/>
          <w:b w:val="0"/>
          <w:i w:val="0"/>
          <w:sz w:val="24"/>
        </w:rPr>
        <w:t>A generative-AI-based conversion system by Jha et al. [6] illustrates the pattern this thesis argues against: a sequence-to-sequence model directly emits SQL text from unconstrained natural language, with a rule-based module added afterward only to produce a plain-language explanation of whatever SQL the generator happened to produce. No accuracy or robustness evaluation is reported for the system. The explanation module is a post-hoc rationalization, not a safety mechanism, and cannot prevent a hallucinated table name or an injection-prone output; it exemplifies a broader gap in practitioner literature, where generative NL-to-SQL tools are shipped without a rigorous safety or correctness evaluation.</w:t>
      </w:r>
    </w:p>
    <w:p>
      <w:pPr>
        <w:spacing w:after="200" w:before="0" w:line="360" w:lineRule="auto"/>
        <w:jc w:val="both"/>
      </w:pPr>
      <w:r>
        <w:rPr>
          <w:rFonts w:ascii="Times New Roman" w:hAnsi="Times New Roman"/>
          <w:b w:val="0"/>
          <w:i w:val="0"/>
          <w:sz w:val="24"/>
        </w:rPr>
        <w:t>TriSQL [23] is, at the time of writing, the most recent and most accurate system in the free-form generation paradigm, and the sharpest available contrast to AEGIS's approach precisely because it is state of the art. TriSQL is a three-stage LLM pipeline: a Question-Guided Schema Selector narrows a large schema down to the tables and columns relevant to the question using cross-attention; a Structure-Aware SQL Generator predicts a clause-level skeleton before filling in schema-specific content; and a Complexity-Aware SQL Refiner classifies each question's difficulty and applies an LLM-driven repair loop, with an execution-validated fallback that reverts to whichever of the initial or refined query actually executes. On Spider, TriSQL reaches 82.2% execution accuracy at 180 ms of inference latency, and its ablation study shows that removing the skeleton-first generation stage alone collapses execution accuracy from 82.2% to 18.8%, the same qualitative finding this thesis reports for removing vocabulary injection from AEGIS (Section 5.3). TriSQL is, in other words, concrete evidence that structuring an LLM's generation process substantially improves reliability. It is also, however, a system that still asks the LLM to produce the final executable SQL string directly, refined by further LLM calls, with no semantic layer, no permission rewriter, and no reported injection-safety evaluation at all: its safety properties, whatever they are, are inherited entirely from the underlying model's behavior rather than guaranteed by the pipeline's structure. AEGIS and TriSQL therefore make the same core engineering bet, that unconstrained LLM output is unreliable and should be structured, but apply it to different halves of the problem: TriSQL structures how SQL is generated to raise its accuracy ceiling; AEGIS removes SQL generation from the LLM's role entirely to establish a safety floor. The two approaches are not mutually exclusive, but no paper reviewed in this thesis, including TriSQL, evaluates both properties together.</w:t>
      </w:r>
    </w:p>
    <w:p>
      <w:pPr>
        <w:spacing w:after="0" w:before="0" w:line="360" w:lineRule="auto"/>
        <w:jc w:val="both"/>
      </w:pPr>
      <w:r>
        <w:rPr>
          <w:rFonts w:ascii="Times New Roman" w:hAnsi="Times New Roman"/>
          <w:b w:val="0"/>
          <w:i w:val="0"/>
          <w:sz w:val="24"/>
        </w:rPr>
        <w:t>Pinna et al. [16] raise a methodological point relevant to how any such system should be evaluated: they propose the Query Affinity Score, a continuous metric combining code-embedding similarity and executed-result-table similarity, arguing that binary exact-match and execution-accuracy metrics hide partial correctness, for example, a dropped DISTINCT keyword or a reversed sort order can score as completely wrong under a binary metric despite near-identical SQL text. This is a genuinely useful caution for Chapter 5's evaluation design: AEGIS's own safety property makes most of the failure modes Pinna et al. study architecturally impossible in the first place, since clauses come from vetted templates rather than free generation, but their semantic-versus-structural distinction is a useful frame for grading intent extraction accuracy rather than treating it as pass or fail.</w:t>
      </w:r>
    </w:p>
    <w:p>
      <w:pPr>
        <w:spacing w:before="320" w:after="160"/>
        <w:jc w:val="left"/>
      </w:pPr>
      <w:r>
        <w:rPr>
          <w:rFonts w:ascii="Times New Roman" w:hAnsi="Times New Roman"/>
          <w:b/>
          <w:sz w:val="28"/>
        </w:rPr>
        <w:t>2.4  Natural Language for Visualization</w:t>
      </w:r>
    </w:p>
    <w:p>
      <w:pPr>
        <w:spacing w:after="200" w:before="0" w:line="360" w:lineRule="auto"/>
        <w:jc w:val="both"/>
      </w:pPr>
      <w:r>
        <w:rPr>
          <w:rFonts w:ascii="Times New Roman" w:hAnsi="Times New Roman"/>
          <w:b w:val="0"/>
          <w:i w:val="0"/>
          <w:sz w:val="24"/>
        </w:rPr>
        <w:t>A parallel research stream targets chart generation rather than SQL generation. nl4dv [14] is the closest visualization-side precedent to AEGIS's design: a toolkit that maps natural language queries to a small, fixed set of five analytic tasks and a rule-based attribute-task-visualization mapping table, returning a structured JSON specification rather than free-form chart code. It reports response times of 1-18 seconds on small in-memory datasets, but conducts no formal accuracy benchmark, has no SQL-safety or database-permission layer at all (it operates purely on an in-memory dataset, never a live relational schema), and produces one-off specifications with no notion of a persistent, refreshable dashboard object.</w:t>
      </w:r>
    </w:p>
    <w:p>
      <w:pPr>
        <w:spacing w:after="200" w:before="0" w:line="360" w:lineRule="auto"/>
        <w:jc w:val="both"/>
      </w:pPr>
      <w:r>
        <w:rPr>
          <w:rFonts w:ascii="Times New Roman" w:hAnsi="Times New Roman"/>
          <w:b w:val="0"/>
          <w:i w:val="0"/>
          <w:sz w:val="24"/>
        </w:rPr>
        <w:t>DataTone [4] established the alternative philosophy of surfacing ambiguity to the user through interactive “ambiguity widgets” rather than silently resolving it, covering six decision points from attribute recognition to chart-type choice. In a comparative study against IBM Watson Analytics, participants completed significantly more correct facts with DataTone (5.43 versus 2.00 facts, p &lt; 0.01). AEGIS and DataTone address the same underlying ambiguity problem with opposite strategies: DataTone generates many candidate interpretations and lets the user disambiguate after the fact, while AEGIS restricts the LLM's extraction target to a small curated vocabulary up front, preventing many classes of ambiguity from arising at all. DataTone is also explicitly limited to single-table, non-relational data and offers no persistence mechanism.</w:t>
      </w:r>
    </w:p>
    <w:p>
      <w:pPr>
        <w:spacing w:after="0" w:before="0" w:line="360" w:lineRule="auto"/>
        <w:jc w:val="both"/>
      </w:pPr>
      <w:r>
        <w:rPr>
          <w:rFonts w:ascii="Times New Roman" w:hAnsi="Times New Roman"/>
          <w:b w:val="0"/>
          <w:i w:val="0"/>
          <w:sz w:val="24"/>
        </w:rPr>
        <w:t>nvBench [12] demonstrates the risk of the opposite extreme: it synthesizes a 25,750-pair benchmark from Spider's SQL queries and trains ncNet, a Transformer that translates natural language directly, end to end, into a Vega-Zero visualization specification with no deterministic or auditable compilation step in between. Correctness depends entirely on the trained model's generalization, with no template-based guarantee against a malformed or unsafe query, and the output is a single static chart per query rather than a persisted artifact. Eviza extended natural language interaction to already-rendered visualizations, allowing conversational refinement of an existing chart [19], a concept AEGIS's clarification model draws on when a request is ambiguous. Kavaz et al.'s scoping review of chatbot-based visualization interfaces [7] found that across 20 surveyed systems, 90% supported only low-level queries, half used fixed rather than adaptive visual mapping, and only 4 of 20 supported any follow-up or conversational interaction, confirming that most systems in this space regenerate a visualization each time rather than treating a validated query-chart pairing as a durable, reusable object, precisely the gap AEGIS's widget persistence model closes.</w:t>
      </w:r>
    </w:p>
    <w:p>
      <w:pPr>
        <w:spacing w:before="320" w:after="160"/>
        <w:jc w:val="left"/>
      </w:pPr>
      <w:r>
        <w:rPr>
          <w:rFonts w:ascii="Times New Roman" w:hAnsi="Times New Roman"/>
          <w:b/>
          <w:sz w:val="28"/>
        </w:rPr>
        <w:t>2.5  Dashboard Generation</w:t>
      </w:r>
    </w:p>
    <w:p>
      <w:pPr>
        <w:spacing w:after="0" w:before="0" w:line="360" w:lineRule="auto"/>
        <w:jc w:val="both"/>
      </w:pPr>
      <w:r>
        <w:rPr>
          <w:rFonts w:ascii="Times New Roman" w:hAnsi="Times New Roman"/>
          <w:b w:val="0"/>
          <w:i w:val="0"/>
          <w:sz w:val="24"/>
        </w:rPr>
        <w:t>Dashboard generation as an automated design problem has attracted growing attention. DashBot [3] formulates dashboard construction as a Markov decision process solved with deep reinforcement learning (A3C), using a preliminary study of 90 real Tableau and Power BI dashboards to define reward functions for presentation quality (diversity, parsimony) and statistical insight (trend, correlation, comparison). A user study found DashBot preferred over a prior deep-learning dashboard generator, MultiVision [27], on 76-88% of quality dimensions. Both systems, however, operate without any natural language input or intent layer: a user cannot ask a question in English; the agent instead explores a dataset unprompted. Neither faces an LLM-generated-SQL attack surface at all, because neither generates SQL from user language, which is precisely the problem AEGIS's semantic layer and compiler are built to solve and that DashBot's architecture never encounters. DataShot [26] and Calliope [22] used statistical fact extraction followed by template-based layout to generate narrative data documents, again illustrating that rule-based, non-AI logic is a well-precedented and reliable way to drive downstream presentation once the underlying facts are established, reinforcing AEGIS's own decision to use a deterministic, rule-based visualization selector rather than a learned one.</w:t>
      </w:r>
    </w:p>
    <w:p>
      <w:pPr>
        <w:spacing w:before="320" w:after="160"/>
        <w:jc w:val="left"/>
      </w:pPr>
      <w:r>
        <w:rPr>
          <w:rFonts w:ascii="Times New Roman" w:hAnsi="Times New Roman"/>
          <w:b/>
          <w:sz w:val="28"/>
        </w:rPr>
        <w:t>2.6  Semantic Layers and Controlled Analytics</w:t>
      </w:r>
    </w:p>
    <w:p>
      <w:pPr>
        <w:spacing w:after="0" w:before="0" w:line="360" w:lineRule="auto"/>
        <w:jc w:val="both"/>
      </w:pPr>
      <w:r>
        <w:rPr>
          <w:rFonts w:ascii="Times New Roman" w:hAnsi="Times New Roman"/>
          <w:b w:val="0"/>
          <w:i w:val="0"/>
          <w:sz w:val="24"/>
        </w:rPr>
        <w:t>A semantic layer is a business-logic abstraction that maps business concepts to the actual database tables and columns. Commercial tools such as dbt Metrics, Looker LookML, and Apache Superset implement semantic layers in different ways, but the research literature has treated the semantic layer primarily as a convenience for query authoring rather than as a safety mechanism. Lehmann et al.'s Veezoo [8], already discussed in Section 2.1, is the clearest exception, and even there the Knowledge Graph constrains matching rather than replacing SQL generation outright. Structured output enforcement for LLMs [15] has been shown to improve the reliability of typed object generation, which AEGIS relies on for intent extraction: the LLM's output is constrained to a fixed JSON schema before any downstream validation occurs. No prior work reviewed in this chapter uses a semantic layer as the primary safety mechanism for an LLM-assisted reporting system, in the specific sense of replacing SQL generation with deterministic compilation from a governed vocabulary; this is the gap AEGIS's architecture is built to close.</w:t>
      </w:r>
    </w:p>
    <w:p>
      <w:pPr>
        <w:spacing w:before="320" w:after="160"/>
        <w:jc w:val="left"/>
      </w:pPr>
      <w:r>
        <w:rPr>
          <w:rFonts w:ascii="Times New Roman" w:hAnsi="Times New Roman"/>
          <w:b/>
          <w:sz w:val="28"/>
        </w:rPr>
        <w:t>2.7  AI-Powered Dashboard Adoption, Governance, and Conversational BI</w:t>
      </w:r>
    </w:p>
    <w:p>
      <w:pPr>
        <w:spacing w:after="200" w:before="0" w:line="360" w:lineRule="auto"/>
        <w:jc w:val="both"/>
      </w:pPr>
      <w:r>
        <w:rPr>
          <w:rFonts w:ascii="Times New Roman" w:hAnsi="Times New Roman"/>
          <w:b w:val="0"/>
          <w:i w:val="0"/>
          <w:sz w:val="24"/>
        </w:rPr>
        <w:t>Beyond the technical NL-to-SQL and NL-to-visualization literature, a body of recent practitioner-oriented and management-focused work addresses the adoption, governance, and business impact of AI-powered dashboards. This literature is reviewed here because it was identified through a systematic re-examination of this thesis's full reference collection, and because it usefully situates AEGIS's technical contribution within the broader question of why organizations want AI-assisted analytics in the first place.</w:t>
      </w:r>
    </w:p>
    <w:p>
      <w:pPr>
        <w:spacing w:after="200" w:before="0" w:line="360" w:lineRule="auto"/>
        <w:jc w:val="both"/>
      </w:pPr>
      <w:r>
        <w:rPr>
          <w:rFonts w:ascii="Times New Roman" w:hAnsi="Times New Roman"/>
          <w:b w:val="0"/>
          <w:i w:val="0"/>
          <w:sz w:val="24"/>
        </w:rPr>
        <w:t>Häikiö [5] examines how organizations should govern AI-powered executive dashboards, concluding that no mature, comprehensive AI-governance framework yet exists and proposing adapted IT-governance processes (drawing on COBIT 2019 and the Technology-Organization-Environment model) as an interim approach. Saidur [17] reports a large-sample quantitative study of 150 U.S. enterprises, finding that AI-enhanced BI dashboards correlated with substantial gains in forecast accuracy (78.1% to 91.2%) and marketing return on investment (124% to 168%) over a 24-month period. Neither paper addresses natural-language query translation, SQL generation, or injection safety; their relevance to AEGIS is limited to the shared premise that persistent dashboards, rather than one-off chat answers, are the effective vehicle for delivering AI-derived insight to decision-makers, which is one motivation for AEGIS's widget-persistence design.</w:t>
      </w:r>
    </w:p>
    <w:p>
      <w:pPr>
        <w:spacing w:after="200" w:before="0" w:line="360" w:lineRule="auto"/>
        <w:jc w:val="both"/>
      </w:pPr>
      <w:r>
        <w:rPr>
          <w:rFonts w:ascii="Times New Roman" w:hAnsi="Times New Roman"/>
          <w:b w:val="0"/>
          <w:i w:val="0"/>
          <w:sz w:val="24"/>
        </w:rPr>
        <w:t>Mujeeb et al. [13] propose, at the conceptual level, a four-layer conversational business-intelligence architecture whose query-planning layer explicitly combines “template-based SQL generation” for predictable requests with “transformer-based synthesis” for complex ones, followed by a separate governance layer that validates queries after generation. The authors state plainly that the architecture has not been implemented or validated. This is a useful reference point precisely because it shows the field converging on a hybrid template-plus-generation idea without committing to it or testing it: AEGIS's contribution is to commit fully to the deterministic-compilation path for every query expressible in its semantic layer, removing the free-generation fallback entirely and, with it, the need for a downstream governance layer to catch what the LLM might have produced incorrectly.</w:t>
      </w:r>
    </w:p>
    <w:p>
      <w:pPr>
        <w:spacing w:after="200" w:before="0" w:line="360" w:lineRule="auto"/>
        <w:jc w:val="both"/>
      </w:pPr>
      <w:r>
        <w:rPr>
          <w:rFonts w:ascii="Times New Roman" w:hAnsi="Times New Roman"/>
          <w:b w:val="0"/>
          <w:i w:val="0"/>
          <w:sz w:val="24"/>
        </w:rPr>
        <w:t>Shailesh et al. [20] present a working Conversational BI Assistant built on the Groq API and LangChain that is, in effect, a live demonstration of the architecture this thesis argues against, and for exactly that reason it is one of the most useful comparison points in this review. Their system gives an LLM agent direct tool access to a SQL database (sql_db_list_tables, sql_db_schema, sql_db_query), retains conversational memory across turns so users can say “now filter for Asia” without restating the query, and automatically selects a chart type for the result. Crucially, when a generated query fails, a self-correction loop feeds the database's error message back to the LLM, which revises the SQL and retries, iterating until execution succeeds. This is a coherent, deployable design, and the authors report it working well on straightforward aggregation queries. It is also, structurally, exactly the T1-class attack surface this thesis's threat model (Section 3.5) is built to close: the LLM sees the live schema, composes SQL directly, and is trusted to interpret its own error messages and repair its own queries, with no semantic layer standing between natural language and the database and no reported adversarial or injection evaluation at all. The authors' own discussion is candid that the system still struggles with ambiguous business vocabulary and complex joins, which is precisely the vocabulary-mismatch and expressiveness problem AEGIS's semantic layer and pattern library (Sections 3.7 and 3.9) are designed to solve, not by making the LLM better at self-correction, but by removing its ability to compose the SQL string in the first place.</w:t>
      </w:r>
    </w:p>
    <w:p>
      <w:pPr>
        <w:spacing w:after="200" w:before="0" w:line="360" w:lineRule="auto"/>
        <w:jc w:val="both"/>
      </w:pPr>
      <w:r>
        <w:rPr>
          <w:rFonts w:ascii="Times New Roman" w:hAnsi="Times New Roman"/>
          <w:b w:val="0"/>
          <w:i w:val="0"/>
          <w:sz w:val="24"/>
        </w:rPr>
        <w:t>Valkenburgh's master's thesis [24] on explanatory analytics is, by contrast, one of the most architecturally aligned sources in this collection, despite being in an unrelated domain. Valkenburgh's prototype computes causal-influence explanations for business metrics using a deterministic, non-AI formalism, and only afterward asks an LLM to narrate the already-correct structured result in natural language, never allowing the LLM to perform the underlying computation itself. A pre-study surveying ten commercial AI-BI products (including Power BI and Tableau) found that all of them could answer simple descriptive queries but none could correctly answer explanatory, “why is X high” queries without manual pre-configuration, direct evidence that unconstrained LLM reasoning fails at exactly the class of task AEGIS targets. Valkenburgh's design and AEGIS arrive at the same governing principle independently: do not trust the model to perform the analytical computation; let a deterministic algorithm compute the correct result, and restrict the model's role to a bounded, downstream task. Valkenburgh's deterministic layer operates on a single pre-loaded spreadsheet rather than a live relational database, so it has no SQL-injection surface and produces one-off, non-persistent text answers rather than stored, refreshable widgets, both of which AEGIS's architecture addresses.</w:t>
      </w:r>
    </w:p>
    <w:p>
      <w:pPr>
        <w:spacing w:after="0" w:before="0" w:line="360" w:lineRule="auto"/>
        <w:jc w:val="both"/>
      </w:pPr>
      <w:r>
        <w:rPr>
          <w:rFonts w:ascii="Times New Roman" w:hAnsi="Times New Roman"/>
          <w:b w:val="0"/>
          <w:i w:val="0"/>
          <w:sz w:val="24"/>
        </w:rPr>
        <w:t>Finally, Chinnappaiyan [2] surveys “conversational analytics” as a general architectural pattern (natural language understanding, semantic layer, query generation, response generation) and identifies fine-grained access control versus conversational fluency as an unresolved tension in current systems, without proposing or evaluating a concrete mechanism to resolve it. This is precisely the gap AEGIS's design closes by construction: the Permission Rewriter (Chapter 3) enforces row-level access control after the LLM has already produced its intent, so conversational fluency and access control are not in tension because the LLM never has an opportunity to influence the permission predicate.</w:t>
      </w:r>
    </w:p>
    <w:p>
      <w:pPr>
        <w:spacing w:before="320" w:after="160"/>
        <w:jc w:val="left"/>
      </w:pPr>
      <w:r>
        <w:rPr>
          <w:rFonts w:ascii="Times New Roman" w:hAnsi="Times New Roman"/>
          <w:b/>
          <w:sz w:val="28"/>
        </w:rPr>
        <w:t>2.8  Comparative Summary</w:t>
      </w:r>
    </w:p>
    <w:p>
      <w:pPr>
        <w:spacing w:after="200" w:before="0" w:line="360" w:lineRule="auto"/>
        <w:jc w:val="both"/>
      </w:pPr>
      <w:r>
        <w:rPr>
          <w:rFonts w:ascii="Times New Roman" w:hAnsi="Times New Roman"/>
          <w:b w:val="0"/>
          <w:i w:val="0"/>
          <w:sz w:val="24"/>
        </w:rPr>
        <w:t>Table 4 positions AEGIS against the systems most central to Sections 2.1-2.6 across seven properties: whether the system parses natural language at all, whether it defines an explicit semantic layer, whether SQL generation is structurally safe rather than merely accuracy-optimized, whether it selects or generates a visualization, whether results persist as reusable widgets, whether unanswerable requests are explicitly validated against a coverage boundary, and the nature of its evaluation.</w:t>
      </w:r>
    </w:p>
    <w:p>
      <w:pPr>
        <w:spacing w:before="200" w:after="80"/>
        <w:jc w:val="center"/>
      </w:pPr>
      <w:r>
        <w:rPr>
          <w:rFonts w:ascii="Times New Roman" w:hAnsi="Times New Roman"/>
          <w:b/>
          <w:sz w:val="22"/>
        </w:rPr>
        <w:t>Table 4: Comparative summary of related NL-to-database and NL-to-visualization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 / Seq2SQL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G-SQL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TriSQL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nl4dv</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data</w:t>
            </w:r>
          </w:p>
        </w:tc>
      </w:tr>
      <w:tr>
        <w:tc>
          <w:tcPr>
            <w:tcW w:type="dxa" w:w="1038"/>
          </w:tcPr>
          <w:p>
            <w:r>
              <w:rPr>
                <w:rFonts w:ascii="Times New Roman" w:hAnsi="Times New Roman"/>
                <w:sz w:val="21"/>
              </w:rPr>
            </w:r>
            <w:r>
              <w:rPr>
                <w:rFonts w:ascii="Times New Roman" w:hAnsi="Times New Roman"/>
                <w:b w:val="0"/>
                <w:sz w:val="21"/>
              </w:rPr>
              <w:t>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DashBot / MultiVision</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 user study</w:t>
            </w:r>
          </w:p>
        </w:tc>
      </w:tr>
      <w:tr>
        <w:tc>
          <w:tcPr>
            <w:tcW w:type="dxa" w:w="1038"/>
          </w:tcPr>
          <w:p>
            <w:r>
              <w:rPr>
                <w:rFonts w:ascii="Times New Roman" w:hAnsi="Times New Roman"/>
                <w:sz w:val="21"/>
              </w:rPr>
            </w:r>
            <w:r>
              <w:rPr>
                <w:rFonts w:ascii="Times New Roman" w:hAnsi="Times New Roman"/>
                <w:b w:val="0"/>
                <w:sz w:val="21"/>
              </w:rPr>
              <w:t>Conversational BI Assistant (Shailesh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Prototype demo</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2.9  Research Gap Analysis</w:t>
      </w:r>
    </w:p>
    <w:p>
      <w:pPr>
        <w:spacing w:after="200" w:before="0" w:line="360" w:lineRule="auto"/>
        <w:jc w:val="both"/>
      </w:pPr>
      <w:r>
        <w:rPr>
          <w:rFonts w:ascii="Times New Roman" w:hAnsi="Times New Roman"/>
          <w:b w:val="0"/>
          <w:i w:val="0"/>
          <w:sz w:val="24"/>
        </w:rPr>
        <w:t>Three consistent gaps emerge from this review, and each maps directly onto a design decision made in Chapter 3.</w:t>
      </w:r>
    </w:p>
    <w:p>
      <w:pPr>
        <w:spacing w:after="200" w:before="0" w:line="360" w:lineRule="auto"/>
        <w:jc w:val="both"/>
      </w:pPr>
      <w:r>
        <w:rPr>
          <w:rFonts w:ascii="Times New Roman" w:hAnsi="Times New Roman"/>
          <w:b w:val="0"/>
          <w:i w:val="0"/>
          <w:sz w:val="24"/>
        </w:rPr>
        <w:t>First, no system reviewed in Sections 2.1-2.3 treats SQL-generation safety as a structural property rather than an accuracy metric, including the most recent, most accurate one. Every neural text-to-SQL system, from Seq2SQL through RAT-SQL, PICARD, and the state-of-the-art TriSQL, is evaluated purely on exact-match or execution accuracy against a benchmark; none reports an injection rate, and only Liu and Xu's review even discusses adversarial SQL injection as a named threat, without proposing an architectural defense. Shailesh et al.'s deployed Conversational BI Assistant (Section 2.7) makes the same point from the practitioner side: it gives an LLM direct SQL-execution tool access and a self-correction loop, but reports no adversarial evaluation at all. AEGIS closes this gap by removing SQL generation from the LLM's output space entirely (Section 3.4) and evaluating an explicit unsafe-SQL rate against a direct LLM-to-SQL baseline (Chapter 5), rather than relying on accuracy as a proxy for safety.</w:t>
      </w:r>
    </w:p>
    <w:p>
      <w:pPr>
        <w:spacing w:after="200" w:before="0" w:line="360" w:lineRule="auto"/>
        <w:jc w:val="both"/>
      </w:pPr>
      <w:r>
        <w:rPr>
          <w:rFonts w:ascii="Times New Roman" w:hAnsi="Times New Roman"/>
          <w:b w:val="0"/>
          <w:i w:val="0"/>
          <w:sz w:val="24"/>
        </w:rPr>
        <w:t>Second, no system in Sections 2.1, 2.4, or 2.5 combines a governed semantic vocabulary with persistent, refreshable output. Veezoo and G-SQL define curated vocabularies but produce one-off answers; nl4dv, DataTone, and nvBench produce one-off visualizations; DashBot and MultiVision generate multi-chart dashboards but with no natural-language input and no notion of a saved, reusable artifact tied to a specific user question. AEGIS's widget engine (Section 3.11) closes this gap directly, motivated by the formative-study finding that 61% of real reporting requests are recurring (Section 3.2).</w:t>
      </w:r>
    </w:p>
    <w:p>
      <w:pPr>
        <w:spacing w:after="0" w:before="0" w:line="360" w:lineRule="auto"/>
        <w:jc w:val="both"/>
      </w:pPr>
      <w:r>
        <w:rPr>
          <w:rFonts w:ascii="Times New Roman" w:hAnsi="Times New Roman"/>
          <w:b w:val="0"/>
          <w:i w:val="0"/>
          <w:sz w:val="24"/>
        </w:rPr>
        <w:t>Third, the practitioner and adoption-focused literature reviewed in Section 2.7 recognizes the tension between conversational flexibility and governed access control (Chinnappaiyan), gestures at hybrid template-plus-generation designs without building them (Mujeeb et al.), and, where a system is actually deployed (Shailesh et al.), resolves that tension by trusting the LLM with direct database access and a self-correction loop rather than a governed vocabulary. Valkenburgh's independent arrival at the same “let a deterministic layer compute the answer, let the model only narrate it” principle, in an unrelated domain (spreadsheet-based explanatory analytics rather than relational-database reporting), is the strongest external corroboration available in this review that AEGIS's central design decision is not idiosyncratic to this thesis but reflects a pattern independently discovered wherever researchers have taken LLM reliability seriously as an engineering constraint rather than an accuracy target to be improved.</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A dataset of 312 distinct natural-language reporting requests representative of typical e-commerce and administrative workflows was compiled. Each request was independently annotated by two researchers against a candidate set of analytics primitives. Inter-rater agreement reached kappa = 0.84 (substantial agreement) before adjudication. After adjudication, eleven primary analytics primitives were identified that together account for 98.2% of all requests.</w:t>
      </w:r>
    </w:p>
    <w:p>
      <w:pPr>
        <w:spacing w:before="200" w:after="80"/>
        <w:jc w:val="center"/>
      </w:pPr>
      <w:r>
        <w:rPr>
          <w:rFonts w:ascii="Times New Roman" w:hAnsi="Times New Roman"/>
          <w:b/>
          <w:sz w:val="22"/>
        </w:rPr>
        <w:t>Table (formative study): Request taxonomy and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Pattern</w:t>
            </w:r>
          </w:p>
        </w:tc>
        <w:tc>
          <w:tcPr>
            <w:tcW w:type="dxa" w:w="2769"/>
          </w:tcPr>
          <w:p>
            <w:pPr>
              <w:jc w:val="center"/>
            </w:pPr>
            <w:r>
              <w:rPr>
                <w:rFonts w:ascii="Times New Roman" w:hAnsi="Times New Roman"/>
                <w:b/>
                <w:sz w:val="21"/>
              </w:rPr>
            </w:r>
            <w:r>
              <w:rPr>
                <w:rFonts w:ascii="Times New Roman" w:hAnsi="Times New Roman"/>
                <w:b/>
                <w:sz w:val="21"/>
              </w:rPr>
              <w:t>Share of requests</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24.1%</w:t>
            </w:r>
          </w:p>
        </w:tc>
        <w:tc>
          <w:tcPr>
            <w:tcW w:type="dxa" w:w="2769"/>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769"/>
          </w:tcPr>
          <w:p>
            <w:r>
              <w:rPr>
                <w:rFonts w:ascii="Times New Roman" w:hAnsi="Times New Roman"/>
                <w:sz w:val="21"/>
              </w:rPr>
            </w:r>
            <w:r>
              <w:rPr>
                <w:rFonts w:ascii="Times New Roman" w:hAnsi="Times New Roman"/>
                <w:b w:val="0"/>
                <w:sz w:val="21"/>
              </w:rPr>
              <w:t>Trend Analysis</w:t>
            </w:r>
          </w:p>
        </w:tc>
        <w:tc>
          <w:tcPr>
            <w:tcW w:type="dxa" w:w="2769"/>
          </w:tcPr>
          <w:p>
            <w:pPr>
              <w:jc w:val="center"/>
            </w:pPr>
            <w:r>
              <w:rPr>
                <w:rFonts w:ascii="Times New Roman" w:hAnsi="Times New Roman"/>
                <w:sz w:val="21"/>
              </w:rPr>
            </w:r>
            <w:r>
              <w:rPr>
                <w:rFonts w:ascii="Times New Roman" w:hAnsi="Times New Roman"/>
                <w:b w:val="0"/>
                <w:sz w:val="21"/>
              </w:rPr>
              <w:t>21.5%</w:t>
            </w:r>
          </w:p>
        </w:tc>
        <w:tc>
          <w:tcPr>
            <w:tcW w:type="dxa" w:w="2769"/>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769"/>
          </w:tcPr>
          <w:p>
            <w:r>
              <w:rPr>
                <w:rFonts w:ascii="Times New Roman" w:hAnsi="Times New Roman"/>
                <w:sz w:val="21"/>
              </w:rPr>
            </w:r>
            <w:r>
              <w:rPr>
                <w:rFonts w:ascii="Times New Roman" w:hAnsi="Times New Roman"/>
                <w:b w:val="0"/>
                <w:sz w:val="21"/>
              </w:rPr>
              <w:t>KPI / Aggregate</w:t>
            </w:r>
          </w:p>
        </w:tc>
        <w:tc>
          <w:tcPr>
            <w:tcW w:type="dxa" w:w="2769"/>
          </w:tcPr>
          <w:p>
            <w:pPr>
              <w:jc w:val="center"/>
            </w:pPr>
            <w:r>
              <w:rPr>
                <w:rFonts w:ascii="Times New Roman" w:hAnsi="Times New Roman"/>
                <w:sz w:val="21"/>
              </w:rPr>
            </w:r>
            <w:r>
              <w:rPr>
                <w:rFonts w:ascii="Times New Roman" w:hAnsi="Times New Roman"/>
                <w:b w:val="0"/>
                <w:sz w:val="21"/>
              </w:rPr>
              <w:t>18.3%</w:t>
            </w:r>
          </w:p>
        </w:tc>
        <w:tc>
          <w:tcPr>
            <w:tcW w:type="dxa" w:w="2769"/>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14.7%</w:t>
            </w:r>
          </w:p>
        </w:tc>
        <w:tc>
          <w:tcPr>
            <w:tcW w:type="dxa" w:w="2769"/>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769"/>
          </w:tcPr>
          <w:p>
            <w:r>
              <w:rPr>
                <w:rFonts w:ascii="Times New Roman" w:hAnsi="Times New Roman"/>
                <w:sz w:val="21"/>
              </w:rPr>
            </w:r>
            <w:r>
              <w:rPr>
                <w:rFonts w:ascii="Times New Roman" w:hAnsi="Times New Roman"/>
                <w:b w:val="0"/>
                <w:sz w:val="21"/>
              </w:rPr>
              <w:t>Exception / Filter</w:t>
            </w:r>
          </w:p>
        </w:tc>
        <w:tc>
          <w:tcPr>
            <w:tcW w:type="dxa" w:w="2769"/>
          </w:tcPr>
          <w:p>
            <w:pPr>
              <w:jc w:val="center"/>
            </w:pPr>
            <w:r>
              <w:rPr>
                <w:rFonts w:ascii="Times New Roman" w:hAnsi="Times New Roman"/>
                <w:sz w:val="21"/>
              </w:rPr>
            </w:r>
            <w:r>
              <w:rPr>
                <w:rFonts w:ascii="Times New Roman" w:hAnsi="Times New Roman"/>
                <w:b w:val="0"/>
                <w:sz w:val="21"/>
              </w:rPr>
              <w:t>12.8%</w:t>
            </w:r>
          </w:p>
        </w:tc>
        <w:tc>
          <w:tcPr>
            <w:tcW w:type="dxa" w:w="2769"/>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769"/>
          </w:tcPr>
          <w:p>
            <w:r>
              <w:rPr>
                <w:rFonts w:ascii="Times New Roman" w:hAnsi="Times New Roman"/>
                <w:sz w:val="21"/>
              </w:rPr>
            </w:r>
            <w:r>
              <w:rPr>
                <w:rFonts w:ascii="Times New Roman" w:hAnsi="Times New Roman"/>
                <w:b w:val="0"/>
                <w:sz w:val="21"/>
              </w:rPr>
              <w:t>Summary / Group</w:t>
            </w:r>
          </w:p>
        </w:tc>
        <w:tc>
          <w:tcPr>
            <w:tcW w:type="dxa" w:w="2769"/>
          </w:tcPr>
          <w:p>
            <w:pPr>
              <w:jc w:val="center"/>
            </w:pPr>
            <w:r>
              <w:rPr>
                <w:rFonts w:ascii="Times New Roman" w:hAnsi="Times New Roman"/>
                <w:sz w:val="21"/>
              </w:rPr>
            </w:r>
            <w:r>
              <w:rPr>
                <w:rFonts w:ascii="Times New Roman" w:hAnsi="Times New Roman"/>
                <w:b w:val="0"/>
                <w:sz w:val="21"/>
              </w:rPr>
              <w:t>6.0%</w:t>
            </w:r>
          </w:p>
        </w:tc>
        <w:tc>
          <w:tcPr>
            <w:tcW w:type="dxa" w:w="2769"/>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769"/>
          </w:tcPr>
          <w:p>
            <w:r>
              <w:rPr>
                <w:rFonts w:ascii="Times New Roman" w:hAnsi="Times New Roman"/>
                <w:sz w:val="21"/>
              </w:rPr>
            </w:r>
            <w:r>
              <w:rPr>
                <w:rFonts w:ascii="Times New Roman" w:hAnsi="Times New Roman"/>
                <w:b w:val="0"/>
                <w:sz w:val="21"/>
              </w:rPr>
              <w:t>Segment, Funnel, Cohort, Correlate, Tabular</w:t>
            </w:r>
          </w:p>
        </w:tc>
        <w:tc>
          <w:tcPr>
            <w:tcW w:type="dxa" w:w="2769"/>
          </w:tcPr>
          <w:p>
            <w:pPr>
              <w:jc w:val="center"/>
            </w:pPr>
            <w:r>
              <w:rPr>
                <w:rFonts w:ascii="Times New Roman" w:hAnsi="Times New Roman"/>
                <w:sz w:val="21"/>
              </w:rPr>
            </w:r>
            <w:r>
              <w:rPr>
                <w:rFonts w:ascii="Times New Roman" w:hAnsi="Times New Roman"/>
                <w:b w:val="0"/>
                <w:sz w:val="21"/>
              </w:rPr>
              <w:t>2.6% combined</w:t>
            </w:r>
          </w:p>
        </w:tc>
        <w:tc>
          <w:tcPr>
            <w:tcW w:type="dxa" w:w="2769"/>
          </w:tcPr>
          <w:p>
            <w:pPr>
              <w:jc w:val="center"/>
            </w:pPr>
            <w:r>
              <w:rPr>
                <w:rFonts w:ascii="Times New Roman" w:hAnsi="Times New Roman"/>
                <w:sz w:val="21"/>
              </w:rPr>
            </w:r>
            <w:r>
              <w:rPr>
                <w:rFonts w:ascii="Times New Roman" w:hAnsi="Times New Roman"/>
                <w:b w:val="0"/>
                <w:sz w:val="21"/>
              </w:rPr>
              <w:t>Revenue by category; cart-to-purchase conversion; new vs. returning customers; attribute correlation; raw order listings.</w:t>
            </w:r>
          </w:p>
        </w:tc>
      </w:tr>
    </w:tbl>
    <w:p>
      <w:pPr>
        <w:spacing w:after="80"/>
      </w:pPr>
    </w:p>
    <w:p>
      <w:pPr>
        <w:spacing w:after="0" w:before="0" w:line="360" w:lineRule="auto"/>
        <w:jc w:val="both"/>
      </w:pPr>
      <w:r>
        <w:rPr>
          <w:rFonts w:ascii="Times New Roman" w:hAnsi="Times New Roman"/>
          <w:b w:val="0"/>
          <w:i w:val="0"/>
          <w:sz w:val="24"/>
        </w:rPr>
        <w:t>The study yields three design directions that shaped the rest of this chapter. First, a small set of patterns is sufficient: eleven patterns cover 98.2% of real requests, which supports building a fixed template library rather than an open-ended query language. Second, business vocabulary differs systematically from database column names: participants said “total refund rate,” never SUM(o.RefundedAmount), which motivates an explicit semantic layer (Section 3.7) rather than exposing the schema directly to the language model. Third, reuse is the norm rather than the exception: 61% of requests were things participants had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p>
      <w:pPr>
        <w:spacing w:after="0" w:before="0" w:line="360" w:lineRule="auto"/>
        <w:jc w:val="both"/>
      </w:pP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formative-study finding (Section 3.2) that 61% of reporting requests are recurring: a widget answers the question once and then continues answering it as new data arrives, rather than requiring the same natural-language request to be re-processed from scratch every time.</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Measured over the full 312-request formative-study set, and via an ablation study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on the larger, more varied 312-request formative-study set,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Of the 312 requests analyzed in the formative study (Section 3.2): 81.7% were answered directly without clarification, 11.5% required one clarification turn, 4.2% were answered only after the semantic layer was extended with a missing metric or dimension, and 2.6% could not be answered because they fell outside the template library entirely.</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Among the 2.6% of the 312 formative-study requests that could not be answered at all, coverage-boundary rejections broke down as follows: metrics not present in the semantic layer (35% of rejections), unregistered dimensions (28%), requests requiring multi-metric aggregation beyond a single pattern (18%), causal or explanatory questions such as “why did revenue drop” (12%), and requests requiring a join path not present in the join graph (7%). Every rejection, in this study and in the benchmark, included the full list of available identifiers rather than a bare error, consistent with the design principle (Section 3.3) that a coverage failure should be actionable rather than opaque.</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Controlling the model vs. training a better model. </w:t>
      </w:r>
    </w:p>
    <w:p>
      <w:pPr>
        <w:spacing w:after="200" w:before="0" w:line="360" w:lineRule="auto"/>
        <w:jc w:val="both"/>
      </w:pPr>
      <w:r>
        <w:rPr>
          <w:rFonts w:ascii="Times New Roman" w:hAnsi="Times New Roman"/>
          <w:b w:val="0"/>
          <w:i w:val="0"/>
          <w:sz w:val="24"/>
        </w:rPr>
        <w:t>The direct LLM baseline (Section 5.2) produced 5 unsafe queries using the same underlying model AEGIS uses, Llama 3.1 8B. AEGIS, using that identical model but restricting it to understanding questions only, had zero unsafe queries. When something must always be true, such as “never expose private data,” it should be enforced by system structure, not left to the probability that a given model call behaves correctly.</w:t>
      </w:r>
    </w:p>
    <w:p>
      <w:pPr>
        <w:spacing w:after="120" w:before="0" w:line="360" w:lineRule="auto"/>
        <w:jc w:val="both"/>
      </w:pPr>
      <w:r>
        <w:rPr>
          <w:rFonts w:ascii="Times New Roman" w:hAnsi="Times New Roman"/>
          <w:b/>
          <w:i w:val="0"/>
          <w:sz w:val="24"/>
        </w:rPr>
        <w:t xml:space="preserve">5.7.4 Vocabulary injection: letting the model do what it does best. </w:t>
      </w:r>
    </w:p>
    <w:p>
      <w:pPr>
        <w:spacing w:after="200" w:before="0" w:line="360" w:lineRule="auto"/>
        <w:jc w:val="both"/>
      </w:pPr>
      <w:r>
        <w:rPr>
          <w:rFonts w:ascii="Times New Roman" w:hAnsi="Times New Roman"/>
          <w:b w:val="0"/>
          <w:i w:val="0"/>
          <w:sz w:val="24"/>
        </w:rPr>
        <w:t>Hand-crafted synonym dictionaries are both unnecessary and counterproductive once the LLM has explicit access to the approved vocabulary. In practice, the model mapped “earnings” to revenue, “promo codes” to discount_amount, and “clients” to customer_email, none of which appeared in any synonym list. This reduced the synonym dictionary from 112 entries to zero while improving coverage from 99% to 100% (Table 7).</w:t>
      </w:r>
    </w:p>
    <w:p>
      <w:pPr>
        <w:spacing w:after="120" w:before="0" w:line="360" w:lineRule="auto"/>
        <w:jc w:val="both"/>
      </w:pPr>
      <w:r>
        <w:rPr>
          <w:rFonts w:ascii="Times New Roman" w:hAnsi="Times New Roman"/>
          <w:b/>
          <w:i w:val="0"/>
          <w:sz w:val="24"/>
        </w:rPr>
        <w:t xml:space="preserve">5.7.5 What this thesis gives up. </w:t>
      </w:r>
    </w:p>
    <w:p>
      <w:pPr>
        <w:spacing w:after="200" w:before="0" w:line="360" w:lineRule="auto"/>
        <w:jc w:val="both"/>
      </w:pPr>
      <w:r>
        <w:rPr>
          <w:rFonts w:ascii="Times New Roman" w:hAnsi="Times New Roman"/>
          <w:b w:val="0"/>
          <w:i w:val="0"/>
          <w:sz w:val="24"/>
        </w:rPr>
        <w:t>AEGIS only supports queries that fit within its defined metrics, dimensions, and patterns. For open-ended data exploration requiring custom joins or schema-level operations, an unconstrained system may be more appropriate. AEGIS is designed for the majority of everyday reporting needs identified in the formative study, not for ad hoc data science exploration.</w:t>
      </w:r>
    </w:p>
    <w:p>
      <w:pPr>
        <w:spacing w:after="120" w:before="0" w:line="360" w:lineRule="auto"/>
        <w:jc w:val="both"/>
      </w:pPr>
      <w:r>
        <w:rPr>
          <w:rFonts w:ascii="Times New Roman" w:hAnsi="Times New Roman"/>
          <w:b/>
          <w:i w:val="0"/>
          <w:sz w:val="24"/>
        </w:rPr>
        <w:t xml:space="preserve">5.7.6 Why saving widgets matters. </w:t>
      </w:r>
    </w:p>
    <w:p>
      <w:pPr>
        <w:spacing w:after="200" w:before="0" w:line="360" w:lineRule="auto"/>
        <w:jc w:val="both"/>
      </w:pPr>
      <w:r>
        <w:rPr>
          <w:rFonts w:ascii="Times New Roman" w:hAnsi="Times New Roman"/>
          <w:b w:val="0"/>
          <w:i w:val="0"/>
          <w:sz w:val="24"/>
        </w:rPr>
        <w:t>Widget reuse directly addresses the formative-study finding that 61% of reporting requests are repeated questions (Section 3.2). Saved widgets become part of a user's daily workflow rather than requiring regeneration, and therefore a fresh round-trip through the LLM and every safety stage, each time the same question recurs.</w:t>
      </w:r>
    </w:p>
    <w:p>
      <w:pPr>
        <w:spacing w:after="120" w:before="0" w:line="360" w:lineRule="auto"/>
        <w:jc w:val="both"/>
      </w:pPr>
      <w:r>
        <w:rPr>
          <w:rFonts w:ascii="Times New Roman" w:hAnsi="Times New Roman"/>
          <w:b/>
          <w:i w:val="0"/>
          <w:sz w:val="24"/>
        </w:rPr>
        <w:t xml:space="preserve">5.7.7 What AEGIS cannot answer. </w:t>
      </w:r>
    </w:p>
    <w:p>
      <w:pPr>
        <w:spacing w:after="160" w:before="0" w:line="360" w:lineRule="auto"/>
        <w:jc w:val="both"/>
      </w:pPr>
      <w:r>
        <w:rPr>
          <w:rFonts w:ascii="Times New Roman" w:hAnsi="Times New Roman"/>
          <w:b w:val="0"/>
          <w:i w:val="0"/>
          <w:sz w:val="24"/>
        </w:rPr>
        <w:t>AEGIS can answer from approximately 5,100 valid combinations (15 metrics times 34 dimensions times 10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it requires no model retraining and no synonym curation, because vocabulary injection propagates a new entry to the LLM's available vocabulary automatically.</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B. Chinnappaiyan, "Conversational analytics in self-service data platforms: Democratizing enterprise data access through natural language interfaces," European Journal of Computer Science and Information Technology, vol. 13, no. 46, pp. 94-102, 2025.</w:t>
      </w:r>
    </w:p>
    <w:p>
      <w:pPr>
        <w:spacing w:after="200" w:line="312" w:lineRule="auto"/>
        <w:ind w:left="576" w:hanging="576"/>
      </w:pPr>
      <w:r>
        <w:rPr>
          <w:rFonts w:ascii="Times New Roman" w:hAnsi="Times New Roman"/>
          <w:sz w:val="23"/>
        </w:rPr>
        <w:t>[3]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[4]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[5]  E. Häikiö, "Adoption and governance of AI-powered dashboards in executive-level decision-making," M.S. thesis, Information System Science, Turku School of Economics, University of Turku, Finland, 2024.</w:t>
      </w:r>
    </w:p>
    <w:p>
      <w:pPr>
        <w:spacing w:after="200" w:line="312" w:lineRule="auto"/>
        <w:ind w:left="576" w:hanging="576"/>
      </w:pPr>
      <w:r>
        <w:rPr>
          <w:rFonts w:ascii="Times New Roman" w:hAnsi="Times New Roman"/>
          <w:sz w:val="23"/>
        </w:rPr>
        <w:t>[6]  A. Jha, N. Anand, and H. Karthikeyan, "Conversion of natural language text to SQL queries using generative AI," in Hybrid and Advanced Technologies, S. P. J. Christydass, N. Nurhayati, and S. Kannadhasan, Eds. Boca Raton, FL: CRC Press, 2025, pp. 25-32.</w:t>
      </w:r>
    </w:p>
    <w:p>
      <w:pPr>
        <w:spacing w:after="200" w:line="312" w:lineRule="auto"/>
        <w:ind w:left="576" w:hanging="576"/>
      </w:pPr>
      <w:r>
        <w:rPr>
          <w:rFonts w:ascii="Times New Roman" w:hAnsi="Times New Roman"/>
          <w:sz w:val="23"/>
        </w:rPr>
        <w:t>[7]  E. Kavaz, A. Puig, and I. Rodríguez, "Chatbot-based natural language interfaces for data visualisation: A scoping review," Applied Sciences, vol. 13, no. 12, p. 7025, 2023.</w:t>
      </w:r>
    </w:p>
    <w:p>
      <w:pPr>
        <w:spacing w:after="200" w:line="312" w:lineRule="auto"/>
        <w:ind w:left="576" w:hanging="576"/>
      </w:pPr>
      <w:r>
        <w:rPr>
          <w:rFonts w:ascii="Times New Roman" w:hAnsi="Times New Roman"/>
          <w:sz w:val="23"/>
        </w:rPr>
        <w:t>[8]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[9]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[10]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[11]  M. Liu and J. Xu, "NLI4DB: A systematic review of natural language interfaces for databases," arXiv:2503.02435, 2025.</w:t>
      </w:r>
    </w:p>
    <w:p>
      <w:pPr>
        <w:spacing w:after="200" w:line="312" w:lineRule="auto"/>
        <w:ind w:left="576" w:hanging="576"/>
      </w:pPr>
      <w:r>
        <w:rPr>
          <w:rFonts w:ascii="Times New Roman" w:hAnsi="Times New Roman"/>
          <w:sz w:val="23"/>
        </w:rPr>
        <w:t>[12]  Y. Luo, N. Tang, G. Li, J. Tang, C. Chai, and X. Qin, "Synthesizing natural language to visualization (NL2VIS) benchmarks from NL2SQL benchmarks," in Proc. 2021 ACM SIGMOD Int. Conf. Management of Data, 2021, pp. 1235-1247.</w:t>
      </w:r>
    </w:p>
    <w:p>
      <w:pPr>
        <w:spacing w:after="200" w:line="312" w:lineRule="auto"/>
        <w:ind w:left="576" w:hanging="576"/>
      </w:pPr>
      <w:r>
        <w:rPr>
          <w:rFonts w:ascii="Times New Roman" w:hAnsi="Times New Roman"/>
          <w:sz w:val="23"/>
        </w:rPr>
        <w:t>[13]  M. Mujeeb, L. K. Sagar, and S. Shrestha, "AI-powered conversational business intelligence: A natural language interface for data-driven decision making," International Journal of Scientific Development and Research, vol. 10, no. 11, pp. b685-b689, 2025.</w:t>
      </w:r>
    </w:p>
    <w:p>
      <w:pPr>
        <w:spacing w:after="200" w:line="312" w:lineRule="auto"/>
        <w:ind w:left="576" w:hanging="576"/>
      </w:pPr>
      <w:r>
        <w:rPr>
          <w:rFonts w:ascii="Times New Roman" w:hAnsi="Times New Roman"/>
          <w:sz w:val="23"/>
        </w:rPr>
        <w:t>[14]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[15]  OpenAI, "Introducing structured outputs in the API," OpenAI, 2024.</w:t>
      </w:r>
    </w:p>
    <w:p>
      <w:pPr>
        <w:spacing w:after="200" w:line="312" w:lineRule="auto"/>
        <w:ind w:left="576" w:hanging="576"/>
      </w:pPr>
      <w:r>
        <w:rPr>
          <w:rFonts w:ascii="Times New Roman" w:hAnsi="Times New Roman"/>
          <w:sz w:val="23"/>
        </w:rPr>
        <w:t>[16]  G. Pinna, Y. Perezhohin, L. Manzoni, M. Castelli, and A. De Lorenzo, "Redefining text-to-SQL metrics by incorporating semantic and structural similarity," Scientific Reports, vol. 15, Art. no. 22357, 2025.</w:t>
      </w:r>
    </w:p>
    <w:p>
      <w:pPr>
        <w:spacing w:after="200" w:line="312" w:lineRule="auto"/>
        <w:ind w:left="576" w:hanging="576"/>
      </w:pPr>
      <w:r>
        <w:rPr>
          <w:rFonts w:ascii="Times New Roman" w:hAnsi="Times New Roman"/>
          <w:sz w:val="23"/>
        </w:rPr>
        <w:t>[17]  M. J. I. Saidur, "AI-enhanced business intelligence dashboards for predictive market strategy in U.S. enterprises," International Journal of Business and Economics Insights, vol. 5, no. 3, pp. 603-648, 2025.</w:t>
      </w:r>
    </w:p>
    <w:p>
      <w:pPr>
        <w:spacing w:after="200" w:line="312" w:lineRule="auto"/>
        <w:ind w:left="576" w:hanging="576"/>
      </w:pPr>
      <w:r>
        <w:rPr>
          <w:rFonts w:ascii="Times New Roman" w:hAnsi="Times New Roman"/>
          <w:sz w:val="23"/>
        </w:rPr>
        <w:t>[18]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[19]  V. Setlur, S. E. Battersby, M. Tory, R. Gossweiler, and A. X. Chang, "Eviza: A natural language interface for visual analysis," in Proc. 29th Annual ACM Symposium on User Interface Software and Technology (UIST), 2016, pp. 365-377.</w:t>
      </w:r>
    </w:p>
    <w:p>
      <w:pPr>
        <w:spacing w:after="200" w:line="312" w:lineRule="auto"/>
        <w:ind w:left="576" w:hanging="576"/>
      </w:pPr>
      <w:r>
        <w:rPr>
          <w:rFonts w:ascii="Times New Roman" w:hAnsi="Times New Roman"/>
          <w:sz w:val="23"/>
        </w:rPr>
        <w:t>[20]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[21]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[22]  D. Shi, X. Xu, F. Sun, Y. Shi, and N. Cao, "Calliope: Automatic visual data stories with Monte Carlo tree search," IEEE Transactions on Visualization and Computer Graphics, vol. 27, no. 2, pp. 464-474, 2021.</w:t>
      </w:r>
    </w:p>
    <w:p>
      <w:pPr>
        <w:spacing w:after="200" w:line="312" w:lineRule="auto"/>
        <w:ind w:left="576" w:hanging="576"/>
      </w:pPr>
      <w:r>
        <w:rPr>
          <w:rFonts w:ascii="Times New Roman" w:hAnsi="Times New Roman"/>
          <w:sz w:val="23"/>
        </w:rPr>
        <w:t>[23]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[24]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[25]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[26]  Y. Wang, Z. Sun, H. Zhang, W. Cui, K. Xu, X. Ma, and D. Zhang, "DataShot: Automatic generation of fact sheets from tabular data," IEEE Transactions on Visualization and Computer Graphics, vol. 26, no. 1, pp. 895-905, 2020.</w:t>
      </w:r>
    </w:p>
    <w:p>
      <w:pPr>
        <w:spacing w:after="200" w:line="312" w:lineRule="auto"/>
        <w:ind w:left="576" w:hanging="576"/>
      </w:pPr>
      <w:r>
        <w:rPr>
          <w:rFonts w:ascii="Times New Roman" w:hAnsi="Times New Roman"/>
          <w:sz w:val="23"/>
        </w:rPr>
        <w:t>[27]  A. Wu, W. Tong, T. Dwyer, B. Lee, P. Isenberg, and H. Qu, "MultiVision: Designing analytical dashboards with deep learning based recommendation," IEEE Transactions on Visualization and Computer Graphics, vol. 28, no. 1, pp. 162-172, 2022.</w:t>
      </w:r>
    </w:p>
    <w:p>
      <w:pPr>
        <w:spacing w:after="200" w:line="312" w:lineRule="auto"/>
        <w:ind w:left="576" w:hanging="576"/>
      </w:pPr>
      <w:r>
        <w:rPr>
          <w:rFonts w:ascii="Times New Roman" w:hAnsi="Times New Roman"/>
          <w:sz w:val="23"/>
        </w:rPr>
        <w:t>[28]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[29]  T. Yu et al., "SParC: Cross-domain semantic parsing in context," in Proc. 57th Annual Meeting of the Association for Computational Linguistics (ACL), 2019, pp. 4511-4523.</w:t>
      </w:r>
    </w:p>
    <w:p>
      <w:pPr>
        <w:spacing w:after="200" w:line="312" w:lineRule="auto"/>
        <w:ind w:left="576" w:hanging="576"/>
      </w:pPr>
      <w:r>
        <w:rPr>
          <w:rFonts w:ascii="Times New Roman" w:hAnsi="Times New Roman"/>
          <w:sz w:val="23"/>
        </w:rPr>
        <w:t>[30]  T. Yu et al., "CoSQL: A conversational text-to-SQL challenge towards cross-domain natural language interfaces to databases," in Proc. 2019 Conf. Empirical Methods in Natural Language Processing (EMNLP), 2019, pp. 1962-1979.</w:t>
      </w:r>
    </w:p>
    <w:p>
      <w:pPr>
        <w:spacing w:after="200" w:line="312" w:lineRule="auto"/>
        <w:ind w:left="576" w:hanging="576"/>
      </w:pPr>
      <w:r>
        <w:rPr>
          <w:rFonts w:ascii="Times New Roman" w:hAnsi="Times New Roman"/>
          <w:sz w:val="23"/>
        </w:rPr>
        <w:t>[31]  V. Zhong, C. Xiong, and R. Socher, "Seq2SQL: Generating structured queries from natural language using reinforcement learning," arXiv:1709.00103, 2018.</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