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8</w:t>
      </w:r>
    </w:p>
    <w:p>
      <w:pPr>
        <w:spacing w:after="80" w:before="0" w:line="360" w:lineRule="auto"/>
        <w:ind w:left="432"/>
        <w:jc w:val="both"/>
        <w:tabs>
          <w:tab w:val="right" w:leader="dot" w:pos="8640"/>
        </w:tabs>
      </w:pPr>
      <w:r>
        <w:rPr>
          <w:rFonts w:ascii="Times New Roman" w:hAnsi="Times New Roman"/>
          <w:b w:val="0"/>
          <w:sz w:val="23"/>
        </w:rPr>
        <w:t>2.6 Research Gap Analysis</w:t>
        <w:tab/>
        <w:t>9</w:t>
      </w:r>
    </w:p>
    <w:p>
      <w:pPr>
        <w:spacing w:after="160" w:before="80" w:line="360" w:lineRule="auto"/>
        <w:ind w:left="0"/>
        <w:jc w:val="both"/>
        <w:tabs>
          <w:tab w:val="right" w:leader="dot" w:pos="8640"/>
        </w:tabs>
      </w:pPr>
      <w:r>
        <w:rPr>
          <w:rFonts w:ascii="Times New Roman" w:hAnsi="Times New Roman"/>
          <w:b/>
          <w:sz w:val="24"/>
        </w:rPr>
        <w:t>Chapter 3: Methodology</w:t>
        <w:tab/>
        <w:t>10</w:t>
      </w:r>
    </w:p>
    <w:p>
      <w:pPr>
        <w:spacing w:after="80" w:before="0" w:line="360" w:lineRule="auto"/>
        <w:ind w:left="432"/>
        <w:jc w:val="both"/>
        <w:tabs>
          <w:tab w:val="right" w:leader="dot" w:pos="8640"/>
        </w:tabs>
      </w:pPr>
      <w:r>
        <w:rPr>
          <w:rFonts w:ascii="Times New Roman" w:hAnsi="Times New Roman"/>
          <w:b w:val="0"/>
          <w:sz w:val="23"/>
        </w:rPr>
        <w:t>3.1 Research Paradigm</w:t>
        <w:tab/>
        <w:t>10</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13</w:t>
      </w:r>
    </w:p>
    <w:p>
      <w:pPr>
        <w:spacing w:after="80" w:before="0" w:line="360" w:lineRule="auto"/>
        <w:ind w:left="432"/>
        <w:jc w:val="both"/>
        <w:tabs>
          <w:tab w:val="right" w:leader="dot" w:pos="8640"/>
        </w:tabs>
      </w:pPr>
      <w:r>
        <w:rPr>
          <w:rFonts w:ascii="Times New Roman" w:hAnsi="Times New Roman"/>
          <w:b w:val="0"/>
          <w:sz w:val="23"/>
        </w:rPr>
        <w:t>3.4 Formal Model</w:t>
        <w:tab/>
        <w:t>13</w:t>
      </w:r>
    </w:p>
    <w:p>
      <w:pPr>
        <w:spacing w:after="80" w:before="0" w:line="360" w:lineRule="auto"/>
        <w:ind w:left="432"/>
        <w:jc w:val="both"/>
        <w:tabs>
          <w:tab w:val="right" w:leader="dot" w:pos="8640"/>
        </w:tabs>
      </w:pPr>
      <w:r>
        <w:rPr>
          <w:rFonts w:ascii="Times New Roman" w:hAnsi="Times New Roman"/>
          <w:b w:val="0"/>
          <w:sz w:val="23"/>
        </w:rPr>
        <w:t>3.5 Threat Model</w:t>
        <w:tab/>
        <w:t>14</w:t>
      </w:r>
    </w:p>
    <w:p>
      <w:pPr>
        <w:spacing w:after="80" w:before="0" w:line="360" w:lineRule="auto"/>
        <w:ind w:left="432"/>
        <w:jc w:val="both"/>
        <w:tabs>
          <w:tab w:val="right" w:leader="dot" w:pos="8640"/>
        </w:tabs>
      </w:pPr>
      <w:r>
        <w:rPr>
          <w:rFonts w:ascii="Times New Roman" w:hAnsi="Times New Roman"/>
          <w:b w:val="0"/>
          <w:sz w:val="23"/>
        </w:rPr>
        <w:t>3.6 System Architecture</w:t>
        <w:tab/>
        <w:t>17</w:t>
      </w:r>
    </w:p>
    <w:p>
      <w:pPr>
        <w:spacing w:after="80" w:before="0" w:line="360" w:lineRule="auto"/>
        <w:ind w:left="432"/>
        <w:jc w:val="both"/>
        <w:tabs>
          <w:tab w:val="right" w:leader="dot" w:pos="8640"/>
        </w:tabs>
      </w:pPr>
      <w:r>
        <w:rPr>
          <w:rFonts w:ascii="Times New Roman" w:hAnsi="Times New Roman"/>
          <w:b w:val="0"/>
          <w:sz w:val="23"/>
        </w:rPr>
        <w:t>3.7 Semantic Layer Design</w:t>
        <w:tab/>
        <w:t>18</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19</w:t>
      </w:r>
    </w:p>
    <w:p>
      <w:pPr>
        <w:spacing w:after="80" w:before="0" w:line="360" w:lineRule="auto"/>
        <w:ind w:left="432"/>
        <w:jc w:val="both"/>
        <w:tabs>
          <w:tab w:val="right" w:leader="dot" w:pos="8640"/>
        </w:tabs>
      </w:pPr>
      <w:r>
        <w:rPr>
          <w:rFonts w:ascii="Times New Roman" w:hAnsi="Times New Roman"/>
          <w:b w:val="0"/>
          <w:sz w:val="23"/>
        </w:rPr>
        <w:t>3.9 Safe Query Compiler</w:t>
        <w:tab/>
        <w:t>21</w:t>
      </w:r>
    </w:p>
    <w:p>
      <w:pPr>
        <w:spacing w:after="80" w:before="0" w:line="360" w:lineRule="auto"/>
        <w:ind w:left="432"/>
        <w:jc w:val="both"/>
        <w:tabs>
          <w:tab w:val="right" w:leader="dot" w:pos="8640"/>
        </w:tabs>
      </w:pPr>
      <w:r>
        <w:rPr>
          <w:rFonts w:ascii="Times New Roman" w:hAnsi="Times New Roman"/>
          <w:b w:val="0"/>
          <w:sz w:val="23"/>
        </w:rPr>
        <w:t>3.10 Visualization Selector</w:t>
        <w:tab/>
        <w:t>22</w:t>
      </w:r>
    </w:p>
    <w:p>
      <w:pPr>
        <w:spacing w:after="80" w:before="0" w:line="360" w:lineRule="auto"/>
        <w:ind w:left="432"/>
        <w:jc w:val="both"/>
        <w:tabs>
          <w:tab w:val="right" w:leader="dot" w:pos="8640"/>
        </w:tabs>
      </w:pPr>
      <w:r>
        <w:rPr>
          <w:rFonts w:ascii="Times New Roman" w:hAnsi="Times New Roman"/>
          <w:b w:val="0"/>
          <w:sz w:val="23"/>
        </w:rPr>
        <w:t>3.11 Widget Persistence and Reuse</w:t>
        <w:tab/>
        <w:t>22</w:t>
      </w:r>
    </w:p>
    <w:p>
      <w:pPr>
        <w:spacing w:after="160" w:before="80" w:line="360" w:lineRule="auto"/>
        <w:ind w:left="0"/>
        <w:jc w:val="both"/>
        <w:tabs>
          <w:tab w:val="right" w:leader="dot" w:pos="8640"/>
        </w:tabs>
      </w:pPr>
      <w:r>
        <w:rPr>
          <w:rFonts w:ascii="Times New Roman" w:hAnsi="Times New Roman"/>
          <w:b/>
          <w:sz w:val="24"/>
        </w:rPr>
        <w:t>Chapter 4: Experimental Work</w:t>
        <w:tab/>
        <w:t>24</w:t>
      </w:r>
    </w:p>
    <w:p>
      <w:pPr>
        <w:spacing w:after="80" w:before="0" w:line="360" w:lineRule="auto"/>
        <w:ind w:left="432"/>
        <w:jc w:val="both"/>
        <w:tabs>
          <w:tab w:val="right" w:leader="dot" w:pos="8640"/>
        </w:tabs>
      </w:pPr>
      <w:r>
        <w:rPr>
          <w:rFonts w:ascii="Times New Roman" w:hAnsi="Times New Roman"/>
          <w:b w:val="0"/>
          <w:sz w:val="23"/>
        </w:rPr>
        <w:t>4.1 Implementation</w:t>
        <w:tab/>
        <w:t>24</w:t>
      </w:r>
    </w:p>
    <w:p>
      <w:pPr>
        <w:spacing w:after="80" w:before="0" w:line="360" w:lineRule="auto"/>
        <w:ind w:left="432"/>
        <w:jc w:val="both"/>
        <w:tabs>
          <w:tab w:val="right" w:leader="dot" w:pos="8640"/>
        </w:tabs>
      </w:pPr>
      <w:r>
        <w:rPr>
          <w:rFonts w:ascii="Times New Roman" w:hAnsi="Times New Roman"/>
          <w:b w:val="0"/>
          <w:sz w:val="23"/>
        </w:rPr>
        <w:t>4.2 Experimental Environment</w:t>
        <w:tab/>
        <w:t>25</w:t>
      </w:r>
    </w:p>
    <w:p>
      <w:pPr>
        <w:spacing w:after="80" w:before="0" w:line="360" w:lineRule="auto"/>
        <w:ind w:left="432"/>
        <w:jc w:val="both"/>
        <w:tabs>
          <w:tab w:val="right" w:leader="dot" w:pos="8640"/>
        </w:tabs>
      </w:pPr>
      <w:r>
        <w:rPr>
          <w:rFonts w:ascii="Times New Roman" w:hAnsi="Times New Roman"/>
          <w:b w:val="0"/>
          <w:sz w:val="23"/>
        </w:rPr>
        <w:t>4.3 Benchmark Dataset Construction</w:t>
        <w:tab/>
        <w:t>25</w:t>
      </w:r>
    </w:p>
    <w:p>
      <w:pPr>
        <w:spacing w:after="80" w:before="0" w:line="360" w:lineRule="auto"/>
        <w:ind w:left="432"/>
        <w:jc w:val="both"/>
        <w:tabs>
          <w:tab w:val="right" w:leader="dot" w:pos="8640"/>
        </w:tabs>
      </w:pPr>
      <w:r>
        <w:rPr>
          <w:rFonts w:ascii="Times New Roman" w:hAnsi="Times New Roman"/>
          <w:b w:val="0"/>
          <w:sz w:val="23"/>
        </w:rPr>
        <w:t>4.4 Baseline Systems</w:t>
        <w:tab/>
        <w:t>26</w:t>
      </w:r>
    </w:p>
    <w:p>
      <w:pPr>
        <w:spacing w:after="80" w:before="0" w:line="360" w:lineRule="auto"/>
        <w:ind w:left="432"/>
        <w:jc w:val="both"/>
        <w:tabs>
          <w:tab w:val="right" w:leader="dot" w:pos="8640"/>
        </w:tabs>
      </w:pPr>
      <w:r>
        <w:rPr>
          <w:rFonts w:ascii="Times New Roman" w:hAnsi="Times New Roman"/>
          <w:b w:val="0"/>
          <w:sz w:val="23"/>
        </w:rPr>
        <w:t>4.5 Evaluation Procedure</w:t>
        <w:tab/>
        <w:t>26</w:t>
      </w:r>
    </w:p>
    <w:p>
      <w:pPr>
        <w:spacing w:after="160" w:before="80" w:line="360" w:lineRule="auto"/>
        <w:ind w:left="0"/>
        <w:jc w:val="both"/>
        <w:tabs>
          <w:tab w:val="right" w:leader="dot" w:pos="8640"/>
        </w:tabs>
      </w:pPr>
      <w:r>
        <w:rPr>
          <w:rFonts w:ascii="Times New Roman" w:hAnsi="Times New Roman"/>
          <w:b/>
          <w:sz w:val="24"/>
        </w:rPr>
        <w:t>Chapter 5: Results and Discussion</w:t>
        <w:tab/>
        <w:t>28</w:t>
      </w:r>
    </w:p>
    <w:p>
      <w:pPr>
        <w:spacing w:after="80" w:before="0" w:line="360" w:lineRule="auto"/>
        <w:ind w:left="432"/>
        <w:jc w:val="both"/>
        <w:tabs>
          <w:tab w:val="right" w:leader="dot" w:pos="8640"/>
        </w:tabs>
      </w:pPr>
      <w:r>
        <w:rPr>
          <w:rFonts w:ascii="Times New Roman" w:hAnsi="Times New Roman"/>
          <w:b w:val="0"/>
          <w:sz w:val="23"/>
        </w:rPr>
        <w:t>5.1 Benchmark Run and Verified Metrics</w:t>
        <w:tab/>
        <w:t>28</w:t>
      </w:r>
    </w:p>
    <w:p>
      <w:pPr>
        <w:spacing w:after="80" w:before="0" w:line="360" w:lineRule="auto"/>
        <w:ind w:left="432"/>
        <w:jc w:val="both"/>
        <w:tabs>
          <w:tab w:val="right" w:leader="dot" w:pos="8640"/>
        </w:tabs>
      </w:pPr>
      <w:r>
        <w:rPr>
          <w:rFonts w:ascii="Times New Roman" w:hAnsi="Times New Roman"/>
          <w:b w:val="0"/>
          <w:sz w:val="23"/>
        </w:rPr>
        <w:t>5.2 SQL Safety and True Database Execution Validity</w:t>
        <w:tab/>
        <w:t>29</w:t>
      </w:r>
    </w:p>
    <w:p>
      <w:pPr>
        <w:spacing w:after="80" w:before="0" w:line="360" w:lineRule="auto"/>
        <w:ind w:left="432"/>
        <w:jc w:val="both"/>
        <w:tabs>
          <w:tab w:val="right" w:leader="dot" w:pos="8640"/>
        </w:tabs>
      </w:pPr>
      <w:r>
        <w:rPr>
          <w:rFonts w:ascii="Times New Roman" w:hAnsi="Times New Roman"/>
          <w:b w:val="0"/>
          <w:sz w:val="23"/>
        </w:rPr>
        <w:t>5.3 Execution Failure Analysis</w:t>
        <w:tab/>
        <w:t>30</w:t>
      </w:r>
    </w:p>
    <w:p>
      <w:pPr>
        <w:spacing w:after="80" w:before="0" w:line="360" w:lineRule="auto"/>
        <w:ind w:left="432"/>
        <w:jc w:val="both"/>
        <w:tabs>
          <w:tab w:val="right" w:leader="dot" w:pos="8640"/>
        </w:tabs>
      </w:pPr>
      <w:r>
        <w:rPr>
          <w:rFonts w:ascii="Times New Roman" w:hAnsi="Times New Roman"/>
          <w:b w:val="0"/>
          <w:sz w:val="23"/>
        </w:rPr>
        <w:t>5.4 Semantic Correctness and Accuracy</w:t>
        <w:tab/>
        <w:t>31</w:t>
      </w:r>
    </w:p>
    <w:p>
      <w:pPr>
        <w:spacing w:after="80" w:before="0" w:line="360" w:lineRule="auto"/>
        <w:ind w:left="432"/>
        <w:jc w:val="both"/>
        <w:tabs>
          <w:tab w:val="right" w:leader="dot" w:pos="8640"/>
        </w:tabs>
      </w:pPr>
      <w:r>
        <w:rPr>
          <w:rFonts w:ascii="Times New Roman" w:hAnsi="Times New Roman"/>
          <w:b w:val="0"/>
          <w:sz w:val="23"/>
        </w:rPr>
        <w:t>5.5 B3 Template-Only Baseline</w:t>
        <w:tab/>
        <w:t>31</w:t>
      </w:r>
    </w:p>
    <w:p>
      <w:pPr>
        <w:spacing w:after="80" w:before="0" w:line="360" w:lineRule="auto"/>
        <w:ind w:left="432"/>
        <w:jc w:val="both"/>
        <w:tabs>
          <w:tab w:val="right" w:leader="dot" w:pos="8640"/>
        </w:tabs>
      </w:pPr>
      <w:r>
        <w:rPr>
          <w:rFonts w:ascii="Times New Roman" w:hAnsi="Times New Roman"/>
          <w:b w:val="0"/>
          <w:sz w:val="23"/>
        </w:rPr>
        <w:t>5.6 Discussion</w:t>
        <w:tab/>
        <w:t>32</w:t>
      </w:r>
    </w:p>
    <w:p>
      <w:pPr>
        <w:spacing w:after="160" w:before="80" w:line="360" w:lineRule="auto"/>
        <w:ind w:left="0"/>
        <w:jc w:val="both"/>
        <w:tabs>
          <w:tab w:val="right" w:leader="dot" w:pos="8640"/>
        </w:tabs>
      </w:pPr>
      <w:r>
        <w:rPr>
          <w:rFonts w:ascii="Times New Roman" w:hAnsi="Times New Roman"/>
          <w:b/>
          <w:sz w:val="24"/>
        </w:rPr>
        <w:t>Chapter 6: Limitations and Future Work</w:t>
        <w:tab/>
        <w:t>34</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39</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Benchmark pattern classification</w:t>
        <w:tab/>
        <w:t>11</w:t>
      </w:r>
    </w:p>
    <w:p>
      <w:pPr>
        <w:spacing w:after="80" w:before="0" w:line="360" w:lineRule="auto"/>
        <w:jc w:val="both"/>
        <w:tabs>
          <w:tab w:val="right" w:leader="dot" w:pos="8640"/>
        </w:tabs>
      </w:pPr>
      <w:r>
        <w:rPr>
          <w:rFonts w:ascii="Times New Roman" w:hAnsi="Times New Roman"/>
          <w:sz w:val="24"/>
        </w:rPr>
        <w:t>Figure 2: AEGIS architecture pipeline</w:t>
        <w:tab/>
        <w:t>18</w:t>
      </w:r>
    </w:p>
    <w:p>
      <w:pPr>
        <w:spacing w:after="80" w:before="0" w:line="360" w:lineRule="auto"/>
        <w:jc w:val="both"/>
        <w:tabs>
          <w:tab w:val="right" w:leader="dot" w:pos="8640"/>
        </w:tabs>
      </w:pPr>
      <w:r>
        <w:rPr>
          <w:rFonts w:ascii="Times New Roman" w:hAnsi="Times New Roman"/>
          <w:sz w:val="24"/>
        </w:rPr>
        <w:t>Figure 3: Semantic layer modularity</w:t>
        <w:tab/>
        <w:t>18</w:t>
      </w:r>
    </w:p>
    <w:p>
      <w:pPr>
        <w:spacing w:after="80" w:before="0" w:line="360" w:lineRule="auto"/>
        <w:jc w:val="both"/>
        <w:tabs>
          <w:tab w:val="right" w:leader="dot" w:pos="8640"/>
        </w:tabs>
      </w:pPr>
      <w:r>
        <w:rPr>
          <w:rFonts w:ascii="Times New Roman" w:hAnsi="Times New Roman"/>
          <w:sz w:val="24"/>
        </w:rPr>
        <w:t>Figure 4: Vocabulary injection workflow</w:t>
        <w:tab/>
        <w:t>20</w:t>
      </w:r>
    </w:p>
    <w:p>
      <w:pPr>
        <w:spacing w:after="80" w:before="0" w:line="360" w:lineRule="auto"/>
        <w:jc w:val="both"/>
        <w:tabs>
          <w:tab w:val="right" w:leader="dot" w:pos="8640"/>
        </w:tabs>
      </w:pPr>
      <w:r>
        <w:rPr>
          <w:rFonts w:ascii="Times New Roman" w:hAnsi="Times New Roman"/>
          <w:sz w:val="24"/>
        </w:rPr>
        <w:t>Figure 5: AEGIS analytical patterns</w:t>
        <w:tab/>
        <w:t>21</w:t>
      </w:r>
    </w:p>
    <w:p>
      <w:pPr>
        <w:spacing w:after="80" w:before="0" w:line="360" w:lineRule="auto"/>
        <w:jc w:val="both"/>
        <w:tabs>
          <w:tab w:val="right" w:leader="dot" w:pos="8640"/>
        </w:tabs>
      </w:pPr>
      <w:r>
        <w:rPr>
          <w:rFonts w:ascii="Times New Roman" w:hAnsi="Times New Roman"/>
          <w:sz w:val="24"/>
        </w:rPr>
        <w:t>Figure 6: Two-layer SQL safety defence</w:t>
        <w:tab/>
        <w:t>22</w:t>
      </w:r>
    </w:p>
    <w:p>
      <w:pPr>
        <w:spacing w:after="80" w:before="0" w:line="360" w:lineRule="auto"/>
        <w:jc w:val="both"/>
        <w:tabs>
          <w:tab w:val="right" w:leader="dot" w:pos="8640"/>
        </w:tabs>
      </w:pPr>
      <w:r>
        <w:rPr>
          <w:rFonts w:ascii="Times New Roman" w:hAnsi="Times New Roman"/>
          <w:sz w:val="24"/>
        </w:rPr>
        <w:t>Figure 7: Widget lifecycle and refresh model</w:t>
        <w:tab/>
        <w:t>23</w:t>
      </w:r>
    </w:p>
    <w:p>
      <w:pPr>
        <w:spacing w:after="80" w:before="0" w:line="360" w:lineRule="auto"/>
        <w:jc w:val="both"/>
        <w:tabs>
          <w:tab w:val="right" w:leader="dot" w:pos="8640"/>
        </w:tabs>
      </w:pPr>
      <w:r>
        <w:rPr>
          <w:rFonts w:ascii="Times New Roman" w:hAnsi="Times New Roman"/>
          <w:sz w:val="24"/>
        </w:rPr>
        <w:t>Figure 8: Safety and execution-validity comparison</w:t>
        <w:tab/>
        <w:t>29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8</w:t>
      </w:r>
    </w:p>
    <w:p>
      <w:pPr>
        <w:spacing w:after="80" w:before="0" w:line="360" w:lineRule="auto"/>
        <w:jc w:val="both"/>
        <w:tabs>
          <w:tab w:val="right" w:leader="dot" w:pos="8640"/>
        </w:tabs>
      </w:pPr>
      <w:r>
        <w:rPr>
          <w:rFonts w:ascii="Times New Roman" w:hAnsi="Times New Roman"/>
          <w:sz w:val="24"/>
        </w:rPr>
        <w:t>Table 3.1: Benchmark pattern classification</w:t>
        <w:tab/>
        <w:t>11</w:t>
      </w:r>
    </w:p>
    <w:p>
      <w:pPr>
        <w:spacing w:after="80" w:before="0" w:line="360" w:lineRule="auto"/>
        <w:jc w:val="both"/>
        <w:tabs>
          <w:tab w:val="right" w:leader="dot" w:pos="8640"/>
        </w:tabs>
      </w:pPr>
      <w:r>
        <w:rPr>
          <w:rFonts w:ascii="Times New Roman" w:hAnsi="Times New Roman"/>
          <w:sz w:val="24"/>
        </w:rPr>
        <w:t>Table 3.2: Plain-language AEGIS model</w:t>
        <w:tab/>
        <w:t>14</w:t>
      </w:r>
    </w:p>
    <w:p>
      <w:pPr>
        <w:spacing w:after="80" w:before="0" w:line="360" w:lineRule="auto"/>
        <w:jc w:val="both"/>
        <w:tabs>
          <w:tab w:val="right" w:leader="dot" w:pos="8640"/>
        </w:tabs>
      </w:pPr>
      <w:r>
        <w:rPr>
          <w:rFonts w:ascii="Times New Roman" w:hAnsi="Times New Roman"/>
          <w:sz w:val="24"/>
        </w:rPr>
        <w:t>Table 3.3: Semantic layer object model</w:t>
        <w:tab/>
        <w:t>19</w:t>
      </w:r>
    </w:p>
    <w:p>
      <w:pPr>
        <w:spacing w:after="80" w:before="0" w:line="360" w:lineRule="auto"/>
        <w:jc w:val="both"/>
        <w:tabs>
          <w:tab w:val="right" w:leader="dot" w:pos="8640"/>
        </w:tabs>
      </w:pPr>
      <w:r>
        <w:rPr>
          <w:rFonts w:ascii="Times New Roman" w:hAnsi="Times New Roman"/>
          <w:sz w:val="24"/>
        </w:rPr>
        <w:t>Table 3.4: AEGIS analytical patterns</w:t>
        <w:tab/>
        <w:t>21</w:t>
      </w:r>
    </w:p>
    <w:p>
      <w:pPr>
        <w:spacing w:after="80" w:before="0" w:line="360" w:lineRule="auto"/>
        <w:jc w:val="both"/>
        <w:tabs>
          <w:tab w:val="right" w:leader="dot" w:pos="8640"/>
        </w:tabs>
      </w:pPr>
      <w:r>
        <w:rPr>
          <w:rFonts w:ascii="Times New Roman" w:hAnsi="Times New Roman"/>
          <w:sz w:val="24"/>
        </w:rPr>
        <w:t>Table 3.5: Visualization selector mapping</w:t>
        <w:tab/>
        <w:t>22</w:t>
      </w:r>
    </w:p>
    <w:p>
      <w:pPr>
        <w:spacing w:after="80" w:before="0" w:line="360" w:lineRule="auto"/>
        <w:jc w:val="both"/>
        <w:tabs>
          <w:tab w:val="right" w:leader="dot" w:pos="8640"/>
        </w:tabs>
      </w:pPr>
      <w:r>
        <w:rPr>
          <w:rFonts w:ascii="Times New Roman" w:hAnsi="Times New Roman"/>
          <w:sz w:val="24"/>
        </w:rPr>
        <w:t>Table 5.1: Verified benchmark status</w:t>
        <w:tab/>
        <w:t>28</w:t>
      </w:r>
    </w:p>
    <w:p>
      <w:pPr>
        <w:spacing w:after="80" w:before="0" w:line="360" w:lineRule="auto"/>
        <w:jc w:val="both"/>
        <w:tabs>
          <w:tab w:val="right" w:leader="dot" w:pos="8640"/>
        </w:tabs>
      </w:pPr>
      <w:r>
        <w:rPr>
          <w:rFonts w:ascii="Times New Roman" w:hAnsi="Times New Roman"/>
          <w:sz w:val="24"/>
        </w:rPr>
        <w:t>Table 5.2: SQL safety and true execution validity</w:t>
        <w:tab/>
        <w:t>29</w:t>
      </w:r>
    </w:p>
    <w:p>
      <w:pPr>
        <w:spacing w:after="80" w:before="0" w:line="360" w:lineRule="auto"/>
        <w:jc w:val="both"/>
        <w:tabs>
          <w:tab w:val="right" w:leader="dot" w:pos="8640"/>
        </w:tabs>
      </w:pPr>
      <w:r>
        <w:rPr>
          <w:rFonts w:ascii="Times New Roman" w:hAnsi="Times New Roman"/>
          <w:sz w:val="24"/>
        </w:rPr>
        <w:t>Table 5.3: True-execution failure analysis</w:t>
        <w:tab/>
        <w:t>30</w:t>
      </w:r>
    </w:p>
    <w:p>
      <w:pPr>
        <w:spacing w:after="80" w:before="0" w:line="360" w:lineRule="auto"/>
        <w:jc w:val="both"/>
        <w:tabs>
          <w:tab w:val="right" w:leader="dot" w:pos="8640"/>
        </w:tabs>
      </w:pPr>
      <w:r>
        <w:rPr>
          <w:rFonts w:ascii="Times New Roman" w:hAnsi="Times New Roman"/>
          <w:sz w:val="24"/>
        </w:rPr>
        <w:t>Table 5.4: Evaluation metric distinction</w:t>
        <w:tab/>
        <w:t>31</w:t>
      </w:r>
    </w:p>
    <w:p>
      <w:pPr>
        <w:spacing w:after="80" w:before="0" w:line="360" w:lineRule="auto"/>
        <w:jc w:val="both"/>
        <w:tabs>
          <w:tab w:val="right" w:leader="dot" w:pos="8640"/>
        </w:tabs>
      </w:pPr>
      <w:r>
        <w:rPr>
          <w:rFonts w:ascii="Times New Roman" w:hAnsi="Times New Roman"/>
          <w:sz w:val="24"/>
        </w:rPr>
        <w:t>Table 5.5: Template-only baseline summary</w:t>
        <w:tab/>
        <w:t>31</w:t>
      </w:r>
    </w:p>
    <w:p>
      <w:pPr>
        <w:spacing w:after="80" w:before="0" w:line="360" w:lineRule="auto"/>
        <w:jc w:val="both"/>
        <w:tabs>
          <w:tab w:val="right" w:leader="dot" w:pos="8640"/>
        </w:tabs>
      </w:pPr>
      <w:r>
        <w:rPr>
          <w:rFonts w:ascii="Times New Roman" w:hAnsi="Times New Roman"/>
          <w:sz w:val="24"/>
        </w:rPr>
        <w:t>Table 5.6: AEGIS vs. direct LLM-to-SQL</w:t>
        <w:tab/>
        <w:t>32</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Neural text-to-SQL systems now exceed 90% accuracy on the Spider benchmark [1], and large language models can produce reasonable-looking SQL with minimal setup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later used to structure the custom 107-request benchmark.</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work most directly comparable to AEGIS. The discussion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governed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r>
        <w:br w:type="page"/>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r>
        <w:br w:type="page"/>
      </w: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governed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a formative study that analyzes real reporting behavior rather than assuming a problem exists. Design rigor is established through the formal model and threat model, which state precisely what safety property the architecture guarantees and under what boundary that guarantee holds. Evaluation uses a benchmark dataset constructed for this domain and true database execution checks that separate SQL safety from execution validity and semantic correctness.</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expanded the evaluation harness used for the thesis benchmark.</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version of this chapter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3.1 reports a pattern classification of the full 107-request custom benchmark. The first 100 requests are answerable analytical requests classified into the eleven AEGIS patterns by the author; the remaining seven are mixed benchmark requests that test behavior beyond the normal template set and are still counted in the same benchmark denominator. This classification is itself a single-annotator judgment, not independently cross-checked by a second annotator, so it should not be read as a validated inter-rater statistic; unlike the withdrawn figures, however, it is reproducible from the evaluation artifacts supplied with the project repository.</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Pattern classification of the answerable analytical benchmark subset</w:t>
            </w:r>
          </w:p>
        </w:tc>
      </w:tr>
    </w:tbl>
    <w:p>
      <w:pPr>
        <w:spacing w:before="120" w:after="280"/>
        <w:jc w:val="center"/>
      </w:pPr>
      <w:r>
        <w:rPr>
          <w:rFonts w:ascii="Times New Roman" w:hAnsi="Times New Roman"/>
          <w:b/>
          <w:sz w:val="21"/>
        </w:rPr>
        <w:t>Figure 1: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rest of this chapter. First, a small set of patterns appears sufficient: the top three analytical patterns (KPI, Ranking, and Exception/Filter) account for 67 of the 107 benchmark requests, or about 62.6% of the full mixed benchmark. Segment and Tabular happen not to be exercised by this particular run, which is a property of this benchmark rather than evidence that those two patterns are unnecessary; the compiler supports both regardless. Second, business vocabulary differs systematically from database column names: reviewed requests used phrases like 'total refund rate,'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200" w:before="0" w:line="360" w:lineRule="auto"/>
        <w:jc w:val="both"/>
      </w:pPr>
      <w:r>
        <w:rPr>
          <w:rFonts w:ascii="Times New Roman" w:hAnsi="Times New Roman"/>
          <w:b w:val="0"/>
          <w:i w:val="0"/>
          <w:sz w:val="24"/>
        </w:rPr>
        <w:t>The formal idea behind AEGIS can be stated without mathematical notation. Classical text-to-SQL gives the language model a request and a database schema, then asks the model to produce SQL directly. AEGIS splits that responsibility into checked stages. The model reads the user's language and produces only a typed intent object. The semantic layer checks whether the requested metric, dimension, time rule, and pattern are approved. The compiler then builds read-only SQL from templates, the visualization selector chooses a chart or table, and the widget engine persists the result as a reusable artifact.</w:t>
      </w:r>
    </w:p>
    <w:p>
      <w:r>
        <w:br w:type="page"/>
      </w:r>
    </w:p>
    <w:p>
      <w:pPr>
        <w:spacing w:before="200" w:after="80"/>
        <w:jc w:val="center"/>
        <w:keepNext/>
      </w:pPr>
      <w:r>
        <w:rPr>
          <w:rFonts w:ascii="Times New Roman" w:hAnsi="Times New Roman"/>
          <w:b/>
          <w:sz w:val="22"/>
        </w:rPr>
        <w:t>Table 3.2: Plain-language AEGIS formal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Component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Meaning in 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Safety role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User request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The original natural-language reporting question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Never becomes SQL directly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Intent object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Typed summary of metric, dimension, pattern, filter, time range, and limit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Rejects fields outside the schema of allowed intent keys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Approved metrics, dimensions, join paths, patterns, visualization rules, and permissions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Defines what the system is allowed to answer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Compiler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SQL builder using parameterized templates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Produces read-only SQL from approved bindings only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Validator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Post-compilation SQL safety scanner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Blocks non-SELECT statements as defense in depth</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Widget artifact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Saved visualization and refresh plan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Keeps a reusable audit trail of what was generated</w:t>
            </w:r>
          </w:p>
        </w:tc>
      </w:tr>
    </w:tbl>
    <w:p>
      <w:pPr>
        <w:spacing w:after="80"/>
      </w:pPr>
    </w:p>
    <w:p>
      <w:pPr>
        <w:spacing w:after="200" w:before="0" w:line="360" w:lineRule="auto"/>
        <w:jc w:val="both"/>
      </w:pPr>
      <w:r>
        <w:rPr>
          <w:rFonts w:ascii="Times New Roman" w:hAnsi="Times New Roman"/>
          <w:b w:val="0"/>
          <w:i w:val="0"/>
          <w:sz w:val="24"/>
        </w:rPr>
        <w:t>The safety claim is therefore simple: if the semantic layer and compiler templates are trusted, then untrusted user language cannot introduce a table, column, join, or write operation that the semantic layer did not approve. The LLM never receives authority to write executable SQL.</w:t>
      </w:r>
    </w:p>
    <w:p>
      <w:pPr>
        <w:spacing w:after="200" w:before="0" w:line="360" w:lineRule="auto"/>
        <w:jc w:val="both"/>
      </w:pPr>
      <w:r>
        <w:rPr>
          <w:rFonts w:ascii="Times New Roman" w:hAnsi="Times New Roman"/>
          <w:b/>
          <w:i w:val="0"/>
          <w:sz w:val="24"/>
        </w:rPr>
        <w:t xml:space="preserve">Safety proposition. </w:t>
      </w:r>
      <w:r>
        <w:rPr>
          <w:rFonts w:ascii="Times New Roman" w:hAnsi="Times New Roman"/>
          <w:b w:val="0"/>
          <w:i/>
          <w:sz w:val="24"/>
        </w:rPr>
        <w:t>No generated query can reference a table, column, or row that is not represented in the approved semantic layer for the user's role. All SQL identifiers are drawn from closed semantic bindings, and literal values are passed through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'abandoned' maps to a specific OrderStatusId), and relative time expressions such as 'this month'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AEGIS architecture pipeline (User Request to Dashboard Widget)</w:t>
            </w:r>
          </w:p>
        </w:tc>
      </w:tr>
    </w:tbl>
    <w:p>
      <w:pPr>
        <w:spacing w:before="12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Semantic layer modularity - composable blocks vs. free-form SQL generation</w:t>
            </w:r>
          </w:p>
        </w:tc>
      </w:tr>
    </w:tbl>
    <w:p>
      <w:pPr>
        <w:spacing w:before="12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3.3: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Vocabulary injection workflow</w:t>
            </w:r>
          </w:p>
        </w:tc>
      </w:tr>
    </w:tbl>
    <w:p>
      <w:pPr>
        <w:spacing w:before="120" w:after="280"/>
        <w:jc w:val="center"/>
      </w:pPr>
      <w:r>
        <w:rPr>
          <w:rFonts w:ascii="Times New Roman" w:hAnsi="Times New Roman"/>
          <w:b/>
          <w:sz w:val="21"/>
        </w:rPr>
        <w:t>Figure 4: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Taxonomy of the eleven AEGIS analytical patterns</w:t>
            </w:r>
          </w:p>
        </w:tc>
      </w:tr>
    </w:tbl>
    <w:p>
      <w:pPr>
        <w:spacing w:before="120" w:after="280"/>
        <w:jc w:val="center"/>
      </w:pPr>
      <w:r>
        <w:rPr>
          <w:rFonts w:ascii="Times New Roman" w:hAnsi="Times New Roman"/>
          <w:b/>
          <w:sz w:val="21"/>
        </w:rPr>
        <w:t>Figure 5: Taxonomy of the eleven AEGIS analytical patterns</w:t>
      </w:r>
    </w:p>
    <w:p>
      <w:pPr>
        <w:spacing w:before="200" w:after="80"/>
        <w:jc w:val="center"/>
        <w:keepNext/>
      </w:pPr>
      <w:r>
        <w:rPr>
          <w:rFonts w:ascii="Times New Roman" w:hAnsi="Times New Roman"/>
          <w:b/>
          <w:sz w:val="22"/>
        </w:rPr>
        <w:t>Table 3.4: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3.5: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sz w:val="24"/>
        </w:rPr>
        <w:t>Semantic layer: 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sz w:val="24"/>
        </w:rPr>
        <w:t>Visualization selector: 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sz w:val="24"/>
        </w:rPr>
        <w:t>Widget engine: 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sz w:val="24"/>
        </w:rPr>
        <w:t>Coverage validator: 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the results discussion. All benchmark construction, execution, and measurement were carried out by the author as part of this thesis, using a self-built dataset and evaluation harness; none of it has been independently replicated by a third party, externally audited, or peer-reviewed. This is distinct from reproducibility: the underlying project repository artifacts and the scripts that compute statistics from them are provided with this thesis specifically so that any reader can independently re-run the computation and check the reported figures against the raw data, even though no one outside this research has done so yet. Where a figure states that an annotation or classification step was performed by a named number of people (for example, two database engineers verifying gold-standard SQL), that step was part of the author's own research process rather than an independent, third-party audit. These results should therefore be read as internal evidence produced during this research and reproducible from the published artifacts, but not yet independently verified by anyone outside it.</w:t>
      </w:r>
    </w:p>
    <w:p>
      <w:pPr>
        <w:spacing w:after="0" w:before="0" w:line="360" w:lineRule="auto"/>
        <w:jc w:val="both"/>
      </w:pPr>
      <w:r>
        <w:rPr>
          <w:rFonts w:ascii="Times New Roman" w:hAnsi="Times New Roman"/>
          <w:b w:val="0"/>
          <w:i w:val="0"/>
          <w:sz w:val="24"/>
        </w:rPr>
        <w:t>A domain-specific benchmark of 107 natural-language reporting requests was built over the production nopCommerce schema described above. The full question set and recorded pipeline outputs are available with the project repository, enabling verification of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This baseline is prepared for evaluation but is not included in the verified results.</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This baseline has been executed for true database execution validity and is discussed as B3 in the results.</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the measurements that can be verified from repository artifacts and true database execution:</w:t>
      </w:r>
    </w:p>
    <w:p>
      <w:pPr>
        <w:spacing w:after="80" w:line="360" w:lineRule="auto"/>
        <w:ind w:left="461" w:hanging="259"/>
      </w:pPr>
      <w:r>
        <w:rPr>
          <w:rFonts w:ascii="Times New Roman" w:hAnsi="Times New Roman"/>
          <w:sz w:val="24"/>
        </w:rPr>
        <w:t>•</w:t>
        <w:tab/>
      </w:r>
      <w:r>
        <w:rPr>
          <w:rFonts w:ascii="Times New Roman" w:hAnsi="Times New Roman"/>
          <w:sz w:val="24"/>
        </w:rPr>
        <w:t>RQ1: 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sz w:val="24"/>
        </w:rPr>
        <w:t>RQ2: 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sz w:val="24"/>
        </w:rPr>
        <w:t>RQ3: 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sz w:val="24"/>
        </w:rPr>
        <w:t>RQ4: How does the deterministic downstream compiler behave when intent selection is rule-based rather than LLM-based? Measured through the B3 template-only baseline.</w:t>
      </w:r>
    </w:p>
    <w:p>
      <w:pPr>
        <w:spacing w:after="80" w:line="360" w:lineRule="auto"/>
        <w:ind w:left="461" w:hanging="259"/>
      </w:pPr>
      <w:r>
        <w:rPr>
          <w:rFonts w:ascii="Times New Roman" w:hAnsi="Times New Roman"/>
          <w:sz w:val="24"/>
        </w:rPr>
        <w:t>•</w:t>
        <w:tab/>
      </w:r>
      <w:r>
        <w:rPr>
          <w:rFonts w:ascii="Times New Roman" w:hAnsi="Times New Roman"/>
          <w:sz w:val="24"/>
        </w:rPr>
        <w:t>RQ5: Which remaining work is required in future work? Semantic correctness, B2/B4 baseline completion, and latency instrumentation are explicitly listed as future work rather than reported as completed results.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prototype evaluation results that have been verified from the repository artifacts and from true database execution. The chapter deliberately separates SQL safety, execution validity, and semantic correctness. A query can be safe and executable while still being semantically wrong; therefore, correctness is treated as a separate benchmark that requires annotated expected answers in future work.</w:t>
      </w:r>
    </w:p>
    <w:p>
      <w:pPr>
        <w:spacing w:after="0" w:before="0" w:line="360" w:lineRule="auto"/>
        <w:jc w:val="both"/>
      </w:pPr>
      <w:r>
        <w:rPr>
          <w:rFonts w:ascii="Times New Roman" w:hAnsi="Times New Roman"/>
          <w:b w:val="0"/>
          <w:i w:val="0"/>
          <w:sz w:val="24"/>
        </w:rPr>
        <w:t>The verified quantitative evidence currently covers the 107-query mixed benchmark against AEGIS and baseline B1, plus a completed B3 template-only execution-validity run. B2 and B4 remain future evaluation work, and latency has not yet been instrumented. The tables below therefore report only the measurements that can be traced to files and commands in the repository.</w:t>
      </w:r>
    </w:p>
    <w:p>
      <w:pPr>
        <w:spacing w:before="320" w:after="160"/>
        <w:jc w:val="left"/>
      </w:pPr>
      <w:r>
        <w:rPr>
          <w:rFonts w:ascii="Times New Roman" w:hAnsi="Times New Roman"/>
          <w:b/>
          <w:sz w:val="28"/>
        </w:rPr>
        <w:t>5.1  Benchmark Run and Verified Metrics</w:t>
      </w:r>
    </w:p>
    <w:p>
      <w:pPr>
        <w:spacing w:after="200" w:before="0" w:line="360" w:lineRule="auto"/>
        <w:jc w:val="both"/>
      </w:pPr>
      <w:r>
        <w:rPr>
          <w:rFonts w:ascii="Times New Roman" w:hAnsi="Times New Roman"/>
          <w:b w:val="0"/>
          <w:i w:val="0"/>
          <w:sz w:val="24"/>
        </w:rPr>
        <w:t>The benchmark consists of 107 natural-language reporting requests executed as one mixed test set. Earlier drafts described seven of those requests as a separate boundary-probe set. This chapter avoids that split because the evaluation design now treat all 107 requests as part of the same benchmark run. Some requests are harder boundary cases, but they are still counted in the same denominator as every other query.</w:t>
      </w:r>
    </w:p>
    <w:p>
      <w:pPr>
        <w:spacing w:before="200" w:after="80"/>
        <w:jc w:val="center"/>
        <w:keepNext/>
      </w:pPr>
      <w:r>
        <w:rPr>
          <w:rFonts w:ascii="Times New Roman" w:hAnsi="Times New Roman"/>
          <w:b/>
          <w:sz w:val="22"/>
        </w:rPr>
        <w:t>Table 5.1: Verified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Evidence basis: the project repository contains the question set, recorded benchmark outputs, B3 outputs, and the true database execution verifier used against the seeded MySQL database.</w:t>
      </w:r>
    </w:p>
    <w:p>
      <w:pPr>
        <w:spacing w:before="320" w:after="160"/>
        <w:jc w:val="left"/>
      </w:pPr>
      <w:r>
        <w:rPr>
          <w:rFonts w:ascii="Times New Roman" w:hAnsi="Times New Roman"/>
          <w:b/>
          <w:sz w:val="28"/>
        </w:rPr>
        <w:t>5.2  SQL Safety and True Database Execution Validity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Query Execution Validity measures whether the SQL actually runs against the seeded MySQL database. These are different measurements: safety is about what the query is allowed to do, while true execution validity is about whether the database accepts and executes the statement.</w:t>
      </w:r>
    </w:p>
    <w:p>
      <w:pPr>
        <w:spacing w:before="200" w:after="80"/>
        <w:jc w:val="center"/>
        <w:keepNext/>
      </w:pPr>
      <w:r>
        <w:rPr>
          <w:rFonts w:ascii="Times New Roman" w:hAnsi="Times New Roman"/>
          <w:b/>
          <w:sz w:val="22"/>
        </w:rPr>
        <w:t>Table 5.2: SQL safety and true execution validity on the 107-query benchmark.</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True execution validity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used as the primary safety baseline in this chapter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r>
    </w:tbl>
    <w:p>
      <w:pPr>
        <w:spacing w:after="80"/>
      </w:pPr>
    </w:p>
    <w:p>
      <w:pPr>
        <w:spacing w:after="160" w:before="0" w:line="360" w:lineRule="auto"/>
        <w:jc w:val="both"/>
      </w:pPr>
      <w:r>
        <w:rPr>
          <w:rFonts w:ascii="Times New Roman" w:hAnsi="Times New Roman"/>
          <w:b w:val="0"/>
          <w:i w:val="0"/>
          <w:sz w:val="24"/>
        </w:rPr>
        <w:t>Baseline B1 mostly failed because of hallucinated columns, invalid table references, or dialect errors. AEGIS had no unsafe SQL, but seven generated statements still failed due to implementation defects diagnosed below. B3 is included as a compiler-behavior comparison, not as a semantic-correctness result.</w:t>
      </w: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Verified safety and execution-validity comparison</w:t>
            </w:r>
          </w:p>
        </w:tc>
      </w:tr>
    </w:tbl>
    <w:p>
      <w:pPr>
        <w:spacing w:before="120" w:after="280"/>
        <w:jc w:val="center"/>
      </w:pPr>
      <w:r>
        <w:rPr>
          <w:rFonts w:ascii="Times New Roman" w:hAnsi="Times New Roman"/>
          <w:b/>
          <w:sz w:val="21"/>
        </w:rPr>
        <w:t>Figure 8: Verified safety and execution-validity comparison</w:t>
      </w:r>
    </w:p>
    <w:p>
      <w:pPr>
        <w:spacing w:before="320" w:after="160"/>
        <w:jc w:val="left"/>
      </w:pPr>
      <w:r>
        <w:rPr>
          <w:rFonts w:ascii="Times New Roman" w:hAnsi="Times New Roman"/>
          <w:b/>
          <w:sz w:val="28"/>
        </w:rPr>
        <w:t>5.3  Execution Failure Analysis</w:t>
      </w:r>
    </w:p>
    <w:p>
      <w:pPr>
        <w:spacing w:after="200" w:before="0" w:line="360" w:lineRule="auto"/>
        <w:jc w:val="both"/>
      </w:pPr>
      <w:r>
        <w:rPr>
          <w:rFonts w:ascii="Times New Roman" w:hAnsi="Times New Roman"/>
          <w:b w:val="0"/>
          <w:i w:val="0"/>
          <w:sz w:val="24"/>
        </w:rPr>
        <w:t>The seven AEGIS execution failures are useful because they show where the prototype needs engineering work in future work. They are not safety violations: they are SQL statements that failed to execute correctly against the real database.</w:t>
      </w:r>
    </w:p>
    <w:p>
      <w:pPr>
        <w:spacing w:before="200" w:after="80"/>
        <w:jc w:val="center"/>
        <w:keepNext/>
      </w:pPr>
      <w:r>
        <w:rPr>
          <w:rFonts w:ascii="Times New Roman" w:hAnsi="Times New Roman"/>
          <w:b/>
          <w:sz w:val="22"/>
        </w:rPr>
        <w:t>Table 5.3: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5.4  Semantic Correctness and Accuracy</w:t>
      </w:r>
    </w:p>
    <w:p>
      <w:pPr>
        <w:spacing w:after="200" w:before="0" w:line="360" w:lineRule="auto"/>
        <w:jc w:val="both"/>
      </w:pPr>
      <w:r>
        <w:rPr>
          <w:rFonts w:ascii="Times New Roman" w:hAnsi="Times New Roman"/>
          <w:b w:val="0"/>
          <w:i w:val="0"/>
          <w:sz w:val="24"/>
        </w:rPr>
        <w:t>Correctness or accuracy is a separate benchmark from execution validity. The current results prove that AEGIS usually generates SQL that the database can execute and that it does not generate unsafe SQL. They do not, by themselves, prove that every safe and executable query answers the user's real intent.</w:t>
      </w:r>
    </w:p>
    <w:p>
      <w:pPr>
        <w:spacing w:before="200" w:after="80"/>
        <w:jc w:val="center"/>
        <w:keepNext/>
      </w:pPr>
      <w:r>
        <w:rPr>
          <w:rFonts w:ascii="Times New Roman" w:hAnsi="Times New Roman"/>
          <w:b/>
          <w:sz w:val="22"/>
        </w:rPr>
        <w:t>Table 5.4: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5.5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5.5: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5.6  Discussion</w:t>
      </w:r>
    </w:p>
    <w:p>
      <w:pPr>
        <w:spacing w:after="120" w:before="0" w:line="360" w:lineRule="auto"/>
        <w:jc w:val="both"/>
      </w:pPr>
      <w:r>
        <w:rPr>
          <w:rFonts w:ascii="Times New Roman" w:hAnsi="Times New Roman"/>
          <w:b/>
          <w:i w:val="0"/>
          <w:sz w:val="24"/>
        </w:rPr>
        <w:t xml:space="preserve">5.6.1 AEGIS vs. direct LLM-to-SQL. </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5.6: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after="120" w:before="0" w:line="360" w:lineRule="auto"/>
        <w:jc w:val="both"/>
      </w:pPr>
      <w:r>
        <w:rPr>
          <w:rFonts w:ascii="Times New Roman" w:hAnsi="Times New Roman"/>
          <w:b/>
          <w:i w:val="0"/>
          <w:sz w:val="24"/>
        </w:rPr>
        <w:t xml:space="preserve">5.6.2 Semantic layer versus retrieval-augmented generation. </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after="120" w:before="0" w:line="360" w:lineRule="auto"/>
        <w:jc w:val="both"/>
      </w:pPr>
      <w:r>
        <w:rPr>
          <w:rFonts w:ascii="Times New Roman" w:hAnsi="Times New Roman"/>
          <w:b/>
          <w:i w:val="0"/>
          <w:sz w:val="24"/>
        </w:rPr>
        <w:t xml:space="preserve">5.6.3 Scope boundary. </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107-query benchmark was necessary because standard benchmarks such as Spider and BIRD do not evaluate SQL safety or adherence to business logic; this also means the reported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in conversational text-to-SQL research,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sz w:val="24"/>
        </w:rPr>
        <w:t>Clarification requests: 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sz w:val="24"/>
        </w:rPr>
        <w:t>Semantic layer wizard: a guided interface for business analysts to define new metrics and dimensions without writing Python.</w:t>
      </w:r>
    </w:p>
    <w:p>
      <w:pPr>
        <w:spacing w:after="80" w:line="360" w:lineRule="auto"/>
        <w:ind w:left="461" w:hanging="259"/>
      </w:pPr>
      <w:r>
        <w:rPr>
          <w:rFonts w:ascii="Times New Roman" w:hAnsi="Times New Roman"/>
          <w:sz w:val="24"/>
        </w:rPr>
        <w:t>•</w:t>
        <w:tab/>
      </w:r>
      <w:r>
        <w:rPr>
          <w:rFonts w:ascii="Times New Roman" w:hAnsi="Times New Roman"/>
          <w:sz w:val="24"/>
        </w:rPr>
        <w:t>Multi-step queries: currently each query produces one widget; compound questions such as "revenue trend and top 5 products side by side" require two separate queries today.</w:t>
      </w:r>
    </w:p>
    <w:p>
      <w:pPr>
        <w:spacing w:after="80" w:line="360" w:lineRule="auto"/>
        <w:ind w:left="461" w:hanging="259"/>
      </w:pPr>
      <w:r>
        <w:rPr>
          <w:rFonts w:ascii="Times New Roman" w:hAnsi="Times New Roman"/>
          <w:sz w:val="24"/>
        </w:rPr>
        <w:t>•</w:t>
        <w:tab/>
      </w:r>
      <w:r>
        <w:rPr>
          <w:rFonts w:ascii="Times New Roman" w:hAnsi="Times New Roman"/>
          <w:sz w:val="24"/>
        </w:rPr>
        <w:t>Automated denial-of-service protection: query complexity scoring and server-side timeout enforcement, since the join graph bounds query cost but does not currently score it explicitly.</w:t>
      </w:r>
    </w:p>
    <w:p>
      <w:pPr>
        <w:spacing w:after="80" w:line="360" w:lineRule="auto"/>
        <w:ind w:left="461" w:hanging="259"/>
      </w:pPr>
      <w:r>
        <w:rPr>
          <w:rFonts w:ascii="Times New Roman" w:hAnsi="Times New Roman"/>
          <w:sz w:val="24"/>
        </w:rPr>
        <w:t>•</w:t>
        <w:tab/>
      </w:r>
      <w:r>
        <w:rPr>
          <w:rFonts w:ascii="Times New Roman" w:hAnsi="Times New Roman"/>
          <w:sz w:val="24"/>
        </w:rPr>
        <w:t>Broader schema coverage: extending the nopCommerce semantic layer to cover promotions, vendor analytics, and content-management engagement metrics.</w:t>
      </w:r>
    </w:p>
    <w:p>
      <w:pPr>
        <w:spacing w:after="80" w:line="360" w:lineRule="auto"/>
        <w:ind w:left="461" w:hanging="259"/>
      </w:pPr>
      <w:r>
        <w:rPr>
          <w:rFonts w:ascii="Times New Roman" w:hAnsi="Times New Roman"/>
          <w:sz w:val="24"/>
        </w:rPr>
        <w:t>•</w:t>
        <w:tab/>
      </w:r>
      <w:r>
        <w:rPr>
          <w:rFonts w:ascii="Times New Roman" w:hAnsi="Times New Roman"/>
          <w:sz w:val="24"/>
        </w:rPr>
        <w:t>Multi-turn conversational carryover, extending the single-turn design discussed above.</w:t>
      </w:r>
    </w:p>
    <w:p>
      <w:pPr>
        <w:spacing w:after="80" w:line="360" w:lineRule="auto"/>
        <w:ind w:left="461" w:hanging="259"/>
      </w:pPr>
      <w:r>
        <w:rPr>
          <w:rFonts w:ascii="Times New Roman" w:hAnsi="Times New Roman"/>
          <w:sz w:val="24"/>
        </w:rPr>
        <w:t>•</w:t>
        <w:tab/>
      </w:r>
      <w:r>
        <w:rPr>
          <w:rFonts w:ascii="Times New Roman" w:hAnsi="Times New Roman"/>
          <w:sz w:val="24"/>
        </w:rPr>
        <w:t>Outcome and rejection-category instrumentation: measuring, from real benchmark and production runs, the precise proportion of requests answered directly, answered after clarification, answered after a semantic layer extension, or rejected, and the relative frequency of each rejection category. This thesis currently reports these categories qualitatively; adding this instrumentation would let a future revision report a measured percentage breakdown rather than a qualitative one.</w:t>
      </w:r>
    </w:p>
    <w:p>
      <w:pPr>
        <w:spacing w:after="80" w:line="360" w:lineRule="auto"/>
        <w:ind w:left="461" w:hanging="259"/>
      </w:pPr>
      <w:r>
        <w:rPr>
          <w:rFonts w:ascii="Times New Roman" w:hAnsi="Times New Roman"/>
          <w:sz w:val="24"/>
        </w:rPr>
        <w:t>•</w:t>
        <w:tab/>
      </w:r>
      <w:r>
        <w:rPr>
          <w:rFonts w:ascii="Times New Roman" w:hAnsi="Times New Roman"/>
          <w:sz w:val="24"/>
        </w:rPr>
        <w:t>Semantic correctness benchmark: adding annotated expected-answer labels for the 107 mixed requests so the evaluation can report correctness separately from SQL safety and true database execution validity.</w:t>
      </w:r>
    </w:p>
    <w:p>
      <w:pPr>
        <w:spacing w:after="80" w:line="360" w:lineRule="auto"/>
        <w:ind w:left="461" w:hanging="259"/>
      </w:pPr>
      <w:r>
        <w:rPr>
          <w:rFonts w:ascii="Times New Roman" w:hAnsi="Times New Roman"/>
          <w:sz w:val="24"/>
        </w:rPr>
        <w:t>•</w:t>
        <w:tab/>
      </w:r>
      <w:r>
        <w:rPr>
          <w:rFonts w:ascii="Times New Roman" w:hAnsi="Times New Roman"/>
          <w:sz w:val="24"/>
        </w:rPr>
        <w:t>Cross-schema generalizability benchmark: rebuilding the semantic layer for a second schema, such as WooCommerce, while keeping the intent parser contract, compiler structure, and safety scanner unchanged. This future evaluation would measure how much of AEGIS transfers across schemas and how much effort is required to configure a new domain.</w:t>
      </w:r>
    </w:p>
    <w:p>
      <w:pPr>
        <w:spacing w:after="80" w:line="360" w:lineRule="auto"/>
        <w:ind w:left="461" w:hanging="259"/>
      </w:pPr>
      <w:r>
        <w:rPr>
          <w:rFonts w:ascii="Times New Roman" w:hAnsi="Times New Roman"/>
          <w:sz w:val="24"/>
        </w:rPr>
        <w:t>•</w:t>
        <w:tab/>
      </w:r>
      <w:r>
        <w:rPr>
          <w:rFonts w:ascii="Times New Roman" w:hAnsi="Times New Roman"/>
          <w:sz w:val="24"/>
        </w:rPr>
        <w:t>Remaining baselines and latency: completing B2 and B4, then instrumenting pipeline latency with repeatable timing logs in future work.</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semantic-layer and vocabulary-injection design that makes approved business terms explicit instead of asking the model to infer them from raw schema names.</w:t>
      </w:r>
    </w:p>
    <w:p>
      <w:pPr>
        <w:spacing w:after="240" w:before="0" w:line="360" w:lineRule="auto"/>
        <w:jc w:val="both"/>
      </w:pPr>
      <w:r>
        <w:rPr>
          <w:rFonts w:ascii="Times New Roman" w:hAnsi="Times New Roman"/>
          <w:b w:val="0"/>
          <w:i w:val="0"/>
          <w:sz w:val="24"/>
        </w:rPr>
        <w:t>The verified evaluation shows that AEGIS produced no unsafe SQL statements across the 107-query benchmark and successfully executed 100 of 107 generated queries against the seeded MySQL database. The direct LLM-to-SQL baseline successfully executed 27 of 107 queries and produced one genuine unsafe write statement. These figures support the safety argument while also exposing the remaining engineering work: seven AEGIS execution failures, incomplete scope detection, and an unmeasured semantic correctness benchmark.</w:t>
      </w:r>
    </w:p>
    <w:p>
      <w:pPr>
        <w:spacing w:after="240" w:before="0" w:line="360" w:lineRule="auto"/>
        <w:jc w:val="both"/>
      </w:pPr>
      <w:r>
        <w:rPr>
          <w:rFonts w:ascii="Times New Roman" w:hAnsi="Times New Roman"/>
          <w:b w:val="0"/>
          <w:i w:val="0"/>
          <w:sz w:val="24"/>
        </w:rPr>
        <w:t>The literature review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that arrives at the same 'let a deterministic layer compute the answer'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The limitations discussion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