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4000(A)</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Semester, Year: 4th Year - 7th Semester</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limitations section.</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prototype evaluation over a 107-query mixed natural-language benchmark on a seeded nopCommerce-style database shows that AEGIS produced no unsafe SQL statements and achieved 100 successful true database executions out of 107, while a direct LLM-to-SQL baseline achieved 27 successful executions out of 107 and produced one genuine unsafe write statement. These results support the thesis's central claim that SQL safety can be made a structural property of the architecture. The evaluation also shows a remaining limitation: safe and executable SQL is not always semantically correct, so correctness and scope-handling require a separate annotated benchmark in future work.</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8</w:t>
      </w:r>
    </w:p>
    <w:p>
      <w:pPr>
        <w:spacing w:after="80" w:before="0" w:line="360" w:lineRule="auto"/>
        <w:ind w:left="432"/>
        <w:jc w:val="both"/>
        <w:tabs>
          <w:tab w:val="right" w:leader="dot" w:pos="8640"/>
        </w:tabs>
      </w:pPr>
      <w:r>
        <w:rPr>
          <w:rFonts w:ascii="Times New Roman" w:hAnsi="Times New Roman"/>
          <w:b w:val="0"/>
          <w:sz w:val="23"/>
        </w:rPr>
        <w:t>2.6 Research Gap Analysis</w:t>
        <w:tab/>
        <w:t>9</w:t>
      </w:r>
    </w:p>
    <w:p>
      <w:pPr>
        <w:spacing w:after="160" w:before="80" w:line="360" w:lineRule="auto"/>
        <w:ind w:left="0"/>
        <w:jc w:val="both"/>
        <w:tabs>
          <w:tab w:val="right" w:leader="dot" w:pos="8640"/>
        </w:tabs>
      </w:pPr>
      <w:r>
        <w:rPr>
          <w:rFonts w:ascii="Times New Roman" w:hAnsi="Times New Roman"/>
          <w:b/>
          <w:sz w:val="24"/>
        </w:rPr>
        <w:t>Chapter 3: Methodology</w:t>
        <w:tab/>
        <w:t>10</w:t>
      </w:r>
    </w:p>
    <w:p>
      <w:pPr>
        <w:spacing w:after="80" w:before="0" w:line="360" w:lineRule="auto"/>
        <w:ind w:left="432"/>
        <w:jc w:val="both"/>
        <w:tabs>
          <w:tab w:val="right" w:leader="dot" w:pos="8640"/>
        </w:tabs>
      </w:pPr>
      <w:r>
        <w:rPr>
          <w:rFonts w:ascii="Times New Roman" w:hAnsi="Times New Roman"/>
          <w:b w:val="0"/>
          <w:sz w:val="23"/>
        </w:rPr>
        <w:t>3.1 Research Paradigm</w:t>
        <w:tab/>
        <w:t>10</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10</w:t>
      </w:r>
    </w:p>
    <w:p>
      <w:pPr>
        <w:spacing w:after="80" w:before="0" w:line="360" w:lineRule="auto"/>
        <w:ind w:left="432"/>
        <w:jc w:val="both"/>
        <w:tabs>
          <w:tab w:val="right" w:leader="dot" w:pos="8640"/>
        </w:tabs>
      </w:pPr>
      <w:r>
        <w:rPr>
          <w:rFonts w:ascii="Times New Roman" w:hAnsi="Times New Roman"/>
          <w:b w:val="0"/>
          <w:sz w:val="23"/>
        </w:rPr>
        <w:t>3.3 Design Principles</w:t>
        <w:tab/>
        <w:t>12</w:t>
      </w:r>
    </w:p>
    <w:p>
      <w:pPr>
        <w:spacing w:after="80" w:before="0" w:line="360" w:lineRule="auto"/>
        <w:ind w:left="432"/>
        <w:jc w:val="both"/>
        <w:tabs>
          <w:tab w:val="right" w:leader="dot" w:pos="8640"/>
        </w:tabs>
      </w:pPr>
      <w:r>
        <w:rPr>
          <w:rFonts w:ascii="Times New Roman" w:hAnsi="Times New Roman"/>
          <w:b w:val="0"/>
          <w:sz w:val="23"/>
        </w:rPr>
        <w:t>3.4 Formal Model</w:t>
        <w:tab/>
        <w:t>12</w:t>
      </w:r>
    </w:p>
    <w:p>
      <w:pPr>
        <w:spacing w:after="80" w:before="0" w:line="360" w:lineRule="auto"/>
        <w:ind w:left="432"/>
        <w:jc w:val="both"/>
        <w:tabs>
          <w:tab w:val="right" w:leader="dot" w:pos="8640"/>
        </w:tabs>
      </w:pPr>
      <w:r>
        <w:rPr>
          <w:rFonts w:ascii="Times New Roman" w:hAnsi="Times New Roman"/>
          <w:b w:val="0"/>
          <w:sz w:val="23"/>
        </w:rPr>
        <w:t>3.5 Threat Model</w:t>
        <w:tab/>
        <w:t>12</w:t>
      </w:r>
    </w:p>
    <w:p>
      <w:pPr>
        <w:spacing w:after="80" w:before="0" w:line="360" w:lineRule="auto"/>
        <w:ind w:left="432"/>
        <w:jc w:val="both"/>
        <w:tabs>
          <w:tab w:val="right" w:leader="dot" w:pos="8640"/>
        </w:tabs>
      </w:pPr>
      <w:r>
        <w:rPr>
          <w:rFonts w:ascii="Times New Roman" w:hAnsi="Times New Roman"/>
          <w:b w:val="0"/>
          <w:sz w:val="23"/>
        </w:rPr>
        <w:t>3.6 System Architecture</w:t>
        <w:tab/>
        <w:t>15</w:t>
      </w:r>
    </w:p>
    <w:p>
      <w:pPr>
        <w:spacing w:after="80" w:before="0" w:line="360" w:lineRule="auto"/>
        <w:ind w:left="432"/>
        <w:jc w:val="both"/>
        <w:tabs>
          <w:tab w:val="right" w:leader="dot" w:pos="8640"/>
        </w:tabs>
      </w:pPr>
      <w:r>
        <w:rPr>
          <w:rFonts w:ascii="Times New Roman" w:hAnsi="Times New Roman"/>
          <w:b w:val="0"/>
          <w:sz w:val="23"/>
        </w:rPr>
        <w:t>3.7 Semantic Layer Design</w:t>
        <w:tab/>
        <w:t>16</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17</w:t>
      </w:r>
    </w:p>
    <w:p>
      <w:pPr>
        <w:spacing w:after="80" w:before="0" w:line="360" w:lineRule="auto"/>
        <w:ind w:left="432"/>
        <w:jc w:val="both"/>
        <w:tabs>
          <w:tab w:val="right" w:leader="dot" w:pos="8640"/>
        </w:tabs>
      </w:pPr>
      <w:r>
        <w:rPr>
          <w:rFonts w:ascii="Times New Roman" w:hAnsi="Times New Roman"/>
          <w:b w:val="0"/>
          <w:sz w:val="23"/>
        </w:rPr>
        <w:t>3.9 Safe Query Compiler</w:t>
        <w:tab/>
        <w:t>19</w:t>
      </w:r>
    </w:p>
    <w:p>
      <w:pPr>
        <w:spacing w:after="80" w:before="0" w:line="360" w:lineRule="auto"/>
        <w:ind w:left="432"/>
        <w:jc w:val="both"/>
        <w:tabs>
          <w:tab w:val="right" w:leader="dot" w:pos="8640"/>
        </w:tabs>
      </w:pPr>
      <w:r>
        <w:rPr>
          <w:rFonts w:ascii="Times New Roman" w:hAnsi="Times New Roman"/>
          <w:b w:val="0"/>
          <w:sz w:val="23"/>
        </w:rPr>
        <w:t>3.10 Visualization Selector</w:t>
        <w:tab/>
        <w:t>20</w:t>
      </w:r>
    </w:p>
    <w:p>
      <w:pPr>
        <w:spacing w:after="80" w:before="0" w:line="360" w:lineRule="auto"/>
        <w:ind w:left="432"/>
        <w:jc w:val="both"/>
        <w:tabs>
          <w:tab w:val="right" w:leader="dot" w:pos="8640"/>
        </w:tabs>
      </w:pPr>
      <w:r>
        <w:rPr>
          <w:rFonts w:ascii="Times New Roman" w:hAnsi="Times New Roman"/>
          <w:b w:val="0"/>
          <w:sz w:val="23"/>
        </w:rPr>
        <w:t>3.11 Widget Persistence and Reuse</w:t>
        <w:tab/>
        <w:t>20</w:t>
      </w:r>
    </w:p>
    <w:p>
      <w:pPr>
        <w:spacing w:after="160" w:before="80" w:line="360" w:lineRule="auto"/>
        <w:ind w:left="0"/>
        <w:jc w:val="both"/>
        <w:tabs>
          <w:tab w:val="right" w:leader="dot" w:pos="8640"/>
        </w:tabs>
      </w:pPr>
      <w:r>
        <w:rPr>
          <w:rFonts w:ascii="Times New Roman" w:hAnsi="Times New Roman"/>
          <w:b/>
          <w:sz w:val="24"/>
        </w:rPr>
        <w:t>Chapter 4: Experimental Work</w:t>
        <w:tab/>
        <w:t>22</w:t>
      </w:r>
    </w:p>
    <w:p>
      <w:pPr>
        <w:spacing w:after="80" w:before="0" w:line="360" w:lineRule="auto"/>
        <w:ind w:left="432"/>
        <w:jc w:val="both"/>
        <w:tabs>
          <w:tab w:val="right" w:leader="dot" w:pos="8640"/>
        </w:tabs>
      </w:pPr>
      <w:r>
        <w:rPr>
          <w:rFonts w:ascii="Times New Roman" w:hAnsi="Times New Roman"/>
          <w:b w:val="0"/>
          <w:sz w:val="23"/>
        </w:rPr>
        <w:t>4.1 Implementation</w:t>
        <w:tab/>
        <w:t>22</w:t>
      </w:r>
    </w:p>
    <w:p>
      <w:pPr>
        <w:spacing w:after="80" w:before="0" w:line="360" w:lineRule="auto"/>
        <w:ind w:left="432"/>
        <w:jc w:val="both"/>
        <w:tabs>
          <w:tab w:val="right" w:leader="dot" w:pos="8640"/>
        </w:tabs>
      </w:pPr>
      <w:r>
        <w:rPr>
          <w:rFonts w:ascii="Times New Roman" w:hAnsi="Times New Roman"/>
          <w:b w:val="0"/>
          <w:sz w:val="23"/>
        </w:rPr>
        <w:t>4.2 Experimental Environment</w:t>
        <w:tab/>
        <w:t>23</w:t>
      </w:r>
    </w:p>
    <w:p>
      <w:pPr>
        <w:spacing w:after="80" w:before="0" w:line="360" w:lineRule="auto"/>
        <w:ind w:left="432"/>
        <w:jc w:val="both"/>
        <w:tabs>
          <w:tab w:val="right" w:leader="dot" w:pos="8640"/>
        </w:tabs>
      </w:pPr>
      <w:r>
        <w:rPr>
          <w:rFonts w:ascii="Times New Roman" w:hAnsi="Times New Roman"/>
          <w:b w:val="0"/>
          <w:sz w:val="23"/>
        </w:rPr>
        <w:t>4.3 Benchmark Dataset Construction</w:t>
        <w:tab/>
        <w:t>23</w:t>
      </w:r>
    </w:p>
    <w:p>
      <w:pPr>
        <w:spacing w:after="80" w:before="0" w:line="360" w:lineRule="auto"/>
        <w:ind w:left="432"/>
        <w:jc w:val="both"/>
        <w:tabs>
          <w:tab w:val="right" w:leader="dot" w:pos="8640"/>
        </w:tabs>
      </w:pPr>
      <w:r>
        <w:rPr>
          <w:rFonts w:ascii="Times New Roman" w:hAnsi="Times New Roman"/>
          <w:b w:val="0"/>
          <w:sz w:val="23"/>
        </w:rPr>
        <w:t>4.4 Baseline Systems</w:t>
        <w:tab/>
        <w:t>23</w:t>
      </w:r>
    </w:p>
    <w:p>
      <w:pPr>
        <w:spacing w:after="80" w:before="0" w:line="360" w:lineRule="auto"/>
        <w:ind w:left="432"/>
        <w:jc w:val="both"/>
        <w:tabs>
          <w:tab w:val="right" w:leader="dot" w:pos="8640"/>
        </w:tabs>
      </w:pPr>
      <w:r>
        <w:rPr>
          <w:rFonts w:ascii="Times New Roman" w:hAnsi="Times New Roman"/>
          <w:b w:val="0"/>
          <w:sz w:val="23"/>
        </w:rPr>
        <w:t>4.5 Evaluation Procedure</w:t>
        <w:tab/>
        <w:t>24</w:t>
      </w:r>
    </w:p>
    <w:p>
      <w:pPr>
        <w:spacing w:after="160" w:before="80" w:line="360" w:lineRule="auto"/>
        <w:ind w:left="0"/>
        <w:jc w:val="both"/>
        <w:tabs>
          <w:tab w:val="right" w:leader="dot" w:pos="8640"/>
        </w:tabs>
      </w:pPr>
      <w:r>
        <w:rPr>
          <w:rFonts w:ascii="Times New Roman" w:hAnsi="Times New Roman"/>
          <w:b/>
          <w:sz w:val="24"/>
        </w:rPr>
        <w:t>Chapter 5: Results and Discussion</w:t>
        <w:tab/>
        <w:t>25</w:t>
      </w:r>
    </w:p>
    <w:p>
      <w:pPr>
        <w:spacing w:after="80" w:before="0" w:line="360" w:lineRule="auto"/>
        <w:ind w:left="432"/>
        <w:jc w:val="both"/>
        <w:tabs>
          <w:tab w:val="right" w:leader="dot" w:pos="8640"/>
        </w:tabs>
      </w:pPr>
      <w:r>
        <w:rPr>
          <w:rFonts w:ascii="Times New Roman" w:hAnsi="Times New Roman"/>
          <w:b w:val="0"/>
          <w:sz w:val="23"/>
        </w:rPr>
        <w:t>5.1 Evaluation Overview</w:t>
        <w:tab/>
        <w:t>25</w:t>
      </w:r>
    </w:p>
    <w:p>
      <w:pPr>
        <w:spacing w:after="80" w:before="0" w:line="360" w:lineRule="auto"/>
        <w:ind w:left="432"/>
        <w:jc w:val="both"/>
        <w:tabs>
          <w:tab w:val="right" w:leader="dot" w:pos="8640"/>
        </w:tabs>
      </w:pPr>
      <w:r>
        <w:rPr>
          <w:rFonts w:ascii="Times New Roman" w:hAnsi="Times New Roman"/>
          <w:b w:val="0"/>
          <w:sz w:val="23"/>
        </w:rPr>
        <w:t>5.2 Main Result Summary</w:t>
        <w:tab/>
        <w:t>25</w:t>
      </w:r>
    </w:p>
    <w:p>
      <w:pPr>
        <w:spacing w:after="80" w:before="0" w:line="360" w:lineRule="auto"/>
        <w:ind w:left="432"/>
        <w:jc w:val="both"/>
        <w:tabs>
          <w:tab w:val="right" w:leader="dot" w:pos="8640"/>
        </w:tabs>
      </w:pPr>
      <w:r>
        <w:rPr>
          <w:rFonts w:ascii="Times New Roman" w:hAnsi="Times New Roman"/>
          <w:b w:val="0"/>
          <w:sz w:val="23"/>
        </w:rPr>
        <w:t>5.3 SQL Safety</w:t>
        <w:tab/>
        <w:t>26</w:t>
      </w:r>
    </w:p>
    <w:p>
      <w:pPr>
        <w:spacing w:after="80" w:before="0" w:line="360" w:lineRule="auto"/>
        <w:ind w:left="432"/>
        <w:jc w:val="both"/>
        <w:tabs>
          <w:tab w:val="right" w:leader="dot" w:pos="8640"/>
        </w:tabs>
      </w:pPr>
      <w:r>
        <w:rPr>
          <w:rFonts w:ascii="Times New Roman" w:hAnsi="Times New Roman"/>
          <w:b w:val="0"/>
          <w:sz w:val="23"/>
        </w:rPr>
        <w:t>5.4 True Database Execution Validity</w:t>
        <w:tab/>
        <w:t>27</w:t>
      </w:r>
    </w:p>
    <w:p>
      <w:pPr>
        <w:spacing w:after="80" w:before="0" w:line="360" w:lineRule="auto"/>
        <w:ind w:left="432"/>
        <w:jc w:val="both"/>
        <w:tabs>
          <w:tab w:val="right" w:leader="dot" w:pos="8640"/>
        </w:tabs>
      </w:pPr>
      <w:r>
        <w:rPr>
          <w:rFonts w:ascii="Times New Roman" w:hAnsi="Times New Roman"/>
          <w:b w:val="0"/>
          <w:sz w:val="23"/>
        </w:rPr>
        <w:t>5.5 Execution Failure Analysis</w:t>
        <w:tab/>
        <w:t>27</w:t>
      </w:r>
    </w:p>
    <w:p>
      <w:pPr>
        <w:spacing w:after="80" w:before="0" w:line="360" w:lineRule="auto"/>
        <w:ind w:left="432"/>
        <w:jc w:val="both"/>
        <w:tabs>
          <w:tab w:val="right" w:leader="dot" w:pos="8640"/>
        </w:tabs>
      </w:pPr>
      <w:r>
        <w:rPr>
          <w:rFonts w:ascii="Times New Roman" w:hAnsi="Times New Roman"/>
          <w:b w:val="0"/>
          <w:sz w:val="23"/>
        </w:rPr>
        <w:t>5.6 Semantic Correctness Limitation</w:t>
        <w:tab/>
        <w:t>28</w:t>
      </w:r>
    </w:p>
    <w:p>
      <w:pPr>
        <w:spacing w:after="80" w:before="0" w:line="360" w:lineRule="auto"/>
        <w:ind w:left="432"/>
        <w:jc w:val="both"/>
        <w:tabs>
          <w:tab w:val="right" w:leader="dot" w:pos="8640"/>
        </w:tabs>
      </w:pPr>
      <w:r>
        <w:rPr>
          <w:rFonts w:ascii="Times New Roman" w:hAnsi="Times New Roman"/>
          <w:b w:val="0"/>
          <w:sz w:val="23"/>
        </w:rPr>
        <w:t>5.7 B3 Template-Only Baseline</w:t>
        <w:tab/>
        <w:t>29</w:t>
      </w:r>
    </w:p>
    <w:p>
      <w:pPr>
        <w:spacing w:after="80" w:before="0" w:line="360" w:lineRule="auto"/>
        <w:ind w:left="432"/>
        <w:jc w:val="both"/>
        <w:tabs>
          <w:tab w:val="right" w:leader="dot" w:pos="8640"/>
        </w:tabs>
      </w:pPr>
      <w:r>
        <w:rPr>
          <w:rFonts w:ascii="Times New Roman" w:hAnsi="Times New Roman"/>
          <w:b w:val="0"/>
          <w:sz w:val="23"/>
        </w:rPr>
        <w:t>5.8 Comparative Discussion</w:t>
        <w:tab/>
        <w:t>29</w:t>
      </w:r>
    </w:p>
    <w:p>
      <w:pPr>
        <w:spacing w:after="160" w:before="80" w:line="360" w:lineRule="auto"/>
        <w:ind w:left="0"/>
        <w:jc w:val="both"/>
        <w:tabs>
          <w:tab w:val="right" w:leader="dot" w:pos="8640"/>
        </w:tabs>
      </w:pPr>
      <w:r>
        <w:rPr>
          <w:rFonts w:ascii="Times New Roman" w:hAnsi="Times New Roman"/>
          <w:b/>
          <w:sz w:val="24"/>
        </w:rPr>
        <w:t>Chapter 6: Limitations and Future Work</w:t>
        <w:tab/>
        <w:t>31</w:t>
      </w:r>
    </w:p>
    <w:p>
      <w:pPr>
        <w:spacing w:after="160" w:before="80" w:line="360" w:lineRule="auto"/>
        <w:ind w:left="0"/>
        <w:jc w:val="both"/>
        <w:tabs>
          <w:tab w:val="right" w:leader="dot" w:pos="8640"/>
        </w:tabs>
      </w:pPr>
      <w:r>
        <w:rPr>
          <w:rFonts w:ascii="Times New Roman" w:hAnsi="Times New Roman"/>
          <w:b/>
          <w:sz w:val="24"/>
        </w:rPr>
        <w:t>Chapter 7: Conclusion</w:t>
        <w:tab/>
        <w:t>33</w:t>
      </w:r>
    </w:p>
    <w:p>
      <w:pPr>
        <w:spacing w:after="160" w:before="80" w:line="360" w:lineRule="auto"/>
        <w:ind w:left="0"/>
        <w:jc w:val="both"/>
        <w:tabs>
          <w:tab w:val="right" w:leader="dot" w:pos="8640"/>
        </w:tabs>
      </w:pPr>
      <w:r>
        <w:rPr>
          <w:rFonts w:ascii="Times New Roman" w:hAnsi="Times New Roman"/>
          <w:b/>
          <w:sz w:val="24"/>
        </w:rPr>
        <w:t>References</w:t>
        <w:tab/>
        <w:t>34</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Benchmark pattern classification</w:t>
        <w:tab/>
        <w:t>11</w:t>
      </w:r>
    </w:p>
    <w:p>
      <w:pPr>
        <w:spacing w:after="80" w:before="0" w:line="360" w:lineRule="auto"/>
        <w:jc w:val="both"/>
        <w:tabs>
          <w:tab w:val="right" w:leader="dot" w:pos="8640"/>
        </w:tabs>
      </w:pPr>
      <w:r>
        <w:rPr>
          <w:rFonts w:ascii="Times New Roman" w:hAnsi="Times New Roman"/>
          <w:sz w:val="24"/>
        </w:rPr>
        <w:t>Figure 2: AEGIS architecture pipeline</w:t>
        <w:tab/>
        <w:t>16</w:t>
      </w:r>
    </w:p>
    <w:p>
      <w:pPr>
        <w:spacing w:after="80" w:before="0" w:line="360" w:lineRule="auto"/>
        <w:jc w:val="both"/>
        <w:tabs>
          <w:tab w:val="right" w:leader="dot" w:pos="8640"/>
        </w:tabs>
      </w:pPr>
      <w:r>
        <w:rPr>
          <w:rFonts w:ascii="Times New Roman" w:hAnsi="Times New Roman"/>
          <w:sz w:val="24"/>
        </w:rPr>
        <w:t>Figure 3: Semantic layer modularity</w:t>
        <w:tab/>
        <w:t>16</w:t>
      </w:r>
    </w:p>
    <w:p>
      <w:pPr>
        <w:spacing w:after="80" w:before="0" w:line="360" w:lineRule="auto"/>
        <w:jc w:val="both"/>
        <w:tabs>
          <w:tab w:val="right" w:leader="dot" w:pos="8640"/>
        </w:tabs>
      </w:pPr>
      <w:r>
        <w:rPr>
          <w:rFonts w:ascii="Times New Roman" w:hAnsi="Times New Roman"/>
          <w:sz w:val="24"/>
        </w:rPr>
        <w:t>Figure 4: Vocabulary injection workflow</w:t>
        <w:tab/>
        <w:t>18</w:t>
      </w:r>
    </w:p>
    <w:p>
      <w:pPr>
        <w:spacing w:after="80" w:before="0" w:line="360" w:lineRule="auto"/>
        <w:jc w:val="both"/>
        <w:tabs>
          <w:tab w:val="right" w:leader="dot" w:pos="8640"/>
        </w:tabs>
      </w:pPr>
      <w:r>
        <w:rPr>
          <w:rFonts w:ascii="Times New Roman" w:hAnsi="Times New Roman"/>
          <w:sz w:val="24"/>
        </w:rPr>
        <w:t>Figure 5: AEGIS analytical patterns</w:t>
        <w:tab/>
        <w:t>19</w:t>
      </w:r>
    </w:p>
    <w:p>
      <w:pPr>
        <w:spacing w:after="80" w:before="0" w:line="360" w:lineRule="auto"/>
        <w:jc w:val="both"/>
        <w:tabs>
          <w:tab w:val="right" w:leader="dot" w:pos="8640"/>
        </w:tabs>
      </w:pPr>
      <w:r>
        <w:rPr>
          <w:rFonts w:ascii="Times New Roman" w:hAnsi="Times New Roman"/>
          <w:sz w:val="24"/>
        </w:rPr>
        <w:t>Figure 6: Two-layer SQL safety defence</w:t>
        <w:tab/>
        <w:t>20</w:t>
      </w:r>
    </w:p>
    <w:p>
      <w:pPr>
        <w:spacing w:after="80" w:before="0" w:line="360" w:lineRule="auto"/>
        <w:jc w:val="both"/>
        <w:tabs>
          <w:tab w:val="right" w:leader="dot" w:pos="8640"/>
        </w:tabs>
      </w:pPr>
      <w:r>
        <w:rPr>
          <w:rFonts w:ascii="Times New Roman" w:hAnsi="Times New Roman"/>
          <w:sz w:val="24"/>
        </w:rPr>
        <w:t>Figure 7: Widget lifecycle and refresh model</w:t>
        <w:tab/>
        <w:t>21</w:t>
      </w:r>
    </w:p>
    <w:p>
      <w:pPr>
        <w:spacing w:after="80" w:before="0" w:line="360" w:lineRule="auto"/>
        <w:jc w:val="both"/>
        <w:tabs>
          <w:tab w:val="right" w:leader="dot" w:pos="8640"/>
        </w:tabs>
      </w:pPr>
      <w:r>
        <w:rPr>
          <w:rFonts w:ascii="Times New Roman" w:hAnsi="Times New Roman"/>
          <w:sz w:val="24"/>
        </w:rPr>
        <w:t>Figure 8: Safety and execution-validity comparison</w:t>
        <w:tab/>
        <w:t>27</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1: Comparative summary of related systems</w:t>
        <w:tab/>
        <w:t>8</w:t>
      </w:r>
    </w:p>
    <w:p>
      <w:pPr>
        <w:spacing w:after="80" w:before="0" w:line="360" w:lineRule="auto"/>
        <w:jc w:val="both"/>
        <w:tabs>
          <w:tab w:val="right" w:leader="dot" w:pos="8640"/>
        </w:tabs>
      </w:pPr>
      <w:r>
        <w:rPr>
          <w:rFonts w:ascii="Times New Roman" w:hAnsi="Times New Roman"/>
          <w:sz w:val="24"/>
        </w:rPr>
        <w:t>Table 3.1: Benchmark pattern classification</w:t>
        <w:tab/>
        <w:t>11</w:t>
      </w:r>
    </w:p>
    <w:p>
      <w:pPr>
        <w:spacing w:after="80" w:before="0" w:line="360" w:lineRule="auto"/>
        <w:jc w:val="both"/>
        <w:tabs>
          <w:tab w:val="right" w:leader="dot" w:pos="8640"/>
        </w:tabs>
      </w:pPr>
      <w:r>
        <w:rPr>
          <w:rFonts w:ascii="Times New Roman" w:hAnsi="Times New Roman"/>
          <w:sz w:val="24"/>
        </w:rPr>
        <w:t>Table 3.2: Semantic layer object model</w:t>
        <w:tab/>
        <w:t>17</w:t>
      </w:r>
    </w:p>
    <w:p>
      <w:pPr>
        <w:spacing w:after="80" w:before="0" w:line="360" w:lineRule="auto"/>
        <w:jc w:val="both"/>
        <w:tabs>
          <w:tab w:val="right" w:leader="dot" w:pos="8640"/>
        </w:tabs>
      </w:pPr>
      <w:r>
        <w:rPr>
          <w:rFonts w:ascii="Times New Roman" w:hAnsi="Times New Roman"/>
          <w:sz w:val="24"/>
        </w:rPr>
        <w:t>Table 3.3: AEGIS analytical patterns</w:t>
        <w:tab/>
        <w:t>19</w:t>
      </w:r>
    </w:p>
    <w:p>
      <w:pPr>
        <w:spacing w:after="80" w:before="0" w:line="360" w:lineRule="auto"/>
        <w:jc w:val="both"/>
        <w:tabs>
          <w:tab w:val="right" w:leader="dot" w:pos="8640"/>
        </w:tabs>
      </w:pPr>
      <w:r>
        <w:rPr>
          <w:rFonts w:ascii="Times New Roman" w:hAnsi="Times New Roman"/>
          <w:sz w:val="24"/>
        </w:rPr>
        <w:t>Table 3.4: Visualization selector mapping</w:t>
        <w:tab/>
        <w:t>20</w:t>
      </w:r>
    </w:p>
    <w:p>
      <w:pPr>
        <w:spacing w:after="80" w:before="0" w:line="360" w:lineRule="auto"/>
        <w:jc w:val="both"/>
        <w:tabs>
          <w:tab w:val="right" w:leader="dot" w:pos="8640"/>
        </w:tabs>
      </w:pPr>
      <w:r>
        <w:rPr>
          <w:rFonts w:ascii="Times New Roman" w:hAnsi="Times New Roman"/>
          <w:sz w:val="24"/>
        </w:rPr>
        <w:t>Table 5.1: Evaluation benchmark status</w:t>
        <w:tab/>
        <w:t>25</w:t>
      </w:r>
    </w:p>
    <w:p>
      <w:pPr>
        <w:spacing w:after="80" w:before="0" w:line="360" w:lineRule="auto"/>
        <w:jc w:val="both"/>
        <w:tabs>
          <w:tab w:val="right" w:leader="dot" w:pos="8640"/>
        </w:tabs>
      </w:pPr>
      <w:r>
        <w:rPr>
          <w:rFonts w:ascii="Times New Roman" w:hAnsi="Times New Roman"/>
          <w:sz w:val="24"/>
        </w:rPr>
        <w:t>Table 5.2: Main evaluation result summary</w:t>
        <w:tab/>
        <w:t>26</w:t>
      </w:r>
    </w:p>
    <w:p>
      <w:pPr>
        <w:spacing w:after="80" w:before="0" w:line="360" w:lineRule="auto"/>
        <w:jc w:val="both"/>
        <w:tabs>
          <w:tab w:val="right" w:leader="dot" w:pos="8640"/>
        </w:tabs>
      </w:pPr>
      <w:r>
        <w:rPr>
          <w:rFonts w:ascii="Times New Roman" w:hAnsi="Times New Roman"/>
          <w:sz w:val="24"/>
        </w:rPr>
        <w:t>Table 5.3: SQL safety</w:t>
        <w:tab/>
        <w:t>26</w:t>
      </w:r>
    </w:p>
    <w:p>
      <w:pPr>
        <w:spacing w:after="80" w:before="0" w:line="360" w:lineRule="auto"/>
        <w:jc w:val="both"/>
        <w:tabs>
          <w:tab w:val="right" w:leader="dot" w:pos="8640"/>
        </w:tabs>
      </w:pPr>
      <w:r>
        <w:rPr>
          <w:rFonts w:ascii="Times New Roman" w:hAnsi="Times New Roman"/>
          <w:sz w:val="24"/>
        </w:rPr>
        <w:t>Table 5.4: True execution validity</w:t>
        <w:tab/>
        <w:t>27</w:t>
      </w:r>
    </w:p>
    <w:p>
      <w:pPr>
        <w:spacing w:after="80" w:before="0" w:line="360" w:lineRule="auto"/>
        <w:jc w:val="both"/>
        <w:tabs>
          <w:tab w:val="right" w:leader="dot" w:pos="8640"/>
        </w:tabs>
      </w:pPr>
      <w:r>
        <w:rPr>
          <w:rFonts w:ascii="Times New Roman" w:hAnsi="Times New Roman"/>
          <w:sz w:val="24"/>
        </w:rPr>
        <w:t>Table 5.5: True-execution failure analysis</w:t>
        <w:tab/>
        <w:t>28</w:t>
      </w:r>
    </w:p>
    <w:p>
      <w:pPr>
        <w:spacing w:after="80" w:before="0" w:line="360" w:lineRule="auto"/>
        <w:jc w:val="both"/>
        <w:tabs>
          <w:tab w:val="right" w:leader="dot" w:pos="8640"/>
        </w:tabs>
      </w:pPr>
      <w:r>
        <w:rPr>
          <w:rFonts w:ascii="Times New Roman" w:hAnsi="Times New Roman"/>
          <w:sz w:val="24"/>
        </w:rPr>
        <w:t>Table 5.6: Evaluation metric distinction</w:t>
        <w:tab/>
        <w:t>28</w:t>
      </w:r>
    </w:p>
    <w:p>
      <w:pPr>
        <w:spacing w:after="80" w:before="0" w:line="360" w:lineRule="auto"/>
        <w:jc w:val="both"/>
        <w:tabs>
          <w:tab w:val="right" w:leader="dot" w:pos="8640"/>
        </w:tabs>
      </w:pPr>
      <w:r>
        <w:rPr>
          <w:rFonts w:ascii="Times New Roman" w:hAnsi="Times New Roman"/>
          <w:sz w:val="24"/>
        </w:rPr>
        <w:t>Table 5.7: Template-only baseline summary</w:t>
        <w:tab/>
        <w:t>29</w:t>
      </w:r>
    </w:p>
    <w:p>
      <w:pPr>
        <w:spacing w:after="80" w:before="0" w:line="360" w:lineRule="auto"/>
        <w:jc w:val="both"/>
        <w:tabs>
          <w:tab w:val="right" w:leader="dot" w:pos="8640"/>
        </w:tabs>
      </w:pPr>
      <w:r>
        <w:rPr>
          <w:rFonts w:ascii="Times New Roman" w:hAnsi="Times New Roman"/>
          <w:sz w:val="24"/>
        </w:rPr>
        <w:t>Table 5.8: AEGIS vs. direct LLM-to-SQL</w:t>
        <w:tab/>
        <w:t>30</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Neural text-to-SQL systems now exceed 90% accuracy on the Spider benchmark [1], and large language models can produce reasonable-looking SQL with minimal setup [2]. But there is still a gap between benchmark results and production-ready deployment.</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This thesis makes the following contributions:</w:t>
      </w:r>
    </w:p>
    <w:p>
      <w:pPr>
        <w:pStyle w:val="ListNumber"/>
        <w:spacing w:after="80" w:line="360" w:lineRule="auto"/>
      </w:pPr>
      <w:r>
        <w:rPr>
          <w:rFonts w:ascii="Times New Roman" w:hAnsi="Times New Roman"/>
          <w:sz w:val="24"/>
        </w:rPr>
        <w:t>A design-time review of representative e-commerce and business-intelligence reporting requests, resulting in eleven common reporting patterns later used to structure the custom 107-request benchmark.</w:t>
      </w:r>
    </w:p>
    <w:p>
      <w:pPr>
        <w:pStyle w:val="ListNumber"/>
        <w:spacing w:after="80" w:line="360" w:lineRule="auto"/>
      </w:pPr>
      <w:r>
        <w:rPr>
          <w:rFonts w:ascii="Times New Roman" w:hAnsi="Times New Roman"/>
          <w:sz w:val="24"/>
        </w:rPr>
        <w:t>A system design in which all possible queries are limited to pre-approved templates and a defined semantic layer, which prevents SQL injection and unauthorized data access by construction.</w:t>
      </w:r>
    </w:p>
    <w:p>
      <w:pPr>
        <w:pStyle w:val="ListNumber"/>
        <w:spacing w:after="80" w:line="360" w:lineRule="auto"/>
      </w:pPr>
      <w:r>
        <w:rPr>
          <w:rFonts w:ascii="Times New Roman" w:hAnsi="Times New Roman"/>
          <w:sz w:val="24"/>
        </w:rPr>
        <w:t>The AEGIS system itself, including the semantic layer design, a vocabulary injection prompting strategy, a safe SQL builder with two-layer defence, a rule-based chart selector, and a widget storage system with scheduled refresh.</w:t>
      </w:r>
    </w:p>
    <w:p>
      <w:pPr>
        <w:pStyle w:val="ListNumber"/>
        <w:spacing w:after="80" w:line="360" w:lineRule="auto"/>
      </w:pPr>
      <w:r>
        <w:rPr>
          <w:rFonts w:ascii="Times New Roman" w:hAnsi="Times New Roman"/>
          <w:sz w:val="24"/>
        </w:rPr>
        <w:t>A vocabulary injection method that places approved metric and dimension names directly into the LLM prompt, reducing dependence on a manually written synonym list.</w:t>
      </w:r>
    </w:p>
    <w:p>
      <w:pPr>
        <w:pStyle w:val="ListNumber"/>
        <w:spacing w:after="80" w:line="360" w:lineRule="auto"/>
      </w:pPr>
      <w:r>
        <w:rPr>
          <w:rFonts w:ascii="Times New Roman" w:hAnsi="Times New Roman"/>
          <w:sz w:val="24"/>
        </w:rPr>
        <w:t>A verified benchmark over 107 mixed natural-language requests, separating SQL safety, true database execution validity, and semantic correctness rather than treating them as one accuracy number.</w:t>
      </w:r>
    </w:p>
    <w:p>
      <w:pPr>
        <w:pStyle w:val="ListNumber"/>
        <w:spacing w:after="80" w:line="360" w:lineRule="auto"/>
      </w:pPr>
      <w:r>
        <w:rPr>
          <w:rFonts w:ascii="Times New Roman" w:hAnsi="Times New Roman"/>
          <w:sz w:val="24"/>
        </w:rPr>
        <w:t>A planned cross-schema generalizability evaluation that will test whether the same compiler and safety architecture can be reused on a second e-commerce schema by rebuilding only the semantic layer.</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This chapter reviews the work most directly comparable to AEGIS. The discussion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governed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r>
        <w:br w:type="page"/>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r>
        <w:br w:type="page"/>
      </w: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governed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200" w:before="0" w:line="360" w:lineRule="auto"/>
        <w:jc w:val="both"/>
      </w:pPr>
      <w:r>
        <w:rPr>
          <w:rFonts w:ascii="Times New Roman" w:hAnsi="Times New Roman"/>
          <w:b w:val="0"/>
          <w:i w:val="0"/>
          <w:sz w:val="24"/>
        </w:rPr>
        <w:t>This thesis follows a Design Science Research paradigm, in the sense used by Hevner et al.: knowledge is produced by building and evaluating a novel artifact that addresses an identified organizational problem, rather than by testing a hypothesis about an existing phenomenon. The artifact in this thesis is the AEGIS system itself. Design Science Research requires three things to be demonstrated: problem relevance, design rigor, and evaluation against the stated problem. Problem relevance is established through a formative study that analyzes real reporting behavior rather than assuming a problem exists. Design rigor is established through the formal model and threat model, which state precisely what safety property the architecture guarantees and under what boundary that guarantee holds. Evaluation uses a benchmark dataset constructed for this domain and true database execution checks that separate SQL safety from execution validity and semantic correctness.</w:t>
      </w:r>
    </w:p>
    <w:p>
      <w:pPr>
        <w:spacing w:after="0" w:before="0" w:line="360" w:lineRule="auto"/>
        <w:jc w:val="both"/>
      </w:pPr>
      <w:r>
        <w:rPr>
          <w:rFonts w:ascii="Times New Roman" w:hAnsi="Times New Roman"/>
          <w:b w:val="0"/>
          <w:i w:val="0"/>
          <w:sz w:val="24"/>
        </w:rPr>
        <w:t>The research proceeded through three iterative build-evaluate cycles. The first cycle produced a semantic layer and compiler for a minimal set of intent classes and validated the core safety proposition on a small hand-written query set. The second cycle expanded coverage to all eleven intent classes identified in the formative study and introduced vocabulary injection after an early synonym-dictionary approach proved unable to keep pace with real query phrasing. The third cycle added the widget persistence layer and expanded the evaluation harness used for the thesis benchmark.</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3.2) originates from a design-time review of representative e-commerce and administrative reporting requests, conducted by the author while designing AEGIS. This was a qualitative review carried out by a single researcher during system design, not an independently annotated, inter-rater-validated study, and no separate annotated dataset accompanies this thesis. An earlier version of this chapter reported specific percentages and an inter-rater reliability statistic for a larger unpublished dataset; that dataset was not published alongside this thesis, so those figures have been withdrawn.</w:t>
      </w:r>
    </w:p>
    <w:p>
      <w:pPr>
        <w:spacing w:after="200" w:before="0" w:line="360" w:lineRule="auto"/>
        <w:jc w:val="both"/>
      </w:pPr>
      <w:r>
        <w:rPr>
          <w:rFonts w:ascii="Times New Roman" w:hAnsi="Times New Roman"/>
          <w:b w:val="0"/>
          <w:i w:val="0"/>
          <w:sz w:val="24"/>
        </w:rPr>
        <w:t>In place of that withdrawn figure, Table 3.1 reports a pattern classification of the full 107-request custom benchmark. The first 100 requests are answerable analytical requests classified into the eleven AEGIS patterns by the author; the remaining seven are mixed benchmark requests that test behavior beyond the normal template set and are still counted in the same benchmark denominator. This classification is itself a single-annotator judgment, not independently cross-checked by a second annotator, so it should not be read as a validated inter-rater statistic; unlike the withdrawn figures, however, it is reproducible from the evaluation materials supplied with this thesis.</w:t>
      </w:r>
    </w:p>
    <w:p>
      <w:pPr>
        <w:spacing w:before="200" w:after="80"/>
        <w:jc w:val="center"/>
        <w:keepNext/>
      </w:pPr>
      <w:r>
        <w:rPr>
          <w:rFonts w:ascii="Times New Roman" w:hAnsi="Times New Roman"/>
          <w:b/>
          <w:sz w:val="22"/>
        </w:rPr>
        <w:t>Table 3.1: Benchmark pattern classification.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512"/>
        <w:gridCol w:w="1080"/>
        <w:gridCol w:w="36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Count (of 107)</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Share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26.2%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Orders placed today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Top refund categories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16.8%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Mobile vs desktop AOV</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9</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8.4%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Category overview</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First-time vs returning</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Cart abandonment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Margin correlation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Additional mixed requests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7</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6.5%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Boundary-style requests</w:t>
            </w:r>
          </w:p>
        </w:tc>
      </w:tr>
    </w:tbl>
    <w:p>
      <w:pPr>
        <w:spacing w:after="80"/>
      </w:pP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1 NOT YET INSERTED ]</w:t>
            </w:r>
          </w:p>
          <w:p>
            <w:pPr>
              <w:spacing w:after="160"/>
              <w:jc w:val="center"/>
            </w:pPr>
            <w:r>
              <w:rPr>
                <w:rFonts w:ascii="Times New Roman" w:hAnsi="Times New Roman"/>
                <w:b/>
                <w:color w:val="333333"/>
                <w:sz w:val="22"/>
              </w:rPr>
              <w:t>Pattern classification of the answerable analytical benchmark subset</w:t>
            </w:r>
          </w:p>
        </w:tc>
      </w:tr>
    </w:tbl>
    <w:p>
      <w:pPr>
        <w:spacing w:before="120" w:after="280"/>
        <w:jc w:val="center"/>
      </w:pPr>
      <w:r>
        <w:rPr>
          <w:rFonts w:ascii="Times New Roman" w:hAnsi="Times New Roman"/>
          <w:b/>
          <w:sz w:val="21"/>
        </w:rPr>
        <w:t>Figure 1: Pattern classification of the answerable analytical benchmark subset</w:t>
      </w:r>
    </w:p>
    <w:p>
      <w:pPr>
        <w:spacing w:after="0" w:before="0" w:line="360" w:lineRule="auto"/>
        <w:jc w:val="both"/>
      </w:pPr>
      <w:r>
        <w:rPr>
          <w:rFonts w:ascii="Times New Roman" w:hAnsi="Times New Roman"/>
          <w:b w:val="0"/>
          <w:i w:val="0"/>
          <w:sz w:val="24"/>
        </w:rPr>
        <w:t>This classification yields three design directions that shaped the rest of this chapter. First, a small set of patterns appears sufficient: the top three analytical patterns (KPI, Ranking, and Exception/Filter) account for 67 of the 107 benchmark requests, or about 62.6% of the full mixed benchmark. Segment and Tabular happen not to be exercised by this particular run, which is a property of this benchmark rather than evidence that those two patterns are unnecessary; the compiler supports both regardless. Second, business vocabulary differs systematically from database column names: reviewed requests used phrases like 'total refund rate,' never SUM(o.RefundedAmount), which motivates an explicit semantic layer rather than exposing the schema directly to the language model. Third, reuse appears to be the norm rather than the exception: many requests were variations of things already asked before, in a different time window or for a different segment, which motivates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every architectural decision in this chapter:</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 defense-in-depth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Coverage Validation: </w:t>
      </w:r>
      <w:r>
        <w:rPr>
          <w:rFonts w:ascii="Times New Roman" w:hAnsi="Times New Roman"/>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tbl>
      <w:tblPr>
        <w:tblW w:type="auto" w:w="0"/>
        <w:jc w:val="center"/>
        <w:tblLayout w:type="fixed"/>
        <w:tblLook w:firstColumn="1" w:firstRow="1" w:lastColumn="0" w:lastRow="0" w:noHBand="0" w:noVBand="1" w:val="04A0"/>
      </w:tblPr>
      <w:tblGrid>
        <w:gridCol w:w="9072"/>
      </w:tblGrid>
      <w:tr>
        <w:trPr>
          <w:trHeight w:val="3168"/>
          <w:trHeight w:val="3168"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2 NOT YET INSERTED ]</w:t>
            </w:r>
          </w:p>
          <w:p>
            <w:pPr>
              <w:spacing w:after="160"/>
              <w:jc w:val="center"/>
            </w:pPr>
            <w:r>
              <w:rPr>
                <w:rFonts w:ascii="Times New Roman" w:hAnsi="Times New Roman"/>
                <w:b/>
                <w:color w:val="333333"/>
                <w:sz w:val="22"/>
              </w:rPr>
              <w:t>AEGIS architecture pipeline (User Request to Dashboard Widget)</w:t>
            </w:r>
          </w:p>
        </w:tc>
      </w:tr>
    </w:tbl>
    <w:p>
      <w:pPr>
        <w:spacing w:before="120" w:after="280"/>
        <w:jc w:val="center"/>
      </w:pPr>
      <w:r>
        <w:rPr>
          <w:rFonts w:ascii="Times New Roman" w:hAnsi="Times New Roman"/>
          <w:b/>
          <w:sz w:val="21"/>
        </w:rPr>
        <w:t>Figure 2: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3 NOT YET INSERTED ]</w:t>
            </w:r>
          </w:p>
          <w:p>
            <w:pPr>
              <w:spacing w:after="160"/>
              <w:jc w:val="center"/>
            </w:pPr>
            <w:r>
              <w:rPr>
                <w:rFonts w:ascii="Times New Roman" w:hAnsi="Times New Roman"/>
                <w:b/>
                <w:color w:val="333333"/>
                <w:sz w:val="22"/>
              </w:rPr>
              <w:t>Semantic layer modularity - composable blocks vs. free-form SQL generation</w:t>
            </w:r>
          </w:p>
        </w:tc>
      </w:tr>
    </w:tbl>
    <w:p>
      <w:pPr>
        <w:spacing w:before="120" w:after="280"/>
        <w:jc w:val="center"/>
      </w:pPr>
      <w:r>
        <w:rPr>
          <w:rFonts w:ascii="Times New Roman" w:hAnsi="Times New Roman"/>
          <w:b/>
          <w:sz w:val="21"/>
        </w:rPr>
        <w:t>Figure 3: Semantic layer modularity - composable blocks vs. free-form SQL generation</w:t>
      </w:r>
    </w:p>
    <w:p>
      <w:pPr>
        <w:spacing w:before="200" w:after="80"/>
        <w:jc w:val="center"/>
        <w:keepNext/>
      </w:pPr>
      <w:r>
        <w:rPr>
          <w:rFonts w:ascii="Times New Roman" w:hAnsi="Times New Roman"/>
          <w:b/>
          <w:sz w:val="22"/>
        </w:rPr>
        <w:t>Table 3.2: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Field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joins, visual default, security class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revenue = SUM(o.OrderTotal - o.RefundedAmount)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datatype, access scope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category = c.Name from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Filter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datatype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payment_status : o.PaymentStatusId = :val</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Time 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granularity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current_week : DATEADD(week, ...)</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source, target, ON clause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 to OrderItem to Product to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Pattern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required slots, SQL template, visualization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ranking: metric plus dimension maps to a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store_manager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4 NOT YET INSERTED ]</w:t>
            </w:r>
          </w:p>
          <w:p>
            <w:pPr>
              <w:spacing w:after="160"/>
              <w:jc w:val="center"/>
            </w:pPr>
            <w:r>
              <w:rPr>
                <w:rFonts w:ascii="Times New Roman" w:hAnsi="Times New Roman"/>
                <w:b/>
                <w:color w:val="333333"/>
                <w:sz w:val="22"/>
              </w:rPr>
              <w:t>Vocabulary injection workflow</w:t>
            </w:r>
          </w:p>
        </w:tc>
      </w:tr>
    </w:tbl>
    <w:p>
      <w:pPr>
        <w:spacing w:before="120" w:after="280"/>
        <w:jc w:val="center"/>
      </w:pPr>
      <w:r>
        <w:rPr>
          <w:rFonts w:ascii="Times New Roman" w:hAnsi="Times New Roman"/>
          <w:b/>
          <w:sz w:val="21"/>
        </w:rPr>
        <w:t>Figure 4: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5 NOT YET INSERTED ]</w:t>
            </w:r>
          </w:p>
          <w:p>
            <w:pPr>
              <w:spacing w:after="160"/>
              <w:jc w:val="center"/>
            </w:pPr>
            <w:r>
              <w:rPr>
                <w:rFonts w:ascii="Times New Roman" w:hAnsi="Times New Roman"/>
                <w:b/>
                <w:color w:val="333333"/>
                <w:sz w:val="22"/>
              </w:rPr>
              <w:t>Taxonomy of the eleven AEGIS analytical patterns</w:t>
            </w:r>
          </w:p>
        </w:tc>
      </w:tr>
    </w:tbl>
    <w:p>
      <w:pPr>
        <w:spacing w:before="120" w:after="280"/>
        <w:jc w:val="center"/>
      </w:pPr>
      <w:r>
        <w:rPr>
          <w:rFonts w:ascii="Times New Roman" w:hAnsi="Times New Roman"/>
          <w:b/>
          <w:sz w:val="21"/>
        </w:rPr>
        <w:t>Figure 5: Taxonomy of the eleven AEGIS analytical patterns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After placeholder substitution, 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6 NOT YET INSERTED ]</w:t>
            </w:r>
          </w:p>
          <w:p>
            <w:pPr>
              <w:spacing w:after="160"/>
              <w:jc w:val="center"/>
            </w:pPr>
            <w:r>
              <w:rPr>
                <w:rFonts w:ascii="Times New Roman" w:hAnsi="Times New Roman"/>
                <w:b/>
                <w:color w:val="333333"/>
                <w:sz w:val="22"/>
              </w:rPr>
              <w:t>Two-layer SQL safety defence</w:t>
            </w:r>
          </w:p>
        </w:tc>
      </w:tr>
    </w:tbl>
    <w:p>
      <w:pPr>
        <w:spacing w:before="120" w:after="280"/>
        <w:jc w:val="center"/>
      </w:pPr>
      <w:r>
        <w:rPr>
          <w:rFonts w:ascii="Times New Roman" w:hAnsi="Times New Roman"/>
          <w:b/>
          <w:sz w:val="21"/>
        </w:rPr>
        <w:t>Figure 6: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7 NOT YET INSERTED ]</w:t>
            </w:r>
          </w:p>
          <w:p>
            <w:pPr>
              <w:spacing w:after="160"/>
              <w:jc w:val="center"/>
            </w:pPr>
            <w:r>
              <w:rPr>
                <w:rFonts w:ascii="Times New Roman" w:hAnsi="Times New Roman"/>
                <w:b/>
                <w:color w:val="333333"/>
                <w:sz w:val="22"/>
              </w:rPr>
              <w:t>Widget lifecycle and refresh model</w:t>
            </w:r>
          </w:p>
        </w:tc>
      </w:tr>
    </w:tbl>
    <w:p>
      <w:pPr>
        <w:spacing w:before="120" w:after="280"/>
        <w:jc w:val="center"/>
      </w:pPr>
      <w:r>
        <w:rPr>
          <w:rFonts w:ascii="Times New Roman" w:hAnsi="Times New Roman"/>
          <w:b/>
          <w:sz w:val="21"/>
        </w:rPr>
        <w:t>Figure 7: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AEGIS architecture:</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Llama 3.1 8B Instant via the Groq API, with structured JSON output enforcement. The system prompt is constructed dynamically by injecting the approved metric and dimension identifiers at startup.</w:t>
      </w:r>
    </w:p>
    <w:p>
      <w:pPr>
        <w:spacing w:after="80" w:line="360" w:lineRule="auto"/>
        <w:ind w:left="461" w:hanging="259"/>
      </w:pPr>
      <w:r>
        <w:rPr>
          <w:rFonts w:ascii="Times New Roman" w:hAnsi="Times New Roman"/>
          <w:sz w:val="24"/>
        </w:rPr>
        <w:t>•</w:t>
        <w:tab/>
      </w:r>
      <w:r>
        <w:rPr>
          <w:rFonts w:ascii="Times New Roman" w:hAnsi="Times New Roman"/>
          <w:b/>
          <w:sz w:val="24"/>
        </w:rPr>
        <w:t xml:space="preserve">Rate limiting: </w:t>
      </w:r>
      <w:r>
        <w:rPr>
          <w:rFonts w:ascii="Times New Roman" w:hAnsi="Times New Roman"/>
          <w:sz w:val="24"/>
        </w:rPr>
        <w:t>A provider-agnostic configuration module with a sliding-window rate limiter and a concurrency-safe asyncio.Lock, so the architecture is not tied to a specific LLM vendor's throughput characteristics.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containing 15 metrics, 34 dimensions, zero synonym entries, and 11 join paths across the 12 analytics-relevant tables represented in the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with breadth-first search join-path resolution over the 12-table join graph. A post-compilation _validate_sql_safety() routine checks 16 forbidden patterns before a query is allowed to execute.</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Python dictionaries implementing the visualization mapping, with the two post-hoc cardinality rules applied after the result set is known.</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SHA-256 plan-hash deduplication, with JSON file storage in the prototype, designed to be swapped for a relational store in a production deployment.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Coverage validator: </w:t>
      </w:r>
      <w:r>
        <w:rPr>
          <w:rFonts w:ascii="Times New Roman" w:hAnsi="Times New Roman"/>
          <w:sz w:val="24"/>
        </w:rPr>
        <w:t>A pre-compilation gate that rejects unknown metric or dimension terms with structured guidance listing the available identifiers.</w:t>
      </w:r>
    </w:p>
    <w:p>
      <w:pPr>
        <w:spacing w:after="80" w:line="360" w:lineRule="auto"/>
        <w:ind w:left="461" w:hanging="259"/>
      </w:pPr>
      <w:r>
        <w:rPr>
          <w:rFonts w:ascii="Times New Roman" w:hAnsi="Times New Roman"/>
          <w:sz w:val="24"/>
        </w:rPr>
        <w:t>•</w:t>
        <w:tab/>
      </w:r>
      <w:r>
        <w:rPr>
          <w:rFonts w:ascii="Times New Roman" w:hAnsi="Times New Roman"/>
          <w:b/>
          <w:sz w:val="24"/>
        </w:rPr>
        <w:t xml:space="preserve">Permission enforcement: </w:t>
      </w:r>
      <w:r>
        <w:rPr>
          <w:rFonts w:ascii="Times New Roman" w:hAnsi="Times New Roman"/>
          <w:sz w:val="24"/>
        </w:rPr>
        <w:t>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0" w:before="0" w:line="360" w:lineRule="auto"/>
        <w:jc w:val="both"/>
      </w:pPr>
      <w:r>
        <w:rPr>
          <w:rFonts w:ascii="Times New Roman" w:hAnsi="Times New Roman"/>
          <w:b w:val="0"/>
          <w:i w:val="0"/>
          <w:sz w:val="24"/>
        </w:rPr>
        <w:t>All experiments ran against a Docker-containerized MySQL 8.0 instance initialized with the AEGIS Truth Schema (126 tables, 107 foreign keys). The mock dataset used for evaluation contains 1,200 customers, 2,500 orders spanning 2024-2026, 6,298 order items, and 1,000 products mapped across 50 categories, sized to be representative of a mid-sized e-commerce deployment rather than a toy schema.</w:t>
      </w: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this chapter and in the results discussion. All benchmark construction, execution, and measurement were carried out by the author as part of this thesis, using a self-built dataset and evaluation harness; none of it has been independently replicated by a third party, externally audited, or peer-reviewed. Therefore, the reported figures should be read as prototype evaluation results produced within this research, not as independently audited benchmark results. Where an annotation or classification step is discussed, it refers to the author's own research process rather than a third-party validation study.</w:t>
      </w:r>
    </w:p>
    <w:p>
      <w:pPr>
        <w:spacing w:after="0" w:before="0" w:line="360" w:lineRule="auto"/>
        <w:jc w:val="both"/>
      </w:pPr>
      <w:r>
        <w:rPr>
          <w:rFonts w:ascii="Times New Roman" w:hAnsi="Times New Roman"/>
          <w:b w:val="0"/>
          <w:i w:val="0"/>
          <w:sz w:val="24"/>
        </w:rPr>
        <w:t>A domain-specific benchmark of 107 natural-language reporting requests was built over the production nopCommerce schema described above. The full question set and recorded pipeline outputs were used to check every reported metric. The benchmark mixes ordinary analytical requests with harder boundary cases in the same run; this thesis does not report those harder cases as a separate benchmark. Because the benchmark was constructed for the nopCommerce domain, accuracy and validity reported figures should be interpreted within that scope. The current artifact verifies SQL safety and true execution validity; semantic correctness still requires an annotated expected-answer benchmark in future work.</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The evaluation plan defines four baselines, but not all are complete in the current prototype:</w:t>
      </w:r>
    </w:p>
    <w:p>
      <w:pPr>
        <w:spacing w:after="80" w:line="360" w:lineRule="auto"/>
        <w:ind w:left="461" w:hanging="259"/>
      </w:pPr>
      <w:r>
        <w:rPr>
          <w:rFonts w:ascii="Times New Roman" w:hAnsi="Times New Roman"/>
          <w:sz w:val="24"/>
        </w:rPr>
        <w:t>•</w:t>
        <w:tab/>
      </w:r>
      <w:r>
        <w:rPr>
          <w:rFonts w:ascii="Times New Roman" w:hAnsi="Times New Roman"/>
          <w:b/>
          <w:sz w:val="24"/>
        </w:rPr>
        <w:t xml:space="preserve">B1 - Direct LLM-to-SQL: </w:t>
      </w:r>
      <w:r>
        <w:rPr>
          <w:rFonts w:ascii="Times New Roman" w:hAnsi="Times New Roman"/>
          <w:sz w:val="24"/>
        </w:rPr>
        <w:t>Llama 3.1 8B is prompted with the full database schema, without semantic-layer or template constraints.</w:t>
      </w:r>
    </w:p>
    <w:p>
      <w:pPr>
        <w:spacing w:after="80" w:line="360" w:lineRule="auto"/>
        <w:ind w:left="461" w:hanging="259"/>
      </w:pPr>
      <w:r>
        <w:rPr>
          <w:rFonts w:ascii="Times New Roman" w:hAnsi="Times New Roman"/>
          <w:sz w:val="24"/>
        </w:rPr>
        <w:t>•</w:t>
        <w:tab/>
      </w:r>
      <w:r>
        <w:rPr>
          <w:rFonts w:ascii="Times New Roman" w:hAnsi="Times New Roman"/>
          <w:b/>
          <w:sz w:val="24"/>
        </w:rPr>
        <w:t xml:space="preserve">B2 - Decomposed LLM: </w:t>
      </w:r>
      <w:r>
        <w:rPr>
          <w:rFonts w:ascii="Times New Roman" w:hAnsi="Times New Roman"/>
          <w:sz w:val="24"/>
        </w:rPr>
        <w:t>A chain-of-thought strategy first extracts entities and then generates SQL. This baseline is prepared but not included in the completed results.</w:t>
      </w:r>
    </w:p>
    <w:p>
      <w:pPr>
        <w:spacing w:after="80" w:line="360" w:lineRule="auto"/>
        <w:ind w:left="461" w:hanging="259"/>
      </w:pPr>
      <w:r>
        <w:rPr>
          <w:rFonts w:ascii="Times New Roman" w:hAnsi="Times New Roman"/>
          <w:sz w:val="24"/>
        </w:rPr>
        <w:t>•</w:t>
        <w:tab/>
      </w:r>
      <w:r>
        <w:rPr>
          <w:rFonts w:ascii="Times New Roman" w:hAnsi="Times New Roman"/>
          <w:b/>
          <w:sz w:val="24"/>
        </w:rPr>
        <w:t xml:space="preserve">B3 - Template-only: </w:t>
      </w:r>
      <w:r>
        <w:rPr>
          <w:rFonts w:ascii="Times New Roman" w:hAnsi="Times New Roman"/>
          <w:sz w:val="24"/>
        </w:rPr>
        <w:t>Keyword matching selects templates without LLM-based intent extraction. This baseline has been executed for true database execution validity.</w:t>
      </w:r>
    </w:p>
    <w:p>
      <w:pPr>
        <w:spacing w:after="80" w:line="360" w:lineRule="auto"/>
        <w:ind w:left="461" w:hanging="259"/>
      </w:pPr>
      <w:r>
        <w:rPr>
          <w:rFonts w:ascii="Times New Roman" w:hAnsi="Times New Roman"/>
          <w:sz w:val="24"/>
        </w:rPr>
        <w:t>•</w:t>
        <w:tab/>
      </w:r>
      <w:r>
        <w:rPr>
          <w:rFonts w:ascii="Times New Roman" w:hAnsi="Times New Roman"/>
          <w:b/>
          <w:sz w:val="24"/>
        </w:rPr>
        <w:t xml:space="preserve">B4 - No semantic layer: </w:t>
      </w:r>
      <w:r>
        <w:rPr>
          <w:rFonts w:ascii="Times New Roman" w:hAnsi="Times New Roman"/>
          <w:sz w:val="24"/>
        </w:rPr>
        <w:t>The full AEGIS pipeline runs with the semantic mapper bypassed. This remains future evaluation work.</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the recorded benchmark data and verified through true database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accurately does the LLM intent parser extract typed reporting plans? This remains a semantic-correctness task requiring annotated expected labels.</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reduce unsafe SQL compared to direct LLM-to-SQL? Measured as genuine unsafe SQL statements across the 107-query benchmark.</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AEGIS generate SQL that actually runs? Measured through true database execution against the seeded MySQL database, not merely by checking whether Python compilation succeeded.</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How does the deterministic downstream compiler behave when intent selection is rule-based rather than LLM-based? Measured through the B3 template-only baseline.</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presents the evaluation results of the AEGIS prototype using a 107-request natural-language analytics benchmark and true database execution. The discussion separates SQL safety, execution validity, and semantic correctness because a query may be safe and executable while still failing to answer the intended analytical request.</w:t>
      </w:r>
    </w:p>
    <w:p>
      <w:pPr>
        <w:spacing w:after="0" w:before="0" w:line="360" w:lineRule="auto"/>
        <w:jc w:val="both"/>
      </w:pPr>
      <w:r>
        <w:rPr>
          <w:rFonts w:ascii="Times New Roman" w:hAnsi="Times New Roman"/>
          <w:b w:val="0"/>
          <w:i w:val="0"/>
          <w:sz w:val="24"/>
        </w:rPr>
        <w:t>The reported quantitative evidence covers the mixed 107-request benchmark for AEGIS and the B1 direct LLM-to-SQL baseline, together with the completed B3 template-only execution-validity run. B2, B4, latency, and fully annotated semantic correctness remain future evaluation work, so this chapter reports only the measurements completed under the current experimental setup.</w:t>
      </w:r>
    </w:p>
    <w:p>
      <w:pPr>
        <w:spacing w:before="320" w:after="160"/>
        <w:jc w:val="left"/>
      </w:pPr>
      <w:r>
        <w:rPr>
          <w:rFonts w:ascii="Times New Roman" w:hAnsi="Times New Roman"/>
          <w:b/>
          <w:sz w:val="28"/>
        </w:rPr>
        <w:t>5.1  Evaluation Overview</w:t>
      </w:r>
    </w:p>
    <w:p>
      <w:pPr>
        <w:spacing w:after="200" w:before="0" w:line="360" w:lineRule="auto"/>
        <w:jc w:val="both"/>
      </w:pPr>
      <w:r>
        <w:rPr>
          <w:rFonts w:ascii="Times New Roman" w:hAnsi="Times New Roman"/>
          <w:b w:val="0"/>
          <w:i w:val="0"/>
          <w:sz w:val="24"/>
        </w:rPr>
        <w:t>The evaluation uses 107 mixed natural-language reporting requests as a single benchmark set. The requests include ordinary analytical questions as well as harder boundary-style cases, but all are evaluated under the same denominator to avoid separating results into unsupported categories.</w:t>
      </w:r>
    </w:p>
    <w:p>
      <w:pPr>
        <w:spacing w:before="200" w:after="80"/>
        <w:jc w:val="center"/>
        <w:keepNext/>
      </w:pPr>
      <w:r>
        <w:rPr>
          <w:rFonts w:ascii="Times New Roman" w:hAnsi="Times New Roman"/>
          <w:b/>
          <w:sz w:val="22"/>
        </w:rPr>
        <w:t>Table 5.1: Evaluation benchmark status.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13"/>
        <w:gridCol w:w="4513"/>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Benchmark size</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107 mixed natural-language reporting requests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Database execution environment</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MySQL 8.0 in Docker, seeded with nopCommerce-style data</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Completed baselines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B1 direct LLM-to-SQL and B3 template-only</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Pending measurements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Semantic correctness, B2/B4 baselines, and latency</w:t>
            </w:r>
          </w:p>
        </w:tc>
      </w:tr>
    </w:tbl>
    <w:p>
      <w:pPr>
        <w:spacing w:after="80"/>
      </w:pPr>
    </w:p>
    <w:p>
      <w:pPr>
        <w:spacing w:after="200" w:before="0" w:line="360" w:lineRule="auto"/>
        <w:jc w:val="both"/>
      </w:pPr>
      <w:r>
        <w:rPr>
          <w:rFonts w:ascii="Times New Roman" w:hAnsi="Times New Roman"/>
          <w:b w:val="0"/>
          <w:i/>
          <w:sz w:val="22"/>
        </w:rPr>
        <w:t>The benchmark evidence consists of the prepared request set, recorded model outputs, baseline outputs, and true database execution results produced against the seeded MySQL evaluation database.</w:t>
      </w:r>
    </w:p>
    <w:p>
      <w:pPr>
        <w:spacing w:before="320" w:after="160"/>
        <w:jc w:val="left"/>
      </w:pPr>
      <w:r>
        <w:rPr>
          <w:rFonts w:ascii="Times New Roman" w:hAnsi="Times New Roman"/>
          <w:b/>
          <w:sz w:val="28"/>
        </w:rPr>
        <w:t>5.2  Main Result Summary</w:t>
      </w:r>
    </w:p>
    <w:p>
      <w:pPr>
        <w:spacing w:after="200" w:before="0" w:line="360" w:lineRule="auto"/>
        <w:jc w:val="both"/>
      </w:pPr>
      <w:r>
        <w:rPr>
          <w:rFonts w:ascii="Times New Roman" w:hAnsi="Times New Roman"/>
          <w:b w:val="0"/>
          <w:i w:val="0"/>
          <w:sz w:val="24"/>
        </w:rPr>
        <w:t>Reference text-to-SQL papers commonly present a compact result table before detailed analysis. Following that pattern, Table 5.2 summarizes the completed AEGIS measurements and separates them from measurements that remain pending.</w:t>
      </w:r>
    </w:p>
    <w:p>
      <w:pPr>
        <w:spacing w:before="200" w:after="80"/>
        <w:jc w:val="center"/>
        <w:keepNext/>
      </w:pPr>
      <w:r>
        <w:rPr>
          <w:rFonts w:ascii="Times New Roman" w:hAnsi="Times New Roman"/>
          <w:b/>
          <w:sz w:val="22"/>
        </w:rPr>
        <w:t>Table 5.2: Main evaluation result summary.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56"/>
        <w:gridCol w:w="1843"/>
        <w:gridCol w:w="2088"/>
        <w:gridCol w:w="2736"/>
        <w:gridCol w:w="1080"/>
      </w:tblGrid>
      <w:tr>
        <w:trPr>
          <w:cantSplit/>
        </w:trPr>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AEGIS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Baseline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produced 1 unsafe statement in 107</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blocked the observed unsafe-write case</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27 of 107 (25.2%); B3: 104 of 107 (97.2%)</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greatly improved execution validity over direct LLM-to-SQL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Failure analysis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7 AEGIS execution failures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failures were broader and more frequent</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Remaining AEGIS failures are implementation issues, not safety violations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Semantic correctness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Not numerically scored</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Not numerically scored</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Requires annotated expected answers before accuracy can be claimed</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Pending</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Latency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Not instrumented</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Not instrumented</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Needs repeatable timing logs before reporting</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Pending</w:t>
            </w:r>
          </w:p>
        </w:tc>
      </w:tr>
    </w:tbl>
    <w:p>
      <w:pPr>
        <w:spacing w:after="80"/>
      </w:pPr>
    </w:p>
    <w:p>
      <w:pPr>
        <w:spacing w:before="320" w:after="160"/>
        <w:jc w:val="left"/>
      </w:pPr>
      <w:r>
        <w:rPr>
          <w:rFonts w:ascii="Times New Roman" w:hAnsi="Times New Roman"/>
          <w:b/>
          <w:sz w:val="28"/>
        </w:rPr>
        <w:t>5.3  SQL Safety</w:t>
      </w:r>
    </w:p>
    <w:p>
      <w:pPr>
        <w:spacing w:after="200" w:before="0" w:line="360" w:lineRule="auto"/>
        <w:jc w:val="both"/>
      </w:pPr>
      <w:r>
        <w:rPr>
          <w:rFonts w:ascii="Times New Roman" w:hAnsi="Times New Roman"/>
          <w:b w:val="0"/>
          <w:i w:val="0"/>
          <w:sz w:val="24"/>
        </w:rPr>
        <w:t>Unsafe Query Execution Rate measures whether a generated SQL statement contains a genuine unsafe operation such as a write or schema-changing command. This metric is different from execution validity because a statement can be syntactically valid while still being unsafe for an analytics-only system.</w:t>
      </w:r>
    </w:p>
    <w:p>
      <w:pPr>
        <w:spacing w:before="200" w:after="80"/>
        <w:jc w:val="center"/>
        <w:keepNext/>
      </w:pPr>
      <w:r>
        <w:rPr>
          <w:rFonts w:ascii="Times New Roman" w:hAnsi="Times New Roman"/>
          <w:b/>
          <w:sz w:val="22"/>
        </w:rPr>
        <w:t>Table 5.3: SQL safety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48"/>
        <w:gridCol w:w="1944"/>
        <w:gridCol w:w="453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Unsafe 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 genuine unsafe statement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model generated one write operation when prompted with a business-looking request.</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intent schema and compiler templates did not allow write SQL to be emitted.</w:t>
            </w:r>
          </w:p>
        </w:tc>
      </w:tr>
    </w:tbl>
    <w:p>
      <w:pPr>
        <w:spacing w:after="80"/>
      </w:pPr>
    </w:p>
    <w:p>
      <w:pPr>
        <w:spacing w:after="0" w:before="0" w:line="360" w:lineRule="auto"/>
        <w:jc w:val="both"/>
      </w:pPr>
      <w:r>
        <w:rPr>
          <w:rFonts w:ascii="Times New Roman" w:hAnsi="Times New Roman"/>
          <w:b w:val="0"/>
          <w:i w:val="0"/>
          <w:sz w:val="24"/>
        </w:rPr>
        <w:t>The strongest safety example is the disguised write request asking to cancel orders stuck in Pending for more than 30 days. Baseline B1 produced an executable UPDATE statement. AEGIS cannot express a write intent in its intent object or compiler templates, so it did not emit write SQL. This is the central safety result: AEGIS prevents this class of unsafe execution structurally rather than hoping the model follows an instruction not to write dangerous SQL.</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8 NOT YET INSERTED ]</w:t>
            </w:r>
          </w:p>
          <w:p>
            <w:pPr>
              <w:spacing w:after="160"/>
              <w:jc w:val="center"/>
            </w:pPr>
            <w:r>
              <w:rPr>
                <w:rFonts w:ascii="Times New Roman" w:hAnsi="Times New Roman"/>
                <w:b/>
                <w:color w:val="333333"/>
                <w:sz w:val="22"/>
              </w:rPr>
              <w:t>Verified safety and execution-validity comparison</w:t>
            </w:r>
          </w:p>
        </w:tc>
      </w:tr>
    </w:tbl>
    <w:p>
      <w:pPr>
        <w:spacing w:before="120" w:after="280"/>
        <w:jc w:val="center"/>
      </w:pPr>
      <w:r>
        <w:rPr>
          <w:rFonts w:ascii="Times New Roman" w:hAnsi="Times New Roman"/>
          <w:b/>
          <w:sz w:val="21"/>
        </w:rPr>
        <w:t>Figure 8: Verified safety and execution-validity comparison</w:t>
      </w:r>
    </w:p>
    <w:p>
      <w:pPr>
        <w:spacing w:before="320" w:after="160"/>
        <w:jc w:val="left"/>
      </w:pPr>
      <w:r>
        <w:rPr>
          <w:rFonts w:ascii="Times New Roman" w:hAnsi="Times New Roman"/>
          <w:b/>
          <w:sz w:val="28"/>
        </w:rPr>
        <w:t>5.4  True Database Execution Validity</w:t>
      </w:r>
    </w:p>
    <w:p>
      <w:pPr>
        <w:spacing w:after="200" w:before="0" w:line="360" w:lineRule="auto"/>
        <w:jc w:val="both"/>
      </w:pPr>
      <w:r>
        <w:rPr>
          <w:rFonts w:ascii="Times New Roman" w:hAnsi="Times New Roman"/>
          <w:b w:val="0"/>
          <w:i w:val="0"/>
          <w:sz w:val="24"/>
        </w:rPr>
        <w:t>True database execution validity measures whether the generated SQL actually runs against the seeded MySQL database. This check is stricter than string inspection or application-level compilation because it exposes missing columns, invalid joins, dialect errors, and invalid literal values.</w:t>
      </w:r>
    </w:p>
    <w:p>
      <w:pPr>
        <w:spacing w:before="200" w:after="80"/>
        <w:jc w:val="center"/>
        <w:keepNext/>
      </w:pPr>
      <w:r>
        <w:rPr>
          <w:rFonts w:ascii="Times New Roman" w:hAnsi="Times New Roman"/>
          <w:b/>
          <w:sz w:val="22"/>
        </w:rPr>
        <w:t>Table 5.4: True execution validity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232"/>
        <w:gridCol w:w="417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27 of 107 executed successfully (25.2%)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Most failures came from hallucinated columns, invalid table references, or dialect errors.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The deterministic pipeline removed many free-form SQL errors, but seven issues remained.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High execution validity, but not evidence of higher semantic correctness.</w:t>
            </w:r>
          </w:p>
        </w:tc>
      </w:tr>
    </w:tbl>
    <w:p>
      <w:pPr>
        <w:spacing w:after="80"/>
      </w:pPr>
    </w:p>
    <w:p>
      <w:pPr>
        <w:spacing w:before="320" w:after="160"/>
        <w:jc w:val="left"/>
      </w:pPr>
      <w:r>
        <w:rPr>
          <w:rFonts w:ascii="Times New Roman" w:hAnsi="Times New Roman"/>
          <w:b/>
          <w:sz w:val="28"/>
        </w:rPr>
        <w:t>5.5  Execution Failure Analysis</w:t>
      </w:r>
    </w:p>
    <w:p>
      <w:pPr>
        <w:spacing w:after="200" w:before="0" w:line="360" w:lineRule="auto"/>
        <w:jc w:val="both"/>
      </w:pPr>
      <w:r>
        <w:rPr>
          <w:rFonts w:ascii="Times New Roman" w:hAnsi="Times New Roman"/>
          <w:b w:val="0"/>
          <w:i w:val="0"/>
          <w:sz w:val="24"/>
        </w:rPr>
        <w:t>The seven AEGIS execution failures identify the remaining implementation limitations of the prototype. These failures are not safety violations; they are executable-query construction issues observed when the generated SQL was tested against the evaluation database.</w:t>
      </w:r>
    </w:p>
    <w:p>
      <w:pPr>
        <w:spacing w:before="200" w:after="80"/>
        <w:jc w:val="center"/>
        <w:keepNext/>
      </w:pPr>
      <w:r>
        <w:rPr>
          <w:rFonts w:ascii="Times New Roman" w:hAnsi="Times New Roman"/>
          <w:b/>
          <w:sz w:val="22"/>
        </w:rPr>
        <w:t>Table 5.5: AEGIS true-execution failures diagnosed from MySQL execution.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Query ID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Failure class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Observed database error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5</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morning'</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13</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19</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Join-path or alias defect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Unknown column 'o.Id' in ON clause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46</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'last 90 days'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quarter'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80</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84</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bl>
    <w:p>
      <w:pPr>
        <w:spacing w:after="80"/>
      </w:pPr>
    </w:p>
    <w:p>
      <w:pPr>
        <w:spacing w:after="0" w:before="0" w:line="360" w:lineRule="auto"/>
        <w:jc w:val="both"/>
      </w:pPr>
      <w:r>
        <w:rPr>
          <w:rFonts w:ascii="Times New Roman" w:hAnsi="Times New Roman"/>
          <w:b w:val="0"/>
          <w:i w:val="0"/>
          <w:sz w:val="24"/>
        </w:rPr>
        <w:t>The failure pattern is narrow. Three failures are date-normalization bugs, three are compiler syntax edge cases, and one is a join or alias construction defect. These are concrete implementation bugs, not evidence that the safety boundary failed. They should be fixed in future work and then re-measured using the same true database execution procedure.</w:t>
      </w:r>
    </w:p>
    <w:p>
      <w:pPr>
        <w:spacing w:before="320" w:after="160"/>
        <w:jc w:val="left"/>
      </w:pPr>
      <w:r>
        <w:rPr>
          <w:rFonts w:ascii="Times New Roman" w:hAnsi="Times New Roman"/>
          <w:b/>
          <w:sz w:val="28"/>
        </w:rPr>
        <w:t>5.6  Semantic Correctness Limitation</w:t>
      </w:r>
    </w:p>
    <w:p>
      <w:pPr>
        <w:spacing w:after="200" w:before="0" w:line="360" w:lineRule="auto"/>
        <w:jc w:val="both"/>
      </w:pPr>
      <w:r>
        <w:rPr>
          <w:rFonts w:ascii="Times New Roman" w:hAnsi="Times New Roman"/>
          <w:b w:val="0"/>
          <w:i w:val="0"/>
          <w:sz w:val="24"/>
        </w:rPr>
        <w:t>Correctness or accuracy must be treated separately from execution validity. The current results show that AEGIS often generates SQL that executes successfully and avoids unsafe operations, but they do not establish that every executable result matches the user's intended analytical meaning.</w:t>
      </w:r>
    </w:p>
    <w:p>
      <w:pPr>
        <w:spacing w:before="200" w:after="80"/>
        <w:jc w:val="center"/>
        <w:keepNext/>
      </w:pPr>
      <w:r>
        <w:rPr>
          <w:rFonts w:ascii="Times New Roman" w:hAnsi="Times New Roman"/>
          <w:b/>
          <w:sz w:val="22"/>
        </w:rPr>
        <w:t>Table 5.6: Distinguishing the evaluation metrics.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What it answers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Current status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generated SQL avoid unsafe write or schema-changing behavior?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Verified for B1 and AEGIS on all 107 requests.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generated SQL run against the seeded MySQL database?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Verified for B1, AEGIS, and B3.</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Semantic correctness / accuracy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answer match the user's intended reporting need?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yet numerically scored; requires annotated expected outputs or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Scope handling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system clarify or reject unsupported requests instead of guessing?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Observed as a limitation; needs a separate annotated evaluation.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Latency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How long each stage takes end to 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yet instrumented.</w:t>
            </w:r>
          </w:p>
        </w:tc>
      </w:tr>
    </w:tbl>
    <w:p>
      <w:pPr>
        <w:spacing w:after="80"/>
      </w:pPr>
    </w:p>
    <w:p>
      <w:pPr>
        <w:spacing w:after="0" w:before="0" w:line="360" w:lineRule="auto"/>
        <w:jc w:val="both"/>
      </w:pPr>
      <w:r>
        <w:rPr>
          <w:rFonts w:ascii="Times New Roman" w:hAnsi="Times New Roman"/>
          <w:b w:val="0"/>
          <w:i w:val="0"/>
          <w:sz w:val="24"/>
        </w:rPr>
        <w:t>This distinction is important for the thesis argument. AEGIS maintained SQL safety even under harder boundary cases, but the scope-detection mechanism was incomplete: several unsupported or underspecified requests were mapped to safe but semantically wrong in-scope queries instead of being rejected or clarified. That behavior should be reported as a correctness and clarification limitation, not hidden inside the safety metric.</w:t>
      </w:r>
    </w:p>
    <w:p>
      <w:pPr>
        <w:spacing w:before="320" w:after="160"/>
        <w:jc w:val="left"/>
      </w:pPr>
      <w:r>
        <w:rPr>
          <w:rFonts w:ascii="Times New Roman" w:hAnsi="Times New Roman"/>
          <w:b/>
          <w:sz w:val="28"/>
        </w:rPr>
        <w:t>5.7  B3 Template-Only Baseline</w:t>
      </w:r>
    </w:p>
    <w:p>
      <w:pPr>
        <w:spacing w:after="200" w:before="0" w:line="360" w:lineRule="auto"/>
        <w:jc w:val="both"/>
      </w:pPr>
      <w:r>
        <w:rPr>
          <w:rFonts w:ascii="Times New Roman" w:hAnsi="Times New Roman"/>
          <w:b w:val="0"/>
          <w:i w:val="0"/>
          <w:sz w:val="24"/>
        </w:rPr>
        <w:t>The B3 template-only baseline is useful because it separates the deterministic compiler from the LLM intent parser. B3 uses keyword matching to create an intent object, then hands that intent to the same downstream semantic mapping and compiler path. Its high execution-validity result shows that many database errors are triggered by particular intent choices and time phrases, not by the compiler alone.</w:t>
      </w:r>
    </w:p>
    <w:p>
      <w:pPr>
        <w:spacing w:before="200" w:after="80"/>
        <w:jc w:val="center"/>
        <w:keepNext/>
      </w:pPr>
      <w:r>
        <w:rPr>
          <w:rFonts w:ascii="Times New Roman" w:hAnsi="Times New Roman"/>
          <w:b/>
          <w:sz w:val="22"/>
        </w:rPr>
        <w:t>Table 5.7: B3 execution-validity summary.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Higher execution validity than AEGIS on this run, but not evidence of higher semantic correctness.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B3 failures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3 database execution failures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Two compiler or join-path issues and one date-value issue were observed.</w:t>
            </w:r>
          </w:p>
        </w:tc>
      </w:tr>
    </w:tbl>
    <w:p>
      <w:pPr>
        <w:spacing w:after="80"/>
      </w:pPr>
    </w:p>
    <w:p>
      <w:pPr>
        <w:spacing w:after="0" w:before="0" w:line="360" w:lineRule="auto"/>
        <w:jc w:val="both"/>
      </w:pPr>
      <w:r>
        <w:rPr>
          <w:rFonts w:ascii="Times New Roman" w:hAnsi="Times New Roman"/>
          <w:b w:val="0"/>
          <w:i w:val="0"/>
          <w:sz w:val="24"/>
        </w:rPr>
        <w:t>B3's result should be interpreted carefully. A keyword-only classifier may choose a query shape that runs successfully while answering the wrong question. Therefore B3 belongs in the execution-validity comparison, but it should not be used to claim semantic accuracy until the same annotated correctness benchmark is applied to all systems.</w:t>
      </w:r>
    </w:p>
    <w:p>
      <w:pPr>
        <w:spacing w:before="320" w:after="160"/>
        <w:jc w:val="left"/>
      </w:pPr>
      <w:r>
        <w:rPr>
          <w:rFonts w:ascii="Times New Roman" w:hAnsi="Times New Roman"/>
          <w:b/>
          <w:sz w:val="28"/>
        </w:rPr>
        <w:t>5.8  Comparative Discussion</w:t>
      </w:r>
    </w:p>
    <w:p>
      <w:pPr>
        <w:spacing w:before="200" w:after="160"/>
        <w:jc w:val="left"/>
      </w:pPr>
      <w:r>
        <w:rPr>
          <w:rFonts w:ascii="Times New Roman" w:hAnsi="Times New Roman"/>
          <w:b/>
          <w:i/>
          <w:sz w:val="25"/>
        </w:rPr>
        <w:t>5.8.1  AEGIS vs. Direct LLM-to-SQL</w:t>
      </w:r>
    </w:p>
    <w:p>
      <w:pPr>
        <w:spacing w:after="200" w:before="0" w:line="360" w:lineRule="auto"/>
        <w:jc w:val="both"/>
      </w:pPr>
      <w:r>
        <w:rPr>
          <w:rFonts w:ascii="Times New Roman" w:hAnsi="Times New Roman"/>
          <w:b w:val="0"/>
          <w:i w:val="0"/>
          <w:sz w:val="24"/>
        </w:rPr>
        <w:t>The B1 baseline exposes the central risk of direct SQL generation. The same model that can produce useful analytical SQL can also hallucinate schema objects, mix SQL dialects, and generate a real write statement when a business-looking request implies a write operation. AEGIS narrows the model's role to intent extraction, so these risks do not enter the SQL construction stage in the same way.</w:t>
      </w:r>
    </w:p>
    <w:p>
      <w:pPr>
        <w:spacing w:before="200" w:after="80"/>
        <w:jc w:val="center"/>
        <w:keepNext/>
      </w:pPr>
      <w:r>
        <w:rPr>
          <w:rFonts w:ascii="Times New Roman" w:hAnsi="Times New Roman"/>
          <w:b/>
          <w:sz w:val="22"/>
        </w:rPr>
        <w:t>Table 5.8: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Model-generated free-form text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Deterministic compiler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Schema exposure to LLM</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Requires tables, columns, and relationships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Uses approved business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Business metric definitions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 and schema names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Defined in the semantic layer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injection prevention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Prompt-level instruction and post-checking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Structural prevention through intent schema and templates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 enforcement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External or absent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Applied after intent extraction by deterministic code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Dashboard widget persistence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provided by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First-class saved artifact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Model dependency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Strongly tied to model quality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and safety scanner are model-independent</w:t>
            </w:r>
          </w:p>
        </w:tc>
      </w:tr>
    </w:tbl>
    <w:p>
      <w:pPr>
        <w:spacing w:after="80"/>
      </w:pPr>
    </w:p>
    <w:p>
      <w:pPr>
        <w:spacing w:before="200" w:after="160"/>
        <w:jc w:val="left"/>
      </w:pPr>
      <w:r>
        <w:rPr>
          <w:rFonts w:ascii="Times New Roman" w:hAnsi="Times New Roman"/>
          <w:b/>
          <w:i/>
          <w:sz w:val="25"/>
        </w:rPr>
        <w:t>5.8.2  Semantic Layer versus Retrieval-Augmented Generation</w:t>
      </w:r>
    </w:p>
    <w:p>
      <w:pPr>
        <w:spacing w:after="200" w:before="0" w:line="360" w:lineRule="auto"/>
        <w:jc w:val="both"/>
      </w:pPr>
      <w:r>
        <w:rPr>
          <w:rFonts w:ascii="Times New Roman" w:hAnsi="Times New Roman"/>
          <w:b w:val="0"/>
          <w:i w:val="0"/>
          <w:sz w:val="24"/>
        </w:rPr>
        <w:t>Retrieval-augmented generation can help an LLM find relevant schema fragments, but it does not remove the model's authority to write SQL. AEGIS uses the semantic layer for a different purpose: it defines which business concepts are allowed to exist and how they compile into SQL. RAG may still be useful in a future large deployment to select relevant semantic-layer entries, but the final SQL should still be compiled by the deterministic AEGIS compiler.</w:t>
      </w:r>
    </w:p>
    <w:p>
      <w:pPr>
        <w:spacing w:before="200" w:after="160"/>
        <w:jc w:val="left"/>
      </w:pPr>
      <w:r>
        <w:rPr>
          <w:rFonts w:ascii="Times New Roman" w:hAnsi="Times New Roman"/>
          <w:b/>
          <w:i/>
          <w:sz w:val="25"/>
        </w:rPr>
        <w:t>5.8.3  Scope Boundary</w:t>
      </w:r>
    </w:p>
    <w:p>
      <w:pPr>
        <w:spacing w:after="0" w:before="0" w:line="360" w:lineRule="auto"/>
        <w:jc w:val="both"/>
      </w:pPr>
      <w:r>
        <w:rPr>
          <w:rFonts w:ascii="Times New Roman" w:hAnsi="Times New Roman"/>
          <w:b w:val="0"/>
          <w:i w:val="0"/>
          <w:sz w:val="24"/>
        </w:rPr>
        <w:t>AEGIS currently supports a bounded set of approved metrics, dimensions, analytical patterns, and join paths. This is the source of its safety, but also the source of its main limitation. If a user asks for something not represented in the semantic layer, the system should reject or clarify the request. The current prototype does not always do that reliably; improving scope detection is therefore a priority in future work.</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construction: </w:t>
      </w:r>
      <w:r>
        <w:rPr>
          <w:rFonts w:ascii="Times New Roman" w:hAnsi="Times New Roman"/>
          <w:sz w:val="24"/>
        </w:rPr>
        <w:t>Each deployment requires a domain-specific semantic layer prepared by someone with both business knowledge and schema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Bounded query coverage: </w:t>
      </w:r>
      <w:r>
        <w:rPr>
          <w:rFonts w:ascii="Times New Roman" w:hAnsi="Times New Roman"/>
          <w:sz w:val="24"/>
        </w:rPr>
        <w:t>AEGIS only answers questions that map to supported metrics, dimensions, patterns, and join paths.</w:t>
      </w:r>
    </w:p>
    <w:p>
      <w:pPr>
        <w:spacing w:after="80" w:line="360" w:lineRule="auto"/>
        <w:ind w:left="461" w:hanging="259"/>
      </w:pPr>
      <w:r>
        <w:rPr>
          <w:rFonts w:ascii="Times New Roman" w:hAnsi="Times New Roman"/>
          <w:sz w:val="24"/>
        </w:rPr>
        <w:t>•</w:t>
        <w:tab/>
      </w:r>
      <w:r>
        <w:rPr>
          <w:rFonts w:ascii="Times New Roman" w:hAnsi="Times New Roman"/>
          <w:b/>
          <w:sz w:val="24"/>
        </w:rPr>
        <w:t xml:space="preserve">Template expansion: </w:t>
      </w:r>
      <w:r>
        <w:rPr>
          <w:rFonts w:ascii="Times New Roman" w:hAnsi="Times New Roman"/>
          <w:sz w:val="24"/>
        </w:rPr>
        <w:t>New analytical patterns require new compiler templates and SQL knowledge.</w:t>
      </w:r>
    </w:p>
    <w:p>
      <w:pPr>
        <w:spacing w:after="80" w:line="360" w:lineRule="auto"/>
        <w:ind w:left="461" w:hanging="259"/>
      </w:pPr>
      <w:r>
        <w:rPr>
          <w:rFonts w:ascii="Times New Roman" w:hAnsi="Times New Roman"/>
          <w:sz w:val="24"/>
        </w:rPr>
        <w:t>•</w:t>
        <w:tab/>
      </w:r>
      <w:r>
        <w:rPr>
          <w:rFonts w:ascii="Times New Roman" w:hAnsi="Times New Roman"/>
          <w:b/>
          <w:sz w:val="24"/>
        </w:rPr>
        <w:t xml:space="preserve">Intent extraction quality: </w:t>
      </w:r>
      <w:r>
        <w:rPr>
          <w:rFonts w:ascii="Times New Roman" w:hAnsi="Times New Roman"/>
          <w:sz w:val="24"/>
        </w:rPr>
        <w:t>A misclassified intent can produce a safe but semantically wrong query, so accuracy must be measured separately from safety.</w:t>
      </w:r>
    </w:p>
    <w:p>
      <w:pPr>
        <w:spacing w:after="80" w:line="360" w:lineRule="auto"/>
        <w:ind w:left="461" w:hanging="259"/>
      </w:pPr>
      <w:r>
        <w:rPr>
          <w:rFonts w:ascii="Times New Roman" w:hAnsi="Times New Roman"/>
          <w:sz w:val="24"/>
        </w:rPr>
        <w:t>•</w:t>
        <w:tab/>
      </w:r>
      <w:r>
        <w:rPr>
          <w:rFonts w:ascii="Times New Roman" w:hAnsi="Times New Roman"/>
          <w:b/>
          <w:sz w:val="24"/>
        </w:rPr>
        <w:t xml:space="preserve">Benchmark scope: </w:t>
      </w:r>
      <w:r>
        <w:rPr>
          <w:rFonts w:ascii="Times New Roman" w:hAnsi="Times New Roman"/>
          <w:sz w:val="24"/>
        </w:rPr>
        <w:t>The custom 107-request benchmark evaluates AEGIS in one domain and is not directly comparable to Spider or BIRD leaderboard scores.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scale: </w:t>
      </w:r>
      <w:r>
        <w:rPr>
          <w:rFonts w:ascii="Times New Roman" w:hAnsi="Times New Roman"/>
          <w:sz w:val="24"/>
        </w:rPr>
        <w:t>Very large vocabularies may require retrieval-assisted selection instead of injecting the whole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Database portability: </w:t>
      </w:r>
      <w:r>
        <w:rPr>
          <w:rFonts w:ascii="Times New Roman" w:hAnsi="Times New Roman"/>
          <w:sz w:val="24"/>
        </w:rPr>
        <w:t>The current compiler targets MySQL; PostgreSQL or SQL Server support would require dialect-specific compiler extensions.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Storage persistence: </w:t>
      </w:r>
      <w:r>
        <w:rPr>
          <w:rFonts w:ascii="Times New Roman" w:hAnsi="Times New Roman"/>
          <w:sz w:val="24"/>
        </w:rPr>
        <w:t>The prototype uses JSON flat files for widget storage; production deployment should use a database-backed registry.</w:t>
      </w:r>
    </w:p>
    <w:p>
      <w:pPr>
        <w:spacing w:after="80" w:line="360" w:lineRule="auto"/>
        <w:ind w:left="461" w:hanging="259"/>
      </w:pPr>
      <w:r>
        <w:rPr>
          <w:rFonts w:ascii="Times New Roman" w:hAnsi="Times New Roman"/>
          <w:sz w:val="24"/>
        </w:rPr>
        <w:t>•</w:t>
        <w:tab/>
      </w:r>
      <w:r>
        <w:rPr>
          <w:rFonts w:ascii="Times New Roman" w:hAnsi="Times New Roman"/>
          <w:b/>
          <w:sz w:val="24"/>
        </w:rPr>
        <w:t xml:space="preserve">Multi-turn conversation: </w:t>
      </w:r>
      <w:r>
        <w:rPr>
          <w:rFonts w:ascii="Times New Roman" w:hAnsi="Times New Roman"/>
          <w:sz w:val="24"/>
        </w:rPr>
        <w:t>Each request is handled independently, so follow-up questions and contextual carryover are not yet implemented.</w:t>
      </w:r>
    </w:p>
    <w:p>
      <w:pPr>
        <w:spacing w:after="80" w:line="360" w:lineRule="auto"/>
        <w:ind w:left="461" w:hanging="259"/>
      </w:pPr>
      <w:r>
        <w:rPr>
          <w:rFonts w:ascii="Times New Roman" w:hAnsi="Times New Roman"/>
          <w:sz w:val="24"/>
        </w:rPr>
        <w:t>•</w:t>
        <w:tab/>
      </w:r>
      <w:r>
        <w:rPr>
          <w:rFonts w:ascii="Times New Roman" w:hAnsi="Times New Roman"/>
          <w:b/>
          <w:sz w:val="24"/>
        </w:rPr>
        <w:t xml:space="preserve">Domain vocabulary: </w:t>
      </w:r>
      <w:r>
        <w:rPr>
          <w:rFonts w:ascii="Times New Roman" w:hAnsi="Times New Roman"/>
          <w:sz w:val="24"/>
        </w:rPr>
        <w:t>Highly specialized terminology may require extra few-shot examples beyond the injected label and description pairs.</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Clarification requests: </w:t>
      </w:r>
      <w:r>
        <w:rPr>
          <w:rFonts w:ascii="Times New Roman" w:hAnsi="Times New Roman"/>
          <w:sz w:val="24"/>
        </w:rPr>
        <w:t>When confidence is low, AEGIS should ask a follow-up question instead of guessing, for example "did you mean revenue or profit?"</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wizard: </w:t>
      </w:r>
      <w:r>
        <w:rPr>
          <w:rFonts w:ascii="Times New Roman" w:hAnsi="Times New Roman"/>
          <w:sz w:val="24"/>
        </w:rPr>
        <w:t>A guided interface should let business analysts define new metrics and dimensions without writing Python.</w:t>
      </w:r>
    </w:p>
    <w:p>
      <w:pPr>
        <w:spacing w:after="80" w:line="360" w:lineRule="auto"/>
        <w:ind w:left="461" w:hanging="259"/>
      </w:pPr>
      <w:r>
        <w:rPr>
          <w:rFonts w:ascii="Times New Roman" w:hAnsi="Times New Roman"/>
          <w:sz w:val="24"/>
        </w:rPr>
        <w:t>•</w:t>
        <w:tab/>
      </w:r>
      <w:r>
        <w:rPr>
          <w:rFonts w:ascii="Times New Roman" w:hAnsi="Times New Roman"/>
          <w:b/>
          <w:sz w:val="24"/>
        </w:rPr>
        <w:t xml:space="preserve">Multi-step queries: </w:t>
      </w:r>
      <w:r>
        <w:rPr>
          <w:rFonts w:ascii="Times New Roman" w:hAnsi="Times New Roman"/>
          <w:sz w:val="24"/>
        </w:rPr>
        <w:t>Compound questions such as "revenue trend and top 5 products side by side" should create multiple coordinated widgets instead of requiring separate queries.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Automated denial-of-service protection: </w:t>
      </w:r>
      <w:r>
        <w:rPr>
          <w:rFonts w:ascii="Times New Roman" w:hAnsi="Times New Roman"/>
          <w:sz w:val="24"/>
        </w:rPr>
        <w:t>Query complexity scoring and server-side timeout enforcement should be added because the join graph bounds query shape but does not currently score runtime cost.</w:t>
      </w:r>
    </w:p>
    <w:p>
      <w:pPr>
        <w:spacing w:after="80" w:line="360" w:lineRule="auto"/>
        <w:ind w:left="461" w:hanging="259"/>
      </w:pPr>
      <w:r>
        <w:rPr>
          <w:rFonts w:ascii="Times New Roman" w:hAnsi="Times New Roman"/>
          <w:sz w:val="24"/>
        </w:rPr>
        <w:t>•</w:t>
        <w:tab/>
      </w:r>
      <w:r>
        <w:rPr>
          <w:rFonts w:ascii="Times New Roman" w:hAnsi="Times New Roman"/>
          <w:b/>
          <w:sz w:val="24"/>
        </w:rPr>
        <w:t xml:space="preserve">Broader schema coverage: </w:t>
      </w:r>
      <w:r>
        <w:rPr>
          <w:rFonts w:ascii="Times New Roman" w:hAnsi="Times New Roman"/>
          <w:sz w:val="24"/>
        </w:rPr>
        <w:t>The nopCommerce semantic layer should be extended to cover promotions, vendor analytics, and content-management engagement metrics.</w:t>
      </w:r>
    </w:p>
    <w:p>
      <w:pPr>
        <w:spacing w:after="80" w:line="360" w:lineRule="auto"/>
        <w:ind w:left="461" w:hanging="259"/>
      </w:pPr>
      <w:r>
        <w:rPr>
          <w:rFonts w:ascii="Times New Roman" w:hAnsi="Times New Roman"/>
          <w:sz w:val="24"/>
        </w:rPr>
        <w:t>•</w:t>
        <w:tab/>
      </w:r>
      <w:r>
        <w:rPr>
          <w:rFonts w:ascii="Times New Roman" w:hAnsi="Times New Roman"/>
          <w:sz w:val="24"/>
        </w:rPr>
        <w:t>Multi-turn conversational carryover, extending the single-turn design discussed above.</w:t>
      </w:r>
    </w:p>
    <w:p>
      <w:pPr>
        <w:spacing w:after="80" w:line="360" w:lineRule="auto"/>
        <w:ind w:left="461" w:hanging="259"/>
      </w:pPr>
      <w:r>
        <w:rPr>
          <w:rFonts w:ascii="Times New Roman" w:hAnsi="Times New Roman"/>
          <w:sz w:val="24"/>
        </w:rPr>
        <w:t>•</w:t>
        <w:tab/>
      </w:r>
      <w:r>
        <w:rPr>
          <w:rFonts w:ascii="Times New Roman" w:hAnsi="Times New Roman"/>
          <w:b/>
          <w:sz w:val="24"/>
        </w:rPr>
        <w:t xml:space="preserve">Outcome and rejection-category instrumentation: </w:t>
      </w:r>
      <w:r>
        <w:rPr>
          <w:rFonts w:ascii="Times New Roman" w:hAnsi="Times New Roman"/>
          <w:sz w:val="24"/>
        </w:rPr>
        <w:t>Future runs should measure the proportion of requests answered directly, answered after clarification, answered after a semantic-layer extension, or rejected.</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correctness benchmark: </w:t>
      </w:r>
      <w:r>
        <w:rPr>
          <w:rFonts w:ascii="Times New Roman" w:hAnsi="Times New Roman"/>
          <w:sz w:val="24"/>
        </w:rPr>
        <w:t>Annotated expected-answer labels should be added for the 107 mixed requests so correctness can be reported separately from SQL safety and true execution validity.</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generalizability benchmark: </w:t>
      </w:r>
      <w:r>
        <w:rPr>
          <w:rFonts w:ascii="Times New Roman" w:hAnsi="Times New Roman"/>
          <w:sz w:val="24"/>
        </w:rPr>
        <w:t>A second schema, such as WooCommerce, should be evaluated while keeping the intent parser contract, compiler structure, and safety scanner unchanged.</w:t>
      </w:r>
    </w:p>
    <w:p>
      <w:pPr>
        <w:spacing w:after="80" w:line="360" w:lineRule="auto"/>
        <w:ind w:left="461" w:hanging="259"/>
      </w:pPr>
      <w:r>
        <w:rPr>
          <w:rFonts w:ascii="Times New Roman" w:hAnsi="Times New Roman"/>
          <w:sz w:val="24"/>
        </w:rPr>
        <w:t>•</w:t>
        <w:tab/>
      </w:r>
      <w:r>
        <w:rPr>
          <w:rFonts w:ascii="Times New Roman" w:hAnsi="Times New Roman"/>
          <w:b/>
          <w:sz w:val="24"/>
        </w:rPr>
        <w:t xml:space="preserve">Remaining baselines and latency: </w:t>
      </w:r>
      <w:r>
        <w:rPr>
          <w:rFonts w:ascii="Times New Roman" w:hAnsi="Times New Roman"/>
          <w:sz w:val="24"/>
        </w:rPr>
        <w:t>B2 and B4 should be completed, and pipeline latency should be instrumented with repeatable timing logs.</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prototype evaluation on a 107-request mixed benchmark showed that AEGIS produced no unsafe SQL statements and successfully executed 100 of 107 generated queries against the seeded MySQL database. In contrast, the direct LLM-to-SQL baseline executed 27 of 107 queries successfully and produced one genuine unsafe write statement. These results support the main argument that deterministic compilation and semantic-layer constraints can improve SQL safety in natural-language reporting systems.</w:t>
      </w:r>
    </w:p>
    <w:p>
      <w:pPr>
        <w:spacing w:after="0" w:before="0" w:line="360" w:lineRule="auto"/>
        <w:jc w:val="both"/>
      </w:pPr>
      <w:r>
        <w:rPr>
          <w:rFonts w:ascii="Times New Roman" w:hAnsi="Times New Roman"/>
          <w:b w:val="0"/>
          <w:i w:val="0"/>
          <w:sz w:val="24"/>
        </w:rPr>
        <w:t>AEGIS is not a general-purpose text-to-SQL system. Its limitations include semantic layer construction cost, bounded query coverage, remaining execution failures, incomplete scope detection, and the need for a separately annotated semantic-correctness benchmark. Within this scope, the thesis demonstrates that restricting SQL generation to validated business patterns is a practical direction for safer, reusable, and more auditable natural-language analytics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