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8</w:t>
      </w:r>
    </w:p>
    <w:p>
      <w:pPr>
        <w:spacing w:after="160" w:before="80" w:line="360" w:lineRule="auto"/>
        <w:ind w:left="0"/>
        <w:jc w:val="both"/>
        <w:tabs>
          <w:tab w:val="right" w:leader="dot" w:pos="8640"/>
        </w:tabs>
      </w:pPr>
      <w:r>
        <w:rPr>
          <w:rFonts w:ascii="Times New Roman" w:hAnsi="Times New Roman"/>
          <w:b/>
          <w:sz w:val="24"/>
        </w:rPr>
        <w:t>Chapter 3: Methodology</w:t>
        <w:tab/>
        <w:t>9</w:t>
      </w:r>
    </w:p>
    <w:p>
      <w:pPr>
        <w:spacing w:after="80" w:before="0" w:line="360" w:lineRule="auto"/>
        <w:ind w:left="432"/>
        <w:jc w:val="both"/>
        <w:tabs>
          <w:tab w:val="right" w:leader="dot" w:pos="8640"/>
        </w:tabs>
      </w:pPr>
      <w:r>
        <w:rPr>
          <w:rFonts w:ascii="Times New Roman" w:hAnsi="Times New Roman"/>
          <w:b w:val="0"/>
          <w:sz w:val="23"/>
        </w:rPr>
        <w:t>3.1 Research Paradigm</w:t>
        <w:tab/>
        <w:t>9</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12</w:t>
      </w:r>
    </w:p>
    <w:p>
      <w:pPr>
        <w:spacing w:after="80" w:before="0" w:line="360" w:lineRule="auto"/>
        <w:ind w:left="432"/>
        <w:jc w:val="both"/>
        <w:tabs>
          <w:tab w:val="right" w:leader="dot" w:pos="8640"/>
        </w:tabs>
      </w:pPr>
      <w:r>
        <w:rPr>
          <w:rFonts w:ascii="Times New Roman" w:hAnsi="Times New Roman"/>
          <w:b w:val="0"/>
          <w:sz w:val="23"/>
        </w:rPr>
        <w:t>3.4 Formal Model</w:t>
        <w:tab/>
        <w:t>12</w:t>
      </w:r>
    </w:p>
    <w:p>
      <w:pPr>
        <w:spacing w:after="80" w:before="0" w:line="360" w:lineRule="auto"/>
        <w:ind w:left="432"/>
        <w:jc w:val="both"/>
        <w:tabs>
          <w:tab w:val="right" w:leader="dot" w:pos="8640"/>
        </w:tabs>
      </w:pPr>
      <w:r>
        <w:rPr>
          <w:rFonts w:ascii="Times New Roman" w:hAnsi="Times New Roman"/>
          <w:b w:val="0"/>
          <w:sz w:val="23"/>
        </w:rPr>
        <w:t>3.5 Threat Model</w:t>
        <w:tab/>
        <w:t>12</w:t>
      </w:r>
    </w:p>
    <w:p>
      <w:pPr>
        <w:spacing w:after="80" w:before="0" w:line="360" w:lineRule="auto"/>
        <w:ind w:left="432"/>
        <w:jc w:val="both"/>
        <w:tabs>
          <w:tab w:val="right" w:leader="dot" w:pos="8640"/>
        </w:tabs>
      </w:pPr>
      <w:r>
        <w:rPr>
          <w:rFonts w:ascii="Times New Roman" w:hAnsi="Times New Roman"/>
          <w:b w:val="0"/>
          <w:sz w:val="23"/>
        </w:rPr>
        <w:t>3.6 System Architecture</w:t>
        <w:tab/>
        <w:t>14</w:t>
      </w:r>
    </w:p>
    <w:p>
      <w:pPr>
        <w:spacing w:after="80" w:before="0" w:line="360" w:lineRule="auto"/>
        <w:ind w:left="432"/>
        <w:jc w:val="both"/>
        <w:tabs>
          <w:tab w:val="right" w:leader="dot" w:pos="8640"/>
        </w:tabs>
      </w:pPr>
      <w:r>
        <w:rPr>
          <w:rFonts w:ascii="Times New Roman" w:hAnsi="Times New Roman"/>
          <w:b w:val="0"/>
          <w:sz w:val="23"/>
        </w:rPr>
        <w:t>3.7 Semantic Layer Design</w:t>
        <w:tab/>
        <w:t>15</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16</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23</w:t>
      </w:r>
    </w:p>
    <w:p>
      <w:pPr>
        <w:spacing w:after="80" w:before="0" w:line="360" w:lineRule="auto"/>
        <w:ind w:left="432"/>
        <w:jc w:val="both"/>
        <w:tabs>
          <w:tab w:val="right" w:leader="dot" w:pos="8640"/>
        </w:tabs>
      </w:pPr>
      <w:r>
        <w:rPr>
          <w:rFonts w:ascii="Times New Roman" w:hAnsi="Times New Roman"/>
          <w:b w:val="0"/>
          <w:sz w:val="23"/>
        </w:rPr>
        <w:t>4.1 Implementation</w:t>
        <w:tab/>
        <w:t>23</w:t>
      </w:r>
    </w:p>
    <w:p>
      <w:pPr>
        <w:spacing w:after="80" w:before="0" w:line="360" w:lineRule="auto"/>
        <w:ind w:left="432"/>
        <w:jc w:val="both"/>
        <w:tabs>
          <w:tab w:val="right" w:leader="dot" w:pos="8640"/>
        </w:tabs>
      </w:pPr>
      <w:r>
        <w:rPr>
          <w:rFonts w:ascii="Times New Roman" w:hAnsi="Times New Roman"/>
          <w:b w:val="0"/>
          <w:sz w:val="23"/>
        </w:rPr>
        <w:t>4.2 Experimental Environment</w:t>
        <w:tab/>
        <w:t>24</w:t>
      </w:r>
    </w:p>
    <w:p>
      <w:pPr>
        <w:spacing w:after="80" w:before="0" w:line="360" w:lineRule="auto"/>
        <w:ind w:left="432"/>
        <w:jc w:val="both"/>
        <w:tabs>
          <w:tab w:val="right" w:leader="dot" w:pos="8640"/>
        </w:tabs>
      </w:pPr>
      <w:r>
        <w:rPr>
          <w:rFonts w:ascii="Times New Roman" w:hAnsi="Times New Roman"/>
          <w:b w:val="0"/>
          <w:sz w:val="23"/>
        </w:rPr>
        <w:t>4.3 Benchmark Dataset Construction</w:t>
        <w:tab/>
        <w:t>24</w:t>
      </w:r>
    </w:p>
    <w:p>
      <w:pPr>
        <w:spacing w:after="80" w:before="0" w:line="360" w:lineRule="auto"/>
        <w:ind w:left="432"/>
        <w:jc w:val="both"/>
        <w:tabs>
          <w:tab w:val="right" w:leader="dot" w:pos="8640"/>
        </w:tabs>
      </w:pPr>
      <w:r>
        <w:rPr>
          <w:rFonts w:ascii="Times New Roman" w:hAnsi="Times New Roman"/>
          <w:b w:val="0"/>
          <w:sz w:val="23"/>
        </w:rPr>
        <w:t>4.4 Baseline Systems</w:t>
        <w:tab/>
        <w:t>25</w:t>
      </w:r>
    </w:p>
    <w:p>
      <w:pPr>
        <w:spacing w:after="80" w:before="0" w:line="360" w:lineRule="auto"/>
        <w:ind w:left="432"/>
        <w:jc w:val="both"/>
        <w:tabs>
          <w:tab w:val="right" w:leader="dot" w:pos="8640"/>
        </w:tabs>
      </w:pPr>
      <w:r>
        <w:rPr>
          <w:rFonts w:ascii="Times New Roman" w:hAnsi="Times New Roman"/>
          <w:b w:val="0"/>
          <w:sz w:val="23"/>
        </w:rPr>
        <w:t>4.5 Evaluation Procedure</w:t>
        <w:tab/>
        <w:t>25</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Limitation</w:t>
        <w:tab/>
        <w:t>29</w:t>
      </w:r>
    </w:p>
    <w:p>
      <w:pPr>
        <w:spacing w:after="80" w:before="0" w:line="360" w:lineRule="auto"/>
        <w:ind w:left="432"/>
        <w:jc w:val="both"/>
        <w:tabs>
          <w:tab w:val="right" w:leader="dot" w:pos="8640"/>
        </w:tabs>
      </w:pPr>
      <w:r>
        <w:rPr>
          <w:rFonts w:ascii="Times New Roman" w:hAnsi="Times New Roman"/>
          <w:b w:val="0"/>
          <w:sz w:val="23"/>
        </w:rPr>
        <w:t>5.7 B3 Template-Only Baseline</w:t>
        <w:tab/>
        <w:t>30</w:t>
      </w:r>
    </w:p>
    <w:p>
      <w:pPr>
        <w:spacing w:after="80" w:before="0" w:line="360" w:lineRule="auto"/>
        <w:ind w:left="432"/>
        <w:jc w:val="both"/>
        <w:tabs>
          <w:tab w:val="right" w:leader="dot" w:pos="8640"/>
        </w:tabs>
      </w:pPr>
      <w:r>
        <w:rPr>
          <w:rFonts w:ascii="Times New Roman" w:hAnsi="Times New Roman"/>
          <w:b w:val="0"/>
          <w:sz w:val="23"/>
        </w:rPr>
        <w:t>5.8 Comparative Discussion</w:t>
        <w:tab/>
        <w:t>30</w:t>
      </w:r>
    </w:p>
    <w:p>
      <w:pPr>
        <w:spacing w:after="160" w:before="80" w:line="360" w:lineRule="auto"/>
        <w:ind w:left="0"/>
        <w:jc w:val="both"/>
        <w:tabs>
          <w:tab w:val="right" w:leader="dot" w:pos="8640"/>
        </w:tabs>
      </w:pPr>
      <w:r>
        <w:rPr>
          <w:rFonts w:ascii="Times New Roman" w:hAnsi="Times New Roman"/>
          <w:b/>
          <w:sz w:val="24"/>
        </w:rPr>
        <w:t>Chapter 6: Limitations and Future Work</w:t>
        <w:tab/>
        <w:t>32</w:t>
      </w:r>
    </w:p>
    <w:p>
      <w:pPr>
        <w:spacing w:after="160" w:before="80" w:line="360" w:lineRule="auto"/>
        <w:ind w:left="0"/>
        <w:jc w:val="both"/>
        <w:tabs>
          <w:tab w:val="right" w:leader="dot" w:pos="8640"/>
        </w:tabs>
      </w:pPr>
      <w:r>
        <w:rPr>
          <w:rFonts w:ascii="Times New Roman" w:hAnsi="Times New Roman"/>
          <w:b/>
          <w:sz w:val="24"/>
        </w:rPr>
        <w:t>Chapter 7: Conclusion</w:t>
        <w:tab/>
        <w:t>32</w:t>
      </w:r>
    </w:p>
    <w:p>
      <w:pPr>
        <w:spacing w:after="160" w:before="80" w:line="360" w:lineRule="auto"/>
        <w:ind w:left="0"/>
        <w:jc w:val="both"/>
        <w:tabs>
          <w:tab w:val="right" w:leader="dot" w:pos="8640"/>
        </w:tabs>
      </w:pPr>
      <w:r>
        <w:rPr>
          <w:rFonts w:ascii="Times New Roman" w:hAnsi="Times New Roman"/>
          <w:b/>
          <w:sz w:val="24"/>
        </w:rPr>
        <w:t>References</w:t>
        <w:tab/>
        <w:t>33</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10</w:t>
      </w:r>
    </w:p>
    <w:p>
      <w:pPr>
        <w:spacing w:after="80" w:before="0" w:line="360" w:lineRule="auto"/>
        <w:jc w:val="both"/>
        <w:tabs>
          <w:tab w:val="right" w:leader="dot" w:pos="8640"/>
        </w:tabs>
      </w:pPr>
      <w:r>
        <w:rPr>
          <w:rFonts w:ascii="Times New Roman" w:hAnsi="Times New Roman"/>
          <w:sz w:val="24"/>
        </w:rPr>
        <w:t>Figure 2: Benchmark pattern classification</w:t>
        <w:tab/>
        <w:t>11</w:t>
      </w:r>
    </w:p>
    <w:p>
      <w:pPr>
        <w:spacing w:after="80" w:before="0" w:line="360" w:lineRule="auto"/>
        <w:jc w:val="both"/>
        <w:tabs>
          <w:tab w:val="right" w:leader="dot" w:pos="8640"/>
        </w:tabs>
      </w:pPr>
      <w:r>
        <w:rPr>
          <w:rFonts w:ascii="Times New Roman" w:hAnsi="Times New Roman"/>
          <w:sz w:val="24"/>
        </w:rPr>
        <w:t>Figure 3: AEGIS architecture pipeline</w:t>
        <w:tab/>
        <w:t>15</w:t>
      </w:r>
    </w:p>
    <w:p>
      <w:pPr>
        <w:spacing w:after="80" w:before="0" w:line="360" w:lineRule="auto"/>
        <w:jc w:val="both"/>
        <w:tabs>
          <w:tab w:val="right" w:leader="dot" w:pos="8640"/>
        </w:tabs>
      </w:pPr>
      <w:r>
        <w:rPr>
          <w:rFonts w:ascii="Times New Roman" w:hAnsi="Times New Roman"/>
          <w:sz w:val="24"/>
        </w:rPr>
        <w:t>Figure 4: Semantic layer modularity</w:t>
        <w:tab/>
        <w:t>16</w:t>
      </w:r>
    </w:p>
    <w:p>
      <w:pPr>
        <w:spacing w:after="80" w:before="0" w:line="360" w:lineRule="auto"/>
        <w:jc w:val="both"/>
        <w:tabs>
          <w:tab w:val="right" w:leader="dot" w:pos="8640"/>
        </w:tabs>
      </w:pPr>
      <w:r>
        <w:rPr>
          <w:rFonts w:ascii="Times New Roman" w:hAnsi="Times New Roman"/>
          <w:sz w:val="24"/>
        </w:rPr>
        <w:t>Figure 5: Vocabulary injection workflow</w:t>
        <w:tab/>
        <w:t>18</w:t>
      </w:r>
    </w:p>
    <w:p>
      <w:pPr>
        <w:spacing w:after="80" w:before="0" w:line="360" w:lineRule="auto"/>
        <w:jc w:val="both"/>
        <w:tabs>
          <w:tab w:val="right" w:leader="dot" w:pos="8640"/>
        </w:tabs>
      </w:pPr>
      <w:r>
        <w:rPr>
          <w:rFonts w:ascii="Times New Roman" w:hAnsi="Times New Roman"/>
          <w:sz w:val="24"/>
        </w:rPr>
        <w:t>Figure 6: AEGIS analytical patterns</w:t>
        <w:tab/>
        <w:t>19</w:t>
      </w:r>
    </w:p>
    <w:p>
      <w:pPr>
        <w:spacing w:after="80" w:before="0" w:line="360" w:lineRule="auto"/>
        <w:jc w:val="both"/>
        <w:tabs>
          <w:tab w:val="right" w:leader="dot" w:pos="8640"/>
        </w:tabs>
      </w:pPr>
      <w:r>
        <w:rPr>
          <w:rFonts w:ascii="Times New Roman" w:hAnsi="Times New Roman"/>
          <w:sz w:val="24"/>
        </w:rPr>
        <w:t>Figure 7: Two-layer SQL safety defence</w:t>
        <w:tab/>
        <w:t>20</w:t>
      </w:r>
    </w:p>
    <w:p>
      <w:pPr>
        <w:spacing w:after="80" w:before="0" w:line="360" w:lineRule="auto"/>
        <w:jc w:val="both"/>
        <w:tabs>
          <w:tab w:val="right" w:leader="dot" w:pos="8640"/>
        </w:tabs>
      </w:pPr>
      <w:r>
        <w:rPr>
          <w:rFonts w:ascii="Times New Roman" w:hAnsi="Times New Roman"/>
          <w:sz w:val="24"/>
        </w:rPr>
        <w:t>Figure 8: Widget lifecycle and refresh model</w:t>
        <w:tab/>
        <w:t>22</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10</w:t>
      </w:r>
    </w:p>
    <w:p>
      <w:pPr>
        <w:spacing w:after="80" w:before="0" w:line="360" w:lineRule="auto"/>
        <w:jc w:val="both"/>
        <w:tabs>
          <w:tab w:val="right" w:leader="dot" w:pos="8640"/>
        </w:tabs>
      </w:pPr>
      <w:r>
        <w:rPr>
          <w:rFonts w:ascii="Times New Roman" w:hAnsi="Times New Roman"/>
          <w:sz w:val="24"/>
        </w:rPr>
        <w:t>Table 3.2: Semantic layer object model</w:t>
        <w:tab/>
        <w:t>16</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24</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Evaluation metric distinction</w:t>
        <w:tab/>
        <w:t>29</w:t>
      </w:r>
    </w:p>
    <w:p>
      <w:pPr>
        <w:spacing w:after="80" w:before="0" w:line="360" w:lineRule="auto"/>
        <w:jc w:val="both"/>
        <w:tabs>
          <w:tab w:val="right" w:leader="dot" w:pos="8640"/>
        </w:tabs>
      </w:pPr>
      <w:r>
        <w:rPr>
          <w:rFonts w:ascii="Times New Roman" w:hAnsi="Times New Roman"/>
          <w:sz w:val="24"/>
        </w:rPr>
        <w:t>Table 5.7: Template-only baseline summary</w:t>
        <w:tab/>
        <w:t>30</w:t>
      </w:r>
    </w:p>
    <w:p>
      <w:pPr>
        <w:spacing w:after="80" w:before="0" w:line="360" w:lineRule="auto"/>
        <w:jc w:val="both"/>
        <w:tabs>
          <w:tab w:val="right" w:leader="dot" w:pos="8640"/>
        </w:tabs>
      </w:pPr>
      <w:r>
        <w:rPr>
          <w:rFonts w:ascii="Times New Roman" w:hAnsi="Times New Roman"/>
          <w:sz w:val="24"/>
        </w:rPr>
        <w:t>Table 5.8: AEGIS vs. direct LLM-to-SQL</w:t>
        <w:tab/>
        <w:t>31</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rigor: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333375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333375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draft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methodology and system design.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i/>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i/>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i/>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