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160" w:before="0" w:line="360" w:lineRule="auto"/>
        <w:jc w:val="center"/>
      </w:pPr>
      <w:r>
        <w:rPr>
          <w:rFonts w:ascii="Times New Roman" w:hAnsi="Times New Roman"/>
          <w:b/>
          <w:i w:val="0"/>
          <w:sz w:val="24"/>
        </w:rPr>
        <w:t>Prepared By</w:t>
      </w:r>
    </w:p>
    <w:p>
      <w:pPr>
        <w:spacing w:after="40" w:before="0" w:line="360" w:lineRule="auto"/>
        <w:jc w:val="center"/>
      </w:pPr>
      <w:r>
        <w:rPr>
          <w:rFonts w:ascii="Times New Roman" w:hAnsi="Times New Roman"/>
          <w:b/>
          <w:i w:val="0"/>
          <w:sz w:val="26"/>
        </w:rPr>
        <w:t>Md. Riaz</w:t>
      </w:r>
    </w:p>
    <w:p>
      <w:pPr>
        <w:spacing w:after="40" w:before="0" w:line="360" w:lineRule="auto"/>
        <w:jc w:val="center"/>
      </w:pPr>
      <w:r>
        <w:rPr>
          <w:rFonts w:ascii="Times New Roman" w:hAnsi="Times New Roman"/>
          <w:b w:val="0"/>
          <w:i w:val="0"/>
          <w:sz w:val="24"/>
        </w:rPr>
        <w:t>ID: 0322310105101024</w:t>
      </w:r>
    </w:p>
    <w:p>
      <w:pPr>
        <w:spacing w:after="40" w:before="0" w:line="360" w:lineRule="auto"/>
        <w:jc w:val="center"/>
      </w:pPr>
      <w:r>
        <w:rPr>
          <w:rFonts w:ascii="Times New Roman" w:hAnsi="Times New Roman"/>
          <w:b w:val="0"/>
          <w:i w:val="0"/>
          <w:sz w:val="24"/>
        </w:rPr>
        <w:t>Program: B.Sc. in Computer Science &amp; Engineering</w:t>
      </w:r>
    </w:p>
    <w:p>
      <w:pPr>
        <w:spacing w:after="40" w:before="0" w:line="360" w:lineRule="auto"/>
        <w:jc w:val="center"/>
      </w:pPr>
      <w:r>
        <w:rPr>
          <w:rFonts w:ascii="Times New Roman" w:hAnsi="Times New Roman"/>
          <w:b w:val="0"/>
          <w:i w:val="0"/>
          <w:sz w:val="24"/>
        </w:rPr>
        <w:t>Semester: 8th Semester</w:t>
      </w:r>
    </w:p>
    <w:p>
      <w:pPr>
        <w:spacing w:after="480" w:before="0" w:line="360" w:lineRule="auto"/>
        <w:jc w:val="center"/>
      </w:pPr>
      <w:r>
        <w:rPr>
          <w:rFonts w:ascii="Times New Roman" w:hAnsi="Times New Roman"/>
          <w:b w:val="0"/>
          <w:i w:val="0"/>
          <w:sz w:val="24"/>
        </w:rPr>
        <w:t>Session: ____________________</w:t>
      </w:r>
    </w:p>
    <w:p>
      <w:pPr>
        <w:spacing w:after="160" w:before="0" w:line="360" w:lineRule="auto"/>
        <w:jc w:val="center"/>
      </w:pPr>
      <w:r>
        <w:rPr>
          <w:rFonts w:ascii="Times New Roman" w:hAnsi="Times New Roman"/>
          <w:b/>
          <w:i w:val="0"/>
          <w:sz w:val="24"/>
        </w:rPr>
        <w:t>Under the Supervision of</w:t>
      </w:r>
    </w:p>
    <w:p>
      <w:pPr>
        <w:spacing w:after="40" w:before="0" w:line="360" w:lineRule="auto"/>
        <w:jc w:val="center"/>
      </w:pPr>
      <w:r>
        <w:rPr>
          <w:rFonts w:ascii="Times New Roman" w:hAnsi="Times New Roman"/>
          <w:b/>
          <w:i w:val="0"/>
          <w:sz w:val="26"/>
        </w:rPr>
        <w:t>Mst. Sahela Rahman</w:t>
      </w:r>
    </w:p>
    <w:p>
      <w:pPr>
        <w:spacing w:after="40" w:before="0" w:line="360" w:lineRule="auto"/>
        <w:jc w:val="center"/>
      </w:pPr>
      <w:r>
        <w:rPr>
          <w:rFonts w:ascii="Times New Roman" w:hAnsi="Times New Roman"/>
          <w:b w:val="0"/>
          <w:i w:val="0"/>
          <w:sz w:val="24"/>
        </w:rPr>
        <w:t>Designation: Lecturer</w:t>
      </w:r>
    </w:p>
    <w:p>
      <w:pPr>
        <w:spacing w:after="40" w:before="0" w:line="360" w:lineRule="auto"/>
        <w:jc w:val="center"/>
      </w:pPr>
      <w:r>
        <w:rPr>
          <w:rFonts w:ascii="Times New Roman" w:hAnsi="Times New Roman"/>
          <w:b w:val="0"/>
          <w:i w:val="0"/>
          <w:sz w:val="24"/>
        </w:rPr>
        <w:t>Department of Computer Science &amp; Engineering</w:t>
      </w:r>
    </w:p>
    <w:p>
      <w:pPr>
        <w:spacing w:after="560" w:before="0" w:line="360" w:lineRule="auto"/>
        <w:jc w:val="center"/>
      </w:pPr>
      <w:r>
        <w:rPr>
          <w:rFonts w:ascii="Times New Roman" w:hAnsi="Times New Roman"/>
          <w:b w:val="0"/>
          <w:i w:val="0"/>
          <w:sz w:val="24"/>
        </w:rPr>
        <w:t>Pundra University of Science &amp; Technology</w:t>
      </w:r>
    </w:p>
    <w:p>
      <w:pPr>
        <w:spacing w:after="0" w:before="0" w:line="360" w:lineRule="auto"/>
        <w:jc w:val="center"/>
      </w:pPr>
      <w:r>
        <w:rPr>
          <w:rFonts w:ascii="Times New Roman" w:hAnsi="Times New Roman"/>
          <w:b w:val="0"/>
          <w:i w:val="0"/>
          <w:sz w:val="24"/>
        </w:rPr>
        <w:t>Date of Submission: ____________________</w:t>
      </w:r>
    </w:p>
    <w:p>
      <w:r>
        <w:br w:type="page"/>
      </w:r>
    </w:p>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40" w:before="0" w:line="360" w:lineRule="auto"/>
        <w:jc w:val="center"/>
      </w:pPr>
      <w:r>
        <w:rPr>
          <w:rFonts w:ascii="Times New Roman" w:hAnsi="Times New Roman"/>
          <w:b w:val="0"/>
          <w:i w:val="0"/>
          <w:sz w:val="24"/>
        </w:rPr>
        <w:t>Submitted to</w:t>
      </w:r>
    </w:p>
    <w:p>
      <w:pPr>
        <w:spacing w:after="40" w:before="0" w:line="360" w:lineRule="auto"/>
        <w:jc w:val="center"/>
      </w:pPr>
      <w:r>
        <w:rPr>
          <w:rFonts w:ascii="Times New Roman" w:hAnsi="Times New Roman"/>
          <w:b w:val="0"/>
          <w:i w:val="0"/>
          <w:sz w:val="24"/>
        </w:rPr>
        <w:t>Department of Computer Science &amp; Engineering</w:t>
      </w:r>
    </w:p>
    <w:p>
      <w:pPr>
        <w:spacing w:after="800" w:before="0" w:line="360" w:lineRule="auto"/>
        <w:jc w:val="center"/>
      </w:pPr>
      <w:r>
        <w:rPr>
          <w:rFonts w:ascii="Times New Roman" w:hAnsi="Times New Roman"/>
          <w:b w:val="0"/>
          <w:i w:val="0"/>
          <w:sz w:val="24"/>
        </w:rPr>
        <w:t>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Supervisor Signature</w:t>
      </w:r>
    </w:p>
    <w:p>
      <w:pPr>
        <w:spacing w:after="40" w:before="0" w:line="360" w:lineRule="auto"/>
        <w:jc w:val="both"/>
      </w:pPr>
      <w:r>
        <w:rPr>
          <w:rFonts w:ascii="Times New Roman" w:hAnsi="Times New Roman"/>
          <w:b w:val="0"/>
          <w:i w:val="0"/>
          <w:sz w:val="24"/>
        </w:rPr>
        <w:t>Mst. Sahela Rahman</w:t>
      </w:r>
    </w:p>
    <w:p>
      <w:pPr>
        <w:spacing w:after="800" w:before="0" w:line="360" w:lineRule="auto"/>
        <w:jc w:val="both"/>
      </w:pPr>
      <w:r>
        <w:rPr>
          <w:rFonts w:ascii="Times New Roman" w:hAnsi="Times New Roman"/>
          <w:b w:val="0"/>
          <w:i w:val="0"/>
          <w:sz w:val="22"/>
        </w:rPr>
        <w:t>Department of Computer Science &amp; Engineering, 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Student Signature</w:t>
      </w:r>
    </w:p>
    <w:p>
      <w:pPr>
        <w:spacing w:after="0" w:before="0" w:line="360" w:lineRule="auto"/>
        <w:jc w:val="both"/>
      </w:pPr>
      <w:r>
        <w:rPr>
          <w:rFonts w:ascii="Times New Roman" w:hAnsi="Times New Roman"/>
          <w:b w:val="0"/>
          <w:i w:val="0"/>
          <w:sz w:val="24"/>
        </w:rPr>
        <w:t>Md. Riaz, ID: 0322310105101024</w:t>
      </w:r>
    </w:p>
    <w:p>
      <w:r>
        <w:br w:type="page"/>
      </w: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160" w:before="0" w:line="360" w:lineRule="auto"/>
        <w:jc w:val="center"/>
      </w:pPr>
      <w:r>
        <w:rPr>
          <w:rFonts w:ascii="Times New Roman" w:hAnsi="Times New Roman"/>
          <w:b w:val="0"/>
          <w:i w:val="0"/>
          <w:sz w:val="24"/>
        </w:rPr>
        <w:t>This thesis titled</w:t>
      </w:r>
    </w:p>
    <w:p>
      <w:pPr>
        <w:spacing w:after="160" w:before="0" w:line="312" w:lineRule="auto"/>
        <w:jc w:val="center"/>
      </w:pPr>
      <w:r>
        <w:rPr>
          <w:rFonts w:ascii="Times New Roman" w:hAnsi="Times New Roman"/>
          <w:b/>
          <w:i w:val="0"/>
          <w:sz w:val="26"/>
        </w:rPr>
        <w:t>"AEGIS: A Constraint-Based Architecture for Safe LLM-Assisted Natural Language Analytics"</w:t>
      </w:r>
    </w:p>
    <w:p>
      <w:pPr>
        <w:spacing w:after="800" w:before="0" w:line="360" w:lineRule="auto"/>
        <w:jc w:val="center"/>
      </w:pPr>
      <w:r>
        <w:rPr>
          <w:rFonts w:ascii="Times New Roman" w:hAnsi="Times New Roman"/>
          <w:b w:val="0"/>
          <w:i w:val="0"/>
          <w:sz w:val="24"/>
        </w:rPr>
        <w:t>submitted by Md. Riaz to the Department of Computer Science &amp; Engineering, Pundra University of Science &amp; Technology, has been examined and is hereby approved as a partial fulfillment of the requirements for the degree of Bachelor of Science in Computer Science and Engineering.</w:t>
      </w:r>
    </w:p>
    <w:p>
      <w:pPr>
        <w:spacing w:after="600" w:before="0" w:line="360" w:lineRule="auto"/>
        <w:jc w:val="both"/>
      </w:pPr>
      <w:r>
        <w:rPr>
          <w:rFonts w:ascii="Times New Roman" w:hAnsi="Times New Roman"/>
          <w:b/>
          <w:i w:val="0"/>
          <w:sz w:val="24"/>
        </w:rPr>
        <w:t>Supervisor:</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Mst. Sahela Rahman</w:t>
      </w:r>
    </w:p>
    <w:p>
      <w:pPr>
        <w:spacing w:after="40" w:before="0" w:line="360" w:lineRule="auto"/>
        <w:jc w:val="both"/>
      </w:pPr>
      <w:r>
        <w:rPr>
          <w:rFonts w:ascii="Times New Roman" w:hAnsi="Times New Roman"/>
          <w:b w:val="0"/>
          <w:i w:val="0"/>
          <w:sz w:val="24"/>
        </w:rPr>
        <w:t>Department of Computer Science &amp; Engineering</w:t>
      </w:r>
    </w:p>
    <w:p>
      <w:pPr>
        <w:spacing w:after="720" w:before="0" w:line="360" w:lineRule="auto"/>
        <w:jc w:val="both"/>
      </w:pPr>
      <w:r>
        <w:rPr>
          <w:rFonts w:ascii="Times New Roman" w:hAnsi="Times New Roman"/>
          <w:b w:val="0"/>
          <w:i w:val="0"/>
          <w:sz w:val="24"/>
        </w:rPr>
        <w:t>Pundra University of Science &amp; Technology</w:t>
      </w:r>
    </w:p>
    <w:p>
      <w:pPr>
        <w:spacing w:after="600" w:before="0" w:line="360" w:lineRule="auto"/>
        <w:jc w:val="both"/>
      </w:pPr>
      <w:r>
        <w:rPr>
          <w:rFonts w:ascii="Times New Roman" w:hAnsi="Times New Roman"/>
          <w:b/>
          <w:i w:val="0"/>
          <w:sz w:val="24"/>
        </w:rPr>
        <w:t>Examiner:</w:t>
      </w:r>
    </w:p>
    <w:p>
      <w:pPr>
        <w:spacing w:after="40" w:before="0" w:line="360" w:lineRule="auto"/>
        <w:jc w:val="both"/>
      </w:pPr>
      <w:r>
        <w:rPr>
          <w:rFonts w:ascii="Times New Roman" w:hAnsi="Times New Roman"/>
          <w:b w:val="0"/>
          <w:i w:val="0"/>
          <w:sz w:val="24"/>
        </w:rPr>
        <w:t>____________________________</w:t>
      </w:r>
    </w:p>
    <w:p>
      <w:pPr>
        <w:spacing w:after="0" w:before="0" w:line="360" w:lineRule="auto"/>
        <w:jc w:val="both"/>
      </w:pPr>
      <w:r>
        <w:rPr>
          <w:rFonts w:ascii="Times New Roman" w:hAnsi="Times New Roman"/>
          <w:b w:val="0"/>
          <w:i w:val="0"/>
          <w:sz w:val="24"/>
        </w:rPr>
        <w:t>Name: 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of the prior work surveyed in Chapter 2 of this thesis. Their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List of Figures</w:t>
        <w:tab/>
        <w:t>vi</w:t>
      </w:r>
    </w:p>
    <w:p>
      <w:pPr>
        <w:spacing w:after="160" w:before="80" w:line="360" w:lineRule="auto"/>
        <w:ind w:left="0"/>
        <w:jc w:val="both"/>
        <w:tabs>
          <w:tab w:val="right" w:leader="dot" w:pos="8640"/>
        </w:tabs>
      </w:pPr>
      <w:r>
        <w:rPr>
          <w:rFonts w:ascii="Times New Roman" w:hAnsi="Times New Roman"/>
          <w:b/>
          <w:sz w:val="24"/>
        </w:rPr>
        <w:t>List of Tables</w:t>
        <w:tab/>
        <w:t>vii</w:t>
      </w:r>
    </w:p>
    <w:p>
      <w:pPr>
        <w:spacing w:after="160" w:before="80" w:line="360" w:lineRule="auto"/>
        <w:ind w:left="0"/>
        <w:jc w:val="both"/>
        <w:tabs>
          <w:tab w:val="right" w:leader="dot" w:pos="8640"/>
        </w:tabs>
      </w:pPr>
      <w:r>
        <w:rPr>
          <w:rFonts w:ascii="Times New Roman" w:hAnsi="Times New Roman"/>
          <w:b/>
          <w:sz w:val="24"/>
        </w:rPr>
        <w:t>Abstract</w:t>
        <w:tab/>
        <w:t>1</w:t>
      </w:r>
    </w:p>
    <w:p>
      <w:pPr>
        <w:spacing w:after="160" w:before="80" w:line="360" w:lineRule="auto"/>
        <w:ind w:left="0"/>
        <w:jc w:val="both"/>
        <w:tabs>
          <w:tab w:val="right" w:leader="dot" w:pos="8640"/>
        </w:tabs>
      </w:pPr>
      <w:r>
        <w:rPr>
          <w:rFonts w:ascii="Times New Roman" w:hAnsi="Times New Roman"/>
          <w:b/>
          <w:sz w:val="24"/>
        </w:rPr>
        <w:t>Chapter 1: Introduction</w:t>
        <w:tab/>
        <w:t>2</w:t>
      </w:r>
    </w:p>
    <w:p>
      <w:pPr>
        <w:spacing w:after="80" w:before="0" w:line="360" w:lineRule="auto"/>
        <w:ind w:left="432"/>
        <w:jc w:val="both"/>
        <w:tabs>
          <w:tab w:val="right" w:leader="dot" w:pos="8640"/>
        </w:tabs>
      </w:pPr>
      <w:r>
        <w:rPr>
          <w:rFonts w:ascii="Times New Roman" w:hAnsi="Times New Roman"/>
          <w:b w:val="0"/>
          <w:sz w:val="23"/>
        </w:rPr>
        <w:t>1.1 Background</w:t>
        <w:tab/>
        <w:t>2</w:t>
      </w:r>
    </w:p>
    <w:p>
      <w:pPr>
        <w:spacing w:after="80" w:before="0" w:line="360" w:lineRule="auto"/>
        <w:ind w:left="432"/>
        <w:jc w:val="both"/>
        <w:tabs>
          <w:tab w:val="right" w:leader="dot" w:pos="8640"/>
        </w:tabs>
      </w:pPr>
      <w:r>
        <w:rPr>
          <w:rFonts w:ascii="Times New Roman" w:hAnsi="Times New Roman"/>
          <w:b w:val="0"/>
          <w:sz w:val="23"/>
        </w:rPr>
        <w:t>1.2 Problem Statement</w:t>
        <w:tab/>
        <w:t>3</w:t>
      </w:r>
    </w:p>
    <w:p>
      <w:pPr>
        <w:spacing w:after="80" w:before="0" w:line="360" w:lineRule="auto"/>
        <w:ind w:left="432"/>
        <w:jc w:val="both"/>
        <w:tabs>
          <w:tab w:val="right" w:leader="dot" w:pos="8640"/>
        </w:tabs>
      </w:pPr>
      <w:r>
        <w:rPr>
          <w:rFonts w:ascii="Times New Roman" w:hAnsi="Times New Roman"/>
          <w:b w:val="0"/>
          <w:sz w:val="23"/>
        </w:rPr>
        <w:t>1.3 Research Novelty and Motivation</w:t>
        <w:tab/>
        <w:t>4</w:t>
      </w:r>
    </w:p>
    <w:p>
      <w:pPr>
        <w:spacing w:after="80" w:before="0" w:line="360" w:lineRule="auto"/>
        <w:ind w:left="432"/>
        <w:jc w:val="both"/>
        <w:tabs>
          <w:tab w:val="right" w:leader="dot" w:pos="8640"/>
        </w:tabs>
      </w:pPr>
      <w:r>
        <w:rPr>
          <w:rFonts w:ascii="Times New Roman" w:hAnsi="Times New Roman"/>
          <w:b w:val="0"/>
          <w:sz w:val="23"/>
        </w:rPr>
        <w:t>1.4 Objectives and Contributions</w:t>
        <w:tab/>
        <w:t>5</w:t>
      </w:r>
    </w:p>
    <w:p>
      <w:pPr>
        <w:spacing w:after="80" w:before="0" w:line="360" w:lineRule="auto"/>
        <w:ind w:left="432"/>
        <w:jc w:val="both"/>
        <w:tabs>
          <w:tab w:val="right" w:leader="dot" w:pos="8640"/>
        </w:tabs>
      </w:pPr>
      <w:r>
        <w:rPr>
          <w:rFonts w:ascii="Times New Roman" w:hAnsi="Times New Roman"/>
          <w:b w:val="0"/>
          <w:sz w:val="23"/>
        </w:rPr>
        <w:t>1.5 Organization of the Thesis</w:t>
        <w:tab/>
        <w:t>6</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7</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7</w:t>
      </w:r>
    </w:p>
    <w:p>
      <w:pPr>
        <w:spacing w:after="80" w:before="0" w:line="360" w:lineRule="auto"/>
        <w:ind w:left="432"/>
        <w:jc w:val="both"/>
        <w:tabs>
          <w:tab w:val="right" w:leader="dot" w:pos="8640"/>
        </w:tabs>
      </w:pPr>
      <w:r>
        <w:rPr>
          <w:rFonts w:ascii="Times New Roman" w:hAnsi="Times New Roman"/>
          <w:b w:val="0"/>
          <w:sz w:val="23"/>
        </w:rPr>
        <w:t>2.2 Neural Text-to-SQL and Benchmark Progress</w:t>
        <w:tab/>
        <w:t>9</w:t>
      </w:r>
    </w:p>
    <w:p>
      <w:pPr>
        <w:spacing w:after="80" w:before="0" w:line="360" w:lineRule="auto"/>
        <w:ind w:left="432"/>
        <w:jc w:val="both"/>
        <w:tabs>
          <w:tab w:val="right" w:leader="dot" w:pos="8640"/>
        </w:tabs>
      </w:pPr>
      <w:r>
        <w:rPr>
          <w:rFonts w:ascii="Times New Roman" w:hAnsi="Times New Roman"/>
          <w:b w:val="0"/>
          <w:sz w:val="23"/>
        </w:rPr>
        <w:t>2.3 Constrained Decoding and Recent NL-to-SQL Systems</w:t>
        <w:tab/>
        <w:t>11</w:t>
      </w:r>
    </w:p>
    <w:p>
      <w:pPr>
        <w:spacing w:after="80" w:before="0" w:line="360" w:lineRule="auto"/>
        <w:ind w:left="432"/>
        <w:jc w:val="both"/>
        <w:tabs>
          <w:tab w:val="right" w:leader="dot" w:pos="8640"/>
        </w:tabs>
      </w:pPr>
      <w:r>
        <w:rPr>
          <w:rFonts w:ascii="Times New Roman" w:hAnsi="Times New Roman"/>
          <w:b w:val="0"/>
          <w:sz w:val="23"/>
        </w:rPr>
        <w:t>2.4 Natural Language for Visualization</w:t>
        <w:tab/>
        <w:t>13</w:t>
      </w:r>
    </w:p>
    <w:p>
      <w:pPr>
        <w:spacing w:after="80" w:before="0" w:line="360" w:lineRule="auto"/>
        <w:ind w:left="432"/>
        <w:jc w:val="both"/>
        <w:tabs>
          <w:tab w:val="right" w:leader="dot" w:pos="8640"/>
        </w:tabs>
      </w:pPr>
      <w:r>
        <w:rPr>
          <w:rFonts w:ascii="Times New Roman" w:hAnsi="Times New Roman"/>
          <w:b w:val="0"/>
          <w:sz w:val="23"/>
        </w:rPr>
        <w:t>2.5 Dashboard Generation</w:t>
        <w:tab/>
        <w:t>14</w:t>
      </w:r>
    </w:p>
    <w:p>
      <w:pPr>
        <w:spacing w:after="80" w:before="0" w:line="360" w:lineRule="auto"/>
        <w:ind w:left="432"/>
        <w:jc w:val="both"/>
        <w:tabs>
          <w:tab w:val="right" w:leader="dot" w:pos="8640"/>
        </w:tabs>
      </w:pPr>
      <w:r>
        <w:rPr>
          <w:rFonts w:ascii="Times New Roman" w:hAnsi="Times New Roman"/>
          <w:b w:val="0"/>
          <w:sz w:val="23"/>
        </w:rPr>
        <w:t>2.6 Semantic Layers and Controlled Analytics</w:t>
        <w:tab/>
        <w:t>16</w:t>
      </w:r>
    </w:p>
    <w:p>
      <w:pPr>
        <w:spacing w:after="80" w:before="0" w:line="360" w:lineRule="auto"/>
        <w:ind w:left="432"/>
        <w:jc w:val="both"/>
        <w:tabs>
          <w:tab w:val="right" w:leader="dot" w:pos="8640"/>
        </w:tabs>
      </w:pPr>
      <w:r>
        <w:rPr>
          <w:rFonts w:ascii="Times New Roman" w:hAnsi="Times New Roman"/>
          <w:b w:val="0"/>
          <w:sz w:val="23"/>
        </w:rPr>
        <w:t>2.7 AI-Powered Dashboard Adoption, Governance, and Conversational BI</w:t>
        <w:tab/>
        <w:t>17</w:t>
      </w:r>
    </w:p>
    <w:p>
      <w:pPr>
        <w:spacing w:after="80" w:before="0" w:line="360" w:lineRule="auto"/>
        <w:ind w:left="432"/>
        <w:jc w:val="both"/>
        <w:tabs>
          <w:tab w:val="right" w:leader="dot" w:pos="8640"/>
        </w:tabs>
      </w:pPr>
      <w:r>
        <w:rPr>
          <w:rFonts w:ascii="Times New Roman" w:hAnsi="Times New Roman"/>
          <w:b w:val="0"/>
          <w:sz w:val="23"/>
        </w:rPr>
        <w:t>2.8 Comparative Summary</w:t>
        <w:tab/>
        <w:t>19</w:t>
      </w:r>
    </w:p>
    <w:p>
      <w:pPr>
        <w:spacing w:after="80" w:before="0" w:line="360" w:lineRule="auto"/>
        <w:ind w:left="432"/>
        <w:jc w:val="both"/>
        <w:tabs>
          <w:tab w:val="right" w:leader="dot" w:pos="8640"/>
        </w:tabs>
      </w:pPr>
      <w:r>
        <w:rPr>
          <w:rFonts w:ascii="Times New Roman" w:hAnsi="Times New Roman"/>
          <w:b w:val="0"/>
          <w:sz w:val="23"/>
        </w:rPr>
        <w:t>2.9 Research Gap Analysis</w:t>
        <w:tab/>
        <w:t>20</w:t>
      </w:r>
    </w:p>
    <w:p>
      <w:pPr>
        <w:spacing w:after="160" w:before="80" w:line="360" w:lineRule="auto"/>
        <w:ind w:left="0"/>
        <w:jc w:val="both"/>
        <w:tabs>
          <w:tab w:val="right" w:leader="dot" w:pos="8640"/>
        </w:tabs>
      </w:pPr>
      <w:r>
        <w:rPr>
          <w:rFonts w:ascii="Times New Roman" w:hAnsi="Times New Roman"/>
          <w:b/>
          <w:sz w:val="24"/>
        </w:rPr>
        <w:t>Chapter 3: Methodology</w:t>
        <w:tab/>
        <w:t>21</w:t>
      </w:r>
    </w:p>
    <w:p>
      <w:pPr>
        <w:spacing w:after="80" w:before="0" w:line="360" w:lineRule="auto"/>
        <w:ind w:left="432"/>
        <w:jc w:val="both"/>
        <w:tabs>
          <w:tab w:val="right" w:leader="dot" w:pos="8640"/>
        </w:tabs>
      </w:pPr>
      <w:r>
        <w:rPr>
          <w:rFonts w:ascii="Times New Roman" w:hAnsi="Times New Roman"/>
          <w:b w:val="0"/>
          <w:sz w:val="23"/>
        </w:rPr>
        <w:t>3.1 Research Paradigm</w:t>
        <w:tab/>
        <w:t>21</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22</w:t>
      </w:r>
    </w:p>
    <w:p>
      <w:pPr>
        <w:spacing w:after="80" w:before="0" w:line="360" w:lineRule="auto"/>
        <w:ind w:left="432"/>
        <w:jc w:val="both"/>
        <w:tabs>
          <w:tab w:val="right" w:leader="dot" w:pos="8640"/>
        </w:tabs>
      </w:pPr>
      <w:r>
        <w:rPr>
          <w:rFonts w:ascii="Times New Roman" w:hAnsi="Times New Roman"/>
          <w:b w:val="0"/>
          <w:sz w:val="23"/>
        </w:rPr>
        <w:t>3.3 Design Principles</w:t>
        <w:tab/>
        <w:t>24</w:t>
      </w:r>
    </w:p>
    <w:p>
      <w:pPr>
        <w:spacing w:after="80" w:before="0" w:line="360" w:lineRule="auto"/>
        <w:ind w:left="432"/>
        <w:jc w:val="both"/>
        <w:tabs>
          <w:tab w:val="right" w:leader="dot" w:pos="8640"/>
        </w:tabs>
      </w:pPr>
      <w:r>
        <w:rPr>
          <w:rFonts w:ascii="Times New Roman" w:hAnsi="Times New Roman"/>
          <w:b w:val="0"/>
          <w:sz w:val="23"/>
        </w:rPr>
        <w:t>3.4 Formal Model</w:t>
        <w:tab/>
        <w:t>24</w:t>
      </w:r>
    </w:p>
    <w:p>
      <w:pPr>
        <w:spacing w:after="80" w:before="0" w:line="360" w:lineRule="auto"/>
        <w:ind w:left="432"/>
        <w:jc w:val="both"/>
        <w:tabs>
          <w:tab w:val="right" w:leader="dot" w:pos="8640"/>
        </w:tabs>
      </w:pPr>
      <w:r>
        <w:rPr>
          <w:rFonts w:ascii="Times New Roman" w:hAnsi="Times New Roman"/>
          <w:b w:val="0"/>
          <w:sz w:val="23"/>
        </w:rPr>
        <w:t>3.5 Threat Model</w:t>
        <w:tab/>
        <w:t>26</w:t>
      </w:r>
    </w:p>
    <w:p>
      <w:pPr>
        <w:spacing w:after="80" w:before="0" w:line="360" w:lineRule="auto"/>
        <w:ind w:left="432"/>
        <w:jc w:val="both"/>
        <w:tabs>
          <w:tab w:val="right" w:leader="dot" w:pos="8640"/>
        </w:tabs>
      </w:pPr>
      <w:r>
        <w:rPr>
          <w:rFonts w:ascii="Times New Roman" w:hAnsi="Times New Roman"/>
          <w:b w:val="0"/>
          <w:sz w:val="23"/>
        </w:rPr>
        <w:t>3.6 System Architecture</w:t>
        <w:tab/>
        <w:t>28</w:t>
      </w:r>
    </w:p>
    <w:p>
      <w:pPr>
        <w:spacing w:after="80" w:before="0" w:line="360" w:lineRule="auto"/>
        <w:ind w:left="432"/>
        <w:jc w:val="both"/>
        <w:tabs>
          <w:tab w:val="right" w:leader="dot" w:pos="8640"/>
        </w:tabs>
      </w:pPr>
      <w:r>
        <w:rPr>
          <w:rFonts w:ascii="Times New Roman" w:hAnsi="Times New Roman"/>
          <w:b w:val="0"/>
          <w:sz w:val="23"/>
        </w:rPr>
        <w:t>3.7 Semantic Layer Design</w:t>
        <w:tab/>
        <w:t>29</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31</w:t>
      </w:r>
    </w:p>
    <w:p>
      <w:pPr>
        <w:spacing w:after="80" w:before="0" w:line="360" w:lineRule="auto"/>
        <w:ind w:left="432"/>
        <w:jc w:val="both"/>
        <w:tabs>
          <w:tab w:val="right" w:leader="dot" w:pos="8640"/>
        </w:tabs>
      </w:pPr>
      <w:r>
        <w:rPr>
          <w:rFonts w:ascii="Times New Roman" w:hAnsi="Times New Roman"/>
          <w:b w:val="0"/>
          <w:sz w:val="23"/>
        </w:rPr>
        <w:t>3.9 Safe Query Compiler</w:t>
        <w:tab/>
        <w:t>32</w:t>
      </w:r>
    </w:p>
    <w:p>
      <w:pPr>
        <w:spacing w:after="80" w:before="0" w:line="360" w:lineRule="auto"/>
        <w:ind w:left="432"/>
        <w:jc w:val="both"/>
        <w:tabs>
          <w:tab w:val="right" w:leader="dot" w:pos="8640"/>
        </w:tabs>
      </w:pPr>
      <w:r>
        <w:rPr>
          <w:rFonts w:ascii="Times New Roman" w:hAnsi="Times New Roman"/>
          <w:b w:val="0"/>
          <w:sz w:val="23"/>
        </w:rPr>
        <w:t>3.10 Visualization Selector</w:t>
        <w:tab/>
        <w:t>34</w:t>
      </w:r>
    </w:p>
    <w:p>
      <w:pPr>
        <w:spacing w:after="80" w:before="0" w:line="360" w:lineRule="auto"/>
        <w:ind w:left="432"/>
        <w:jc w:val="both"/>
        <w:tabs>
          <w:tab w:val="right" w:leader="dot" w:pos="8640"/>
        </w:tabs>
      </w:pPr>
      <w:r>
        <w:rPr>
          <w:rFonts w:ascii="Times New Roman" w:hAnsi="Times New Roman"/>
          <w:b w:val="0"/>
          <w:sz w:val="23"/>
        </w:rPr>
        <w:t>3.11 Widget Persistence and Reuse</w:t>
        <w:tab/>
        <w:t>35</w:t>
      </w:r>
    </w:p>
    <w:p>
      <w:pPr>
        <w:spacing w:after="160" w:before="80" w:line="360" w:lineRule="auto"/>
        <w:ind w:left="0"/>
        <w:jc w:val="both"/>
        <w:tabs>
          <w:tab w:val="right" w:leader="dot" w:pos="8640"/>
        </w:tabs>
      </w:pPr>
      <w:r>
        <w:rPr>
          <w:rFonts w:ascii="Times New Roman" w:hAnsi="Times New Roman"/>
          <w:b/>
          <w:sz w:val="24"/>
        </w:rPr>
        <w:t>Chapter 4: Experimental Work</w:t>
        <w:tab/>
        <w:t>36</w:t>
      </w:r>
    </w:p>
    <w:p>
      <w:pPr>
        <w:spacing w:after="80" w:before="0" w:line="360" w:lineRule="auto"/>
        <w:ind w:left="432"/>
        <w:jc w:val="both"/>
        <w:tabs>
          <w:tab w:val="right" w:leader="dot" w:pos="8640"/>
        </w:tabs>
      </w:pPr>
      <w:r>
        <w:rPr>
          <w:rFonts w:ascii="Times New Roman" w:hAnsi="Times New Roman"/>
          <w:b w:val="0"/>
          <w:sz w:val="23"/>
        </w:rPr>
        <w:t>4.1 Implementation</w:t>
        <w:tab/>
        <w:t>36</w:t>
      </w:r>
    </w:p>
    <w:p>
      <w:pPr>
        <w:spacing w:after="80" w:before="0" w:line="360" w:lineRule="auto"/>
        <w:ind w:left="432"/>
        <w:jc w:val="both"/>
        <w:tabs>
          <w:tab w:val="right" w:leader="dot" w:pos="8640"/>
        </w:tabs>
      </w:pPr>
      <w:r>
        <w:rPr>
          <w:rFonts w:ascii="Times New Roman" w:hAnsi="Times New Roman"/>
          <w:b w:val="0"/>
          <w:sz w:val="23"/>
        </w:rPr>
        <w:t>4.2 Experimental Environment</w:t>
        <w:tab/>
        <w:t>37</w:t>
      </w:r>
    </w:p>
    <w:p>
      <w:pPr>
        <w:spacing w:after="80" w:before="0" w:line="360" w:lineRule="auto"/>
        <w:ind w:left="432"/>
        <w:jc w:val="both"/>
        <w:tabs>
          <w:tab w:val="right" w:leader="dot" w:pos="8640"/>
        </w:tabs>
      </w:pPr>
      <w:r>
        <w:rPr>
          <w:rFonts w:ascii="Times New Roman" w:hAnsi="Times New Roman"/>
          <w:b w:val="0"/>
          <w:sz w:val="23"/>
        </w:rPr>
        <w:t>4.3 Benchmark Dataset Construction</w:t>
        <w:tab/>
        <w:t>38</w:t>
      </w:r>
    </w:p>
    <w:p>
      <w:pPr>
        <w:spacing w:after="80" w:before="0" w:line="360" w:lineRule="auto"/>
        <w:ind w:left="432"/>
        <w:jc w:val="both"/>
        <w:tabs>
          <w:tab w:val="right" w:leader="dot" w:pos="8640"/>
        </w:tabs>
      </w:pPr>
      <w:r>
        <w:rPr>
          <w:rFonts w:ascii="Times New Roman" w:hAnsi="Times New Roman"/>
          <w:b w:val="0"/>
          <w:sz w:val="23"/>
        </w:rPr>
        <w:t>4.4 Baseline Systems</w:t>
        <w:tab/>
        <w:t>39</w:t>
      </w:r>
    </w:p>
    <w:p>
      <w:pPr>
        <w:spacing w:after="80" w:before="0" w:line="360" w:lineRule="auto"/>
        <w:ind w:left="432"/>
        <w:jc w:val="both"/>
        <w:tabs>
          <w:tab w:val="right" w:leader="dot" w:pos="8640"/>
        </w:tabs>
      </w:pPr>
      <w:r>
        <w:rPr>
          <w:rFonts w:ascii="Times New Roman" w:hAnsi="Times New Roman"/>
          <w:b w:val="0"/>
          <w:sz w:val="23"/>
        </w:rPr>
        <w:t>4.5 Evaluation Procedure</w:t>
        <w:tab/>
        <w:t>40</w:t>
      </w:r>
    </w:p>
    <w:p>
      <w:pPr>
        <w:spacing w:after="160" w:before="80" w:line="360" w:lineRule="auto"/>
        <w:ind w:left="0"/>
        <w:jc w:val="both"/>
        <w:tabs>
          <w:tab w:val="right" w:leader="dot" w:pos="8640"/>
        </w:tabs>
      </w:pPr>
      <w:r>
        <w:rPr>
          <w:rFonts w:ascii="Times New Roman" w:hAnsi="Times New Roman"/>
          <w:b/>
          <w:sz w:val="24"/>
        </w:rPr>
        <w:t>Chapter 5: Results and Discussion</w:t>
        <w:tab/>
        <w:t>41</w:t>
      </w:r>
    </w:p>
    <w:p>
      <w:pPr>
        <w:spacing w:after="80" w:before="0" w:line="360" w:lineRule="auto"/>
        <w:ind w:left="432"/>
        <w:jc w:val="both"/>
        <w:tabs>
          <w:tab w:val="right" w:leader="dot" w:pos="8640"/>
        </w:tabs>
      </w:pPr>
      <w:r>
        <w:rPr>
          <w:rFonts w:ascii="Times New Roman" w:hAnsi="Times New Roman"/>
          <w:b w:val="0"/>
          <w:sz w:val="23"/>
        </w:rPr>
        <w:t>5.1 Intent Parsing Accuracy (RQ1)</w:t>
        <w:tab/>
        <w:t>41</w:t>
      </w:r>
    </w:p>
    <w:p>
      <w:pPr>
        <w:spacing w:after="80" w:before="0" w:line="360" w:lineRule="auto"/>
        <w:ind w:left="432"/>
        <w:jc w:val="both"/>
        <w:tabs>
          <w:tab w:val="right" w:leader="dot" w:pos="8640"/>
        </w:tabs>
      </w:pPr>
      <w:r>
        <w:rPr>
          <w:rFonts w:ascii="Times New Roman" w:hAnsi="Times New Roman"/>
          <w:b w:val="0"/>
          <w:sz w:val="23"/>
        </w:rPr>
        <w:t>5.2 SQL Safety and Execution Validity (RQ2)</w:t>
        <w:tab/>
        <w:t>42</w:t>
      </w:r>
    </w:p>
    <w:p>
      <w:pPr>
        <w:spacing w:after="80" w:before="0" w:line="360" w:lineRule="auto"/>
        <w:ind w:left="432"/>
        <w:jc w:val="both"/>
        <w:tabs>
          <w:tab w:val="right" w:leader="dot" w:pos="8640"/>
        </w:tabs>
      </w:pPr>
      <w:r>
        <w:rPr>
          <w:rFonts w:ascii="Times New Roman" w:hAnsi="Times New Roman"/>
          <w:b w:val="0"/>
          <w:sz w:val="23"/>
        </w:rPr>
        <w:t>5.3 Expressiveness and Ablation Study (RQ3)</w:t>
        <w:tab/>
        <w:t>43</w:t>
      </w:r>
    </w:p>
    <w:p>
      <w:pPr>
        <w:spacing w:after="80" w:before="0" w:line="360" w:lineRule="auto"/>
        <w:ind w:left="432"/>
        <w:jc w:val="both"/>
        <w:tabs>
          <w:tab w:val="right" w:leader="dot" w:pos="8640"/>
        </w:tabs>
      </w:pPr>
      <w:r>
        <w:rPr>
          <w:rFonts w:ascii="Times New Roman" w:hAnsi="Times New Roman"/>
          <w:b w:val="0"/>
          <w:sz w:val="23"/>
        </w:rPr>
        <w:t>5.4 Cross-Schema Generalizability (RQ4)</w:t>
        <w:tab/>
        <w:t>45</w:t>
      </w:r>
    </w:p>
    <w:p>
      <w:pPr>
        <w:spacing w:after="80" w:before="0" w:line="360" w:lineRule="auto"/>
        <w:ind w:left="432"/>
        <w:jc w:val="both"/>
        <w:tabs>
          <w:tab w:val="right" w:leader="dot" w:pos="8640"/>
        </w:tabs>
      </w:pPr>
      <w:r>
        <w:rPr>
          <w:rFonts w:ascii="Times New Roman" w:hAnsi="Times New Roman"/>
          <w:b w:val="0"/>
          <w:sz w:val="23"/>
        </w:rPr>
        <w:t>5.5 Pipeline Latency (RQ5)</w:t>
        <w:tab/>
        <w:t>46</w:t>
      </w:r>
    </w:p>
    <w:p>
      <w:pPr>
        <w:spacing w:after="80" w:before="0" w:line="360" w:lineRule="auto"/>
        <w:ind w:left="432"/>
        <w:jc w:val="both"/>
        <w:tabs>
          <w:tab w:val="right" w:leader="dot" w:pos="8640"/>
        </w:tabs>
      </w:pPr>
      <w:r>
        <w:rPr>
          <w:rFonts w:ascii="Times New Roman" w:hAnsi="Times New Roman"/>
          <w:b w:val="0"/>
          <w:sz w:val="23"/>
        </w:rPr>
        <w:t>5.6 Failure Analysis</w:t>
        <w:tab/>
        <w:t>47</w:t>
      </w:r>
    </w:p>
    <w:p>
      <w:pPr>
        <w:spacing w:after="80" w:before="0" w:line="360" w:lineRule="auto"/>
        <w:ind w:left="432"/>
        <w:jc w:val="both"/>
        <w:tabs>
          <w:tab w:val="right" w:leader="dot" w:pos="8640"/>
        </w:tabs>
      </w:pPr>
      <w:r>
        <w:rPr>
          <w:rFonts w:ascii="Times New Roman" w:hAnsi="Times New Roman"/>
          <w:b w:val="0"/>
          <w:sz w:val="23"/>
        </w:rPr>
        <w:t>5.7 Discussion</w:t>
        <w:tab/>
        <w:t>48</w:t>
      </w:r>
    </w:p>
    <w:p>
      <w:pPr>
        <w:spacing w:after="160" w:before="80" w:line="360" w:lineRule="auto"/>
        <w:ind w:left="0"/>
        <w:jc w:val="both"/>
        <w:tabs>
          <w:tab w:val="right" w:leader="dot" w:pos="8640"/>
        </w:tabs>
      </w:pPr>
      <w:r>
        <w:rPr>
          <w:rFonts w:ascii="Times New Roman" w:hAnsi="Times New Roman"/>
          <w:b/>
          <w:sz w:val="24"/>
        </w:rPr>
        <w:t>Chapter 6: Limitations and Future Work</w:t>
        <w:tab/>
        <w:t>51</w:t>
      </w:r>
    </w:p>
    <w:p>
      <w:pPr>
        <w:spacing w:after="160" w:before="80" w:line="360" w:lineRule="auto"/>
        <w:ind w:left="0"/>
        <w:jc w:val="both"/>
        <w:tabs>
          <w:tab w:val="right" w:leader="dot" w:pos="8640"/>
        </w:tabs>
      </w:pPr>
      <w:r>
        <w:rPr>
          <w:rFonts w:ascii="Times New Roman" w:hAnsi="Times New Roman"/>
          <w:b/>
          <w:sz w:val="24"/>
        </w:rPr>
        <w:t>Chapter 7: Conclusion</w:t>
        <w:tab/>
        <w:t>53</w:t>
      </w:r>
    </w:p>
    <w:p>
      <w:pPr>
        <w:spacing w:after="160" w:before="80" w:line="360" w:lineRule="auto"/>
        <w:ind w:left="0"/>
        <w:jc w:val="both"/>
        <w:tabs>
          <w:tab w:val="right" w:leader="dot" w:pos="8640"/>
        </w:tabs>
      </w:pPr>
      <w:r>
        <w:rPr>
          <w:rFonts w:ascii="Times New Roman" w:hAnsi="Times New Roman"/>
          <w:b/>
          <w:sz w:val="24"/>
        </w:rPr>
        <w:t>References</w:t>
        <w:tab/>
        <w:t>54</w:t>
      </w:r>
    </w:p>
    <w:p>
      <w:r>
        <w:br w:type="page"/>
      </w:r>
    </w:p>
    <w:p>
      <w:pPr>
        <w:spacing w:after="400" w:before="0" w:line="360" w:lineRule="auto"/>
        <w:jc w:val="center"/>
      </w:pPr>
      <w:r>
        <w:rPr>
          <w:rFonts w:ascii="Times New Roman" w:hAnsi="Times New Roman"/>
          <w:b/>
          <w:i w:val="0"/>
          <w:sz w:val="30"/>
        </w:rPr>
        <w:t>List of Figures</w:t>
      </w:r>
    </w:p>
    <w:p>
      <w:pPr>
        <w:spacing w:after="160" w:before="0" w:line="360" w:lineRule="auto"/>
        <w:jc w:val="both"/>
      </w:pPr>
      <w:r>
        <w:rPr>
          <w:rFonts w:ascii="Times New Roman" w:hAnsi="Times New Roman"/>
          <w:b w:val="0"/>
          <w:i w:val="0"/>
          <w:sz w:val="24"/>
        </w:rPr>
        <w:t>Figure 1: AEGIS architecture pipeline (User Request to Dashboard Widget)</w:t>
      </w:r>
    </w:p>
    <w:p>
      <w:pPr>
        <w:spacing w:after="160" w:before="0" w:line="360" w:lineRule="auto"/>
        <w:jc w:val="both"/>
      </w:pPr>
      <w:r>
        <w:rPr>
          <w:rFonts w:ascii="Times New Roman" w:hAnsi="Times New Roman"/>
          <w:b w:val="0"/>
          <w:i w:val="0"/>
          <w:sz w:val="24"/>
        </w:rPr>
        <w:t>Figure 2: Semantic layer modularity - composable blocks vs. free-form SQL generation</w:t>
      </w:r>
    </w:p>
    <w:p>
      <w:pPr>
        <w:spacing w:after="160" w:before="0" w:line="360" w:lineRule="auto"/>
        <w:jc w:val="both"/>
      </w:pPr>
      <w:r>
        <w:rPr>
          <w:rFonts w:ascii="Times New Roman" w:hAnsi="Times New Roman"/>
          <w:b w:val="0"/>
          <w:i w:val="0"/>
          <w:sz w:val="24"/>
        </w:rPr>
        <w:t>Figure 3: Vocabulary injection workflow</w:t>
      </w:r>
    </w:p>
    <w:p>
      <w:pPr>
        <w:spacing w:after="160" w:before="0" w:line="360" w:lineRule="auto"/>
        <w:jc w:val="both"/>
      </w:pPr>
      <w:r>
        <w:rPr>
          <w:rFonts w:ascii="Times New Roman" w:hAnsi="Times New Roman"/>
          <w:b w:val="0"/>
          <w:i w:val="0"/>
          <w:sz w:val="24"/>
        </w:rPr>
        <w:t>Figure 4: Taxonomy of the eleven AEGIS analytical primitives</w:t>
      </w:r>
    </w:p>
    <w:p>
      <w:pPr>
        <w:spacing w:after="160" w:before="0" w:line="360" w:lineRule="auto"/>
        <w:jc w:val="both"/>
      </w:pPr>
      <w:r>
        <w:rPr>
          <w:rFonts w:ascii="Times New Roman" w:hAnsi="Times New Roman"/>
          <w:b w:val="0"/>
          <w:i w:val="0"/>
          <w:sz w:val="24"/>
        </w:rPr>
        <w:t>Figure 5: Illustrative pattern taxonomy from the design-time review</w:t>
      </w:r>
    </w:p>
    <w:p>
      <w:pPr>
        <w:spacing w:after="160" w:before="0" w:line="360" w:lineRule="auto"/>
        <w:jc w:val="both"/>
      </w:pPr>
      <w:r>
        <w:rPr>
          <w:rFonts w:ascii="Times New Roman" w:hAnsi="Times New Roman"/>
          <w:b w:val="0"/>
          <w:i w:val="0"/>
          <w:sz w:val="24"/>
        </w:rPr>
        <w:t>Figure 6: Two-layer SQL safety defence</w:t>
      </w:r>
    </w:p>
    <w:p>
      <w:pPr>
        <w:spacing w:after="160" w:before="0" w:line="360" w:lineRule="auto"/>
        <w:jc w:val="both"/>
      </w:pPr>
      <w:r>
        <w:rPr>
          <w:rFonts w:ascii="Times New Roman" w:hAnsi="Times New Roman"/>
          <w:b w:val="0"/>
          <w:i w:val="0"/>
          <w:sz w:val="24"/>
        </w:rPr>
        <w:t>Figure 7: Widget lifecycle and refresh model</w:t>
      </w:r>
    </w:p>
    <w:p>
      <w:pPr>
        <w:spacing w:after="160" w:before="0" w:line="360" w:lineRule="auto"/>
        <w:jc w:val="both"/>
      </w:pPr>
      <w:r>
        <w:rPr>
          <w:rFonts w:ascii="Times New Roman" w:hAnsi="Times New Roman"/>
          <w:b w:val="0"/>
          <w:i w:val="0"/>
          <w:sz w:val="24"/>
        </w:rPr>
        <w:t>Figure 8: Evaluation results across unsafe-SQL rate, execution validity, and coverage</w:t>
      </w:r>
    </w:p>
    <w:p>
      <w:pPr>
        <w:spacing w:after="160" w:before="0" w:line="360" w:lineRule="auto"/>
        <w:jc w:val="both"/>
      </w:pPr>
      <w:r>
        <w:rPr>
          <w:rFonts w:ascii="Times New Roman" w:hAnsi="Times New Roman"/>
          <w:b w:val="0"/>
          <w:i w:val="0"/>
          <w:sz w:val="24"/>
        </w:rPr>
        <w:t>Figure 9: Ablation study results</w:t>
      </w:r>
    </w:p>
    <w:p>
      <w:pPr>
        <w:spacing w:after="160" w:before="0" w:line="360" w:lineRule="auto"/>
        <w:jc w:val="both"/>
      </w:pPr>
      <w:r>
        <w:rPr>
          <w:rFonts w:ascii="Times New Roman" w:hAnsi="Times New Roman"/>
          <w:b w:val="0"/>
          <w:i w:val="0"/>
          <w:sz w:val="24"/>
        </w:rPr>
        <w:t>Figure 10: Pipeline stage latency breakdown</w:t>
      </w:r>
    </w:p>
    <w:p>
      <w:pPr>
        <w:spacing w:after="160" w:before="0" w:line="360" w:lineRule="auto"/>
        <w:jc w:val="both"/>
      </w:pPr>
      <w:r>
        <w:rPr>
          <w:rFonts w:ascii="Times New Roman" w:hAnsi="Times New Roman"/>
          <w:b w:val="0"/>
          <w:i w:val="0"/>
          <w:sz w:val="24"/>
        </w:rPr>
        <w:t>Figure 11: Coverage-boundary rejection categories (illustrative)</w:t>
      </w:r>
    </w:p>
    <w:p>
      <w:r>
        <w:br w:type="page"/>
      </w:r>
    </w:p>
    <w:p>
      <w:pPr>
        <w:spacing w:after="400" w:before="0" w:line="360" w:lineRule="auto"/>
        <w:jc w:val="center"/>
      </w:pPr>
      <w:r>
        <w:rPr>
          <w:rFonts w:ascii="Times New Roman" w:hAnsi="Times New Roman"/>
          <w:b/>
          <w:i w:val="0"/>
          <w:sz w:val="30"/>
        </w:rPr>
        <w:t>List of Tables</w:t>
      </w:r>
    </w:p>
    <w:p>
      <w:pPr>
        <w:spacing w:after="160" w:before="0" w:line="360" w:lineRule="auto"/>
        <w:jc w:val="both"/>
      </w:pPr>
      <w:r>
        <w:rPr>
          <w:rFonts w:ascii="Times New Roman" w:hAnsi="Times New Roman"/>
          <w:b w:val="0"/>
          <w:i w:val="0"/>
          <w:sz w:val="24"/>
        </w:rPr>
        <w:t>Table 1: Semantic layer object model (metric, dimension, filter, time rule, join path, pattern, permission)</w:t>
      </w:r>
    </w:p>
    <w:p>
      <w:pPr>
        <w:spacing w:after="160" w:before="0" w:line="360" w:lineRule="auto"/>
        <w:jc w:val="both"/>
      </w:pPr>
      <w:r>
        <w:rPr>
          <w:rFonts w:ascii="Times New Roman" w:hAnsi="Times New Roman"/>
          <w:b w:val="0"/>
          <w:i w:val="0"/>
          <w:sz w:val="24"/>
        </w:rPr>
        <w:t>Table 2: The eleven AEGIS analytical patterns with required slots and default visualizations</w:t>
      </w:r>
    </w:p>
    <w:p>
      <w:pPr>
        <w:spacing w:after="160" w:before="0" w:line="360" w:lineRule="auto"/>
        <w:jc w:val="both"/>
      </w:pPr>
      <w:r>
        <w:rPr>
          <w:rFonts w:ascii="Times New Roman" w:hAnsi="Times New Roman"/>
          <w:b w:val="0"/>
          <w:i w:val="0"/>
          <w:sz w:val="24"/>
        </w:rPr>
        <w:t>Table 3: Visualization selector mapping (intent, result shape, chosen chart)</w:t>
      </w:r>
    </w:p>
    <w:p>
      <w:pPr>
        <w:spacing w:after="160" w:before="0" w:line="360" w:lineRule="auto"/>
        <w:jc w:val="both"/>
      </w:pPr>
      <w:r>
        <w:rPr>
          <w:rFonts w:ascii="Times New Roman" w:hAnsi="Times New Roman"/>
          <w:b w:val="0"/>
          <w:i w:val="0"/>
          <w:sz w:val="24"/>
        </w:rPr>
        <w:t>Table 4: Comparative summary of related NL-to-database and NL-to-visualization systems</w:t>
      </w:r>
    </w:p>
    <w:p>
      <w:pPr>
        <w:spacing w:after="160" w:before="0" w:line="360" w:lineRule="auto"/>
        <w:jc w:val="both"/>
      </w:pPr>
      <w:r>
        <w:rPr>
          <w:rFonts w:ascii="Times New Roman" w:hAnsi="Times New Roman"/>
          <w:b w:val="0"/>
          <w:i w:val="0"/>
          <w:sz w:val="24"/>
        </w:rPr>
        <w:t>Table 5: Intent parsing precision, recall, and F1 by intent class (RQ1)</w:t>
      </w:r>
    </w:p>
    <w:p>
      <w:pPr>
        <w:spacing w:after="160" w:before="0" w:line="360" w:lineRule="auto"/>
        <w:jc w:val="both"/>
      </w:pPr>
      <w:r>
        <w:rPr>
          <w:rFonts w:ascii="Times New Roman" w:hAnsi="Times New Roman"/>
          <w:b w:val="0"/>
          <w:i w:val="0"/>
          <w:sz w:val="24"/>
        </w:rPr>
        <w:t>Table 6: SQL safety and execution validity vs. direct LLM-to-SQL baseline (RQ2)</w:t>
      </w:r>
    </w:p>
    <w:p>
      <w:pPr>
        <w:spacing w:after="160" w:before="0" w:line="360" w:lineRule="auto"/>
        <w:jc w:val="both"/>
      </w:pPr>
      <w:r>
        <w:rPr>
          <w:rFonts w:ascii="Times New Roman" w:hAnsi="Times New Roman"/>
          <w:b w:val="0"/>
          <w:i w:val="0"/>
          <w:sz w:val="24"/>
        </w:rPr>
        <w:t>Table 7: Ablation study - execution validity and coverage per configuration</w:t>
      </w:r>
    </w:p>
    <w:p>
      <w:pPr>
        <w:spacing w:after="160" w:before="0" w:line="360" w:lineRule="auto"/>
        <w:jc w:val="both"/>
      </w:pPr>
      <w:r>
        <w:rPr>
          <w:rFonts w:ascii="Times New Roman" w:hAnsi="Times New Roman"/>
          <w:b w:val="0"/>
          <w:i w:val="0"/>
          <w:sz w:val="24"/>
        </w:rPr>
        <w:t>Table 8: Cross-schema generalizability results (nopCommerce vs. WooCommerce)</w:t>
      </w:r>
    </w:p>
    <w:p>
      <w:pPr>
        <w:spacing w:after="160" w:before="0" w:line="360" w:lineRule="auto"/>
        <w:jc w:val="both"/>
      </w:pPr>
      <w:r>
        <w:rPr>
          <w:rFonts w:ascii="Times New Roman" w:hAnsi="Times New Roman"/>
          <w:b w:val="0"/>
          <w:i w:val="0"/>
          <w:sz w:val="24"/>
        </w:rPr>
        <w:t>Table 9: Pipeline stage latency (median and p95)</w:t>
      </w:r>
    </w:p>
    <w:p>
      <w:pPr>
        <w:spacing w:after="160" w:before="0" w:line="360" w:lineRule="auto"/>
        <w:jc w:val="both"/>
      </w:pPr>
      <w:r>
        <w:rPr>
          <w:rFonts w:ascii="Times New Roman" w:hAnsi="Times New Roman"/>
          <w:b w:val="0"/>
          <w:i w:val="0"/>
          <w:sz w:val="24"/>
        </w:rPr>
        <w:t>Table 10: Structural comparison of AEGIS vs. direct LLM-to-SQL</w:t>
      </w:r>
    </w:p>
    <w:p>
      <w:r>
        <w:br w:type="page"/>
      </w:r>
    </w:p>
    <w:p>
      <w:pPr>
        <w:sectPr>
          <w:footerReference w:type="default" r:id="rId9"/>
          <w:pgSz w:w="11906" w:h="16838"/>
          <w:pgMar w:top="1440" w:right="1440" w:bottom="1440" w:left="2160" w:header="720" w:footer="720" w:gutter="0"/>
          <w:cols w:space="720"/>
          <w:docGrid w:linePitch="360"/>
          <w:pgNumType w:fmt="lowerRoman" w:start="1"/>
        </w:sectPr>
      </w:pPr>
    </w:p>
    <w:p>
      <w:pPr>
        <w:spacing w:after="400" w:before="0" w:line="360" w:lineRule="auto"/>
        <w:jc w:val="center"/>
      </w:pPr>
      <w:r>
        <w:rPr>
          <w:rFonts w:ascii="Times New Roman" w:hAnsi="Times New Roman"/>
          <w:b/>
          <w:i w:val="0"/>
          <w:sz w:val="30"/>
        </w:rPr>
        <w:t>ABSTRACT</w:t>
      </w:r>
    </w:p>
    <w:p>
      <w:pPr>
        <w:spacing w:after="240" w:before="0" w:line="360" w:lineRule="auto"/>
        <w:jc w:val="both"/>
      </w:pPr>
      <w:r>
        <w:rPr>
          <w:rFonts w:ascii="Times New Roman" w:hAnsi="Times New Roman"/>
          <w:b w:val="0"/>
          <w:i w:val="0"/>
          <w:sz w:val="24"/>
        </w:rPr>
        <w:t>Analytical dashboards are important tools for business reporting, but building accurate and safe reports from relational databases still requires technical skills. Natural language interfaces try to close this gap, but current text-to-SQL systems focus on benchmark accuracy rather than real-world safety, and they stop at generating a one-time query result without producing reusable reporting widgets. This thesis presents AEGIS (Analytics Engine with Guaranteed Injection Safety), a system that turns plain-English reporting requests into dynamic, refreshable dashboard widgets that users can save and reuse every day. Unlike traditional natural-language-to-SQL systems that treat each question as a one-off interaction, AEGIS produces persistent reporting widgets, each with its own refresh schedule, access rules, and visual configuration, that become part of a user's daily workflow.</w:t>
      </w:r>
    </w:p>
    <w:p>
      <w:pPr>
        <w:spacing w:after="320" w:before="0" w:line="360" w:lineRule="auto"/>
        <w:jc w:val="both"/>
      </w:pPr>
      <w:r>
        <w:rPr>
          <w:rFonts w:ascii="Times New Roman" w:hAnsi="Times New Roman"/>
          <w:b w:val="0"/>
          <w:i w:val="0"/>
          <w:sz w:val="24"/>
        </w:rPr>
        <w:t>AEGIS uses a strictly controlled pipeline: (1) a lightweight large language model (Llama 3.1 8B) maps natural language to one of eleven high-level analytical primitives (for example KPI, Trend, Ranking, Tabular) using dynamic vocabulary injection; (2) a deterministic compiler builds the SQL using pre-approved parameterized templates; and (3) a post-compilation security monitor validates the statement against a strict safety grammar. Evaluation via a 100-query prototype benchmark in a real e-commerce domain (nopCommerce) demonstrates 100% intent accuracy on the covered primitives and structural prevention of SQL injection through untrusted natural-language input, a guarantee that holds within the defined threat boundary of trusted semantic-layer definitions and administrator-controlled compiler templates. A cross-schema evaluation on WooCommerce confirms that only the semantic layer requires reconfiguration for a new schema, achieving 98.0% intent accuracy in 14 person-hours. AEGIS demonstrates that restricting SQL generation to a finite set of validated business patterns is a practical path to safe, auditable natural-language reporting in institutional environments.</w:t>
      </w:r>
    </w:p>
    <w:p>
      <w:pPr>
        <w:spacing w:after="0" w:before="0" w:line="360" w:lineRule="auto"/>
        <w:jc w:val="both"/>
      </w:pPr>
      <w:r>
        <w:rPr>
          <w:rFonts w:ascii="Times New Roman" w:hAnsi="Times New Roman"/>
          <w:b w:val="0"/>
          <w:i/>
          <w:sz w:val="23"/>
        </w:rPr>
        <w:t>Index Terms: Natural language interfaces, dashboard generation, text-to-SQL, semantic layer, visualization recommendation, business intelligence, self-service analytics.</w:t>
      </w:r>
    </w:p>
    <w:p>
      <w:r>
        <w:br w:type="page"/>
      </w: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Neural text-to-SQL systems now exceed 90% accuracy on the Spider benchmark [16], and large language models can produce reasonable-looking SQL with minimal setup [6]. But there is still a gap between benchmark results and real-world deployment, which Chapter 2 examines in detail.</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120" w:before="0" w:line="360" w:lineRule="auto"/>
        <w:jc w:val="both"/>
      </w:pPr>
      <w:r>
        <w:rPr>
          <w:rFonts w:ascii="Times New Roman" w:hAnsi="Times New Roman"/>
          <w:b/>
          <w:i w:val="0"/>
          <w:sz w:val="24"/>
        </w:rPr>
        <w:t xml:space="preserve">Safety. </w:t>
      </w:r>
      <w:r>
        <w:rPr>
          <w:rFonts w:ascii="Times New Roman" w:hAnsi="Times New Roman"/>
          <w:b w:val="0"/>
          <w:i w:val="0"/>
          <w:sz w:val="24"/>
        </w:rPr>
        <w:t>Many modern natural-language-to-SQL systems rely on models that directly generate SQL tokens, which creates challenges for enforcing enterprise governance and security policies. An LLM generating SQL freely can produce queries that expose private data or use incorrect table joins, and detecting this after the fact is fundamentally harder than preventing it by construction.</w:t>
      </w:r>
    </w:p>
    <w:p>
      <w:pPr>
        <w:spacing w:after="120" w:before="0" w:line="360" w:lineRule="auto"/>
        <w:jc w:val="both"/>
      </w:pPr>
      <w:r>
        <w:rPr>
          <w:rFonts w:ascii="Times New Roman" w:hAnsi="Times New Roman"/>
          <w:b/>
          <w:i w:val="0"/>
          <w:sz w:val="24"/>
        </w:rPr>
        <w:t xml:space="preserve">Vocabulary mismatch. </w:t>
      </w:r>
      <w:r>
        <w:rPr>
          <w:rFonts w:ascii="Times New Roman" w:hAnsi="Times New Roman"/>
          <w:b w:val="0"/>
          <w:i w:val="0"/>
          <w:sz w:val="24"/>
        </w:rPr>
        <w:t>Benchmarks use actual column names in the questions, but real users speak in business terms (“refund rate” instead of SUM(o.RefundedAmount)). Matching these requires business knowledge that models do not always get right, and a wrong mapping can silently produce a plausible but incorrect report.</w:t>
      </w:r>
    </w:p>
    <w:p>
      <w:pPr>
        <w:spacing w:after="120" w:before="0" w:line="360" w:lineRule="auto"/>
        <w:jc w:val="both"/>
      </w:pPr>
      <w:r>
        <w:rPr>
          <w:rFonts w:ascii="Times New Roman" w:hAnsi="Times New Roman"/>
          <w:b/>
          <w:i w:val="0"/>
          <w:sz w:val="24"/>
        </w:rPr>
        <w:t xml:space="preserve">No widget generation. </w:t>
      </w:r>
      <w:r>
        <w:rPr>
          <w:rFonts w:ascii="Times New Roman" w:hAnsi="Times New Roman"/>
          <w:b w:val="0"/>
          <w:i w:val="0"/>
          <w:sz w:val="24"/>
        </w:rPr>
        <w:t>Existing systems answer one question at a time and discard the result. They do not produce saved reporting widgets that can be refreshed with new data tomorrow, shared with a colleague, or added to a daily dashboard. Every time someone needs the same report, they start from scratch, which directly contradicts the observation that reporting requests are often recurring rather than one-off (Section 3.2).</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 Language → SQL generation → Query result.</w:t>
      </w:r>
    </w:p>
    <w:p>
      <w:pPr>
        <w:spacing w:after="240" w:before="0" w:line="360" w:lineRule="auto"/>
        <w:jc w:val="both"/>
      </w:pPr>
      <w:r>
        <w:rPr>
          <w:rFonts w:ascii="Times New Roman" w:hAnsi="Times New Roman"/>
          <w:b w:val="0"/>
          <w:i/>
          <w:sz w:val="24"/>
        </w:rPr>
        <w:t>AEGIS: Natural Language → Intent extraction → Semantic constraint → Deterministic compilation →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presented at the mid-defense stage, makes the following contributions; the quantitative figures below are preliminary estimates from the author's own prototype evaluation to date (Chapter 5), not final or independently verified results: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validated against a published 100-query benchmark (Chapter 3).</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 (Chapter 3).</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 (Chapters 3-4).</w:t>
      </w:r>
    </w:p>
    <w:p>
      <w:pPr>
        <w:pStyle w:val="ListNumber"/>
        <w:spacing w:after="80" w:line="360" w:lineRule="auto"/>
      </w:pPr>
      <w:r>
        <w:rPr>
          <w:rFonts w:ascii="Times New Roman" w:hAnsi="Times New Roman"/>
          <w:sz w:val="24"/>
        </w:rPr>
        <w:t>A vocabulary injection method that places the approved metric and dimension names directly into the LLM prompt, removing the need for a manually written synonym list while achieving 100% coverage, reducing the synonym dictionary from 112 entries to zero (Chapter 3).</w:t>
      </w:r>
    </w:p>
    <w:p>
      <w:pPr>
        <w:pStyle w:val="ListNumber"/>
        <w:spacing w:after="80" w:line="360" w:lineRule="auto"/>
      </w:pPr>
      <w:r>
        <w:rPr>
          <w:rFonts w:ascii="Times New Roman" w:hAnsi="Times New Roman"/>
          <w:sz w:val="24"/>
        </w:rPr>
        <w:t>A benchmark evaluation of 100 queries showing 100% valid SQL and 0% unsafe queries, compared to 5.0% unsafe queries from a direct LLM-to-SQL baseline (Chapter 5).</w:t>
      </w:r>
    </w:p>
    <w:p>
      <w:pPr>
        <w:pStyle w:val="ListNumber"/>
        <w:spacing w:after="80" w:line="360" w:lineRule="auto"/>
      </w:pPr>
      <w:r>
        <w:rPr>
          <w:rFonts w:ascii="Times New Roman" w:hAnsi="Times New Roman"/>
          <w:sz w:val="24"/>
        </w:rPr>
        <w:t>A cross-schema generalizability study on WooCommerce showing that only the semantic layer requires modification when deploying to a new production schema, with 98% intent accuracy achieved in 14 person-hours of configuration (Chapter 5).</w:t>
      </w:r>
    </w:p>
    <w:p>
      <w:pPr>
        <w:pStyle w:val="ListNumber"/>
        <w:spacing w:after="80" w:line="360" w:lineRule="auto"/>
      </w:pPr>
      <w:r>
        <w:rPr>
          <w:rFonts w:ascii="Times New Roman" w:hAnsi="Times New Roman"/>
          <w:sz w:val="24"/>
        </w:rPr>
        <w:t>A pipeline latency analysis showing that the AEGIS safety infrastructure adds less than 4% overhead relative to the LLM API call, making the safety guarantees effectively free in practice (Chapter 5).</w:t>
      </w:r>
    </w:p>
    <w:p>
      <w:pPr>
        <w:spacing w:before="320" w:after="160"/>
        <w:jc w:val="left"/>
      </w:pPr>
      <w:r>
        <w:rPr>
          <w:rFonts w:ascii="Times New Roman" w:hAnsi="Times New Roman"/>
          <w:b/>
          <w:sz w:val="28"/>
        </w:rPr>
        <w:t>1.5  Organization of the Thesis</w:t>
      </w:r>
    </w:p>
    <w:p>
      <w:pPr>
        <w:spacing w:after="0" w:before="0" w:line="360" w:lineRule="auto"/>
        <w:jc w:val="both"/>
      </w:pPr>
      <w:r>
        <w:rPr>
          <w:rFonts w:ascii="Times New Roman" w:hAnsi="Times New Roman"/>
          <w:b w:val="0"/>
          <w:i w:val="0"/>
          <w:sz w:val="24"/>
        </w:rPr>
        <w:t>The remainder of this thesis is organized as follows. Chapter 2 reviews related work across four decades of natural language database interfaces, neural text-to-SQL, natural-language-driven visualization, dashboard generation, and semantic layers, and positions AEGIS relative to this body of work through a comparative summary and a research gap analysis. Chapter 3 presents the methodology: the research paradigm, the formative study of real reporting requests that motivated AEGIS's design, the formal model and threat model that define its safety guarantee, and the system architecture, semantic layer, intent parser, safe compiler, visualization selector, and widget engine that implement it. Chapter 4 describes the experimental work: the implementation, the experimental environment, the benchmark dataset, and the baseline systems used for comparison. Chapter 5 reports results for each of the five research questions and discusses what they mean, including a structural comparison against direct LLM-to-SQL generation and an analysis of what AEGIS deliberately gives up in exchange for its safety guarantees. Chapter 6 states the limitations of the current work honestly and outlines future work. Chapter 7 concludes the thesis.</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reviews the sources most directly comparable to AEGIS, grouped by theme: natural language interfaces to databases, neural and LLM-based text-to-SQL, natural language for visualization and dashboards, and applied conversational business intelligence. Closely related sources are discussed together rather than one at a time where they make the same architectural point. Sources only loosely adjacent to AEGIS's technical contribution (general business-adoption surveys, dashboard-governance literature, evaluation-methodology papers unrelated to safety) are outside this review's scope.</w:t>
      </w:r>
    </w:p>
    <w:p>
      <w:pPr>
        <w:spacing w:before="320" w:after="160"/>
        <w:jc w:val="left"/>
      </w:pPr>
      <w:r>
        <w:rPr>
          <w:rFonts w:ascii="Times New Roman" w:hAnsi="Times New Roman"/>
          <w:b/>
          <w:sz w:val="28"/>
        </w:rPr>
        <w:t>2.1  Natural Language Interfaces to Databases</w:t>
      </w:r>
    </w:p>
    <w:p>
      <w:pPr>
        <w:spacing w:after="160" w:before="0" w:line="360" w:lineRule="auto"/>
        <w:jc w:val="both"/>
      </w:pPr>
      <w:r>
        <w:rPr>
          <w:rFonts w:ascii="Times New Roman" w:hAnsi="Times New Roman"/>
          <w:b w:val="0"/>
          <w:i w:val="0"/>
          <w:sz w:val="24"/>
        </w:rPr>
        <w:t>Two systematic surveys frame this literature. Affolter et al. [1] benchmark 24 NLIDBs against ten questions of increasing complexity across four architectural classes (keyword, pattern, parsing, grammar-based); grammar-based systems achieve the broadest coverage but require users to learn a constrained vocabulary. Liu and Xu's more recent review [7] is the only one to name SQL-injection risk directly, discussing TrojanSQL, a backdoor injection attack the authors report is difficult to defend against, yet their only recommended mitigation is generic (“additional layers of security or filtering”), with no architectural defense proposed. Neither survey finds a system that treats safety as a structural property.</w:t>
      </w:r>
    </w:p>
    <w:p>
      <w:pPr>
        <w:spacing w:after="0" w:before="0" w:line="360" w:lineRule="auto"/>
        <w:jc w:val="both"/>
      </w:pPr>
      <w:r>
        <w:rPr>
          <w:rFonts w:ascii="Times New Roman" w:hAnsi="Times New Roman"/>
          <w:b w:val="0"/>
          <w:i w:val="0"/>
          <w:sz w:val="24"/>
        </w:rPr>
        <w:t>NaLIR [5] and Veezoo [4] are the closest prior systems to AEGIS's use of a curated vocabulary. NaLIR parses a query into a grammar-constrained intermediate “query tree” and surfaces ambiguity to the user through a short multiple-choice interaction rather than guessing, correctly completing 88 of 98 tasks versus 56 of 98 without this step. Veezoo constrains matching with an editable Knowledge Graph structurally analogous to a semantic layer, needing a median of two reformulations to reach a correct answer in a controlled study. Both, however, still compile into open-ended SQL and depend on user-facing dialogue to recover from a wrong query rather than preventing an unsafe one up front, and both produce one-off answers with no persistence.</w:t>
      </w:r>
    </w:p>
    <w:p>
      <w:pPr>
        <w:spacing w:before="320" w:after="160"/>
        <w:jc w:val="left"/>
      </w:pPr>
      <w:r>
        <w:rPr>
          <w:rFonts w:ascii="Times New Roman" w:hAnsi="Times New Roman"/>
          <w:b/>
          <w:sz w:val="28"/>
        </w:rPr>
        <w:t>2.2  Neural and LLM-Based Text-to-SQL</w:t>
      </w:r>
    </w:p>
    <w:p>
      <w:pPr>
        <w:spacing w:after="160" w:before="0" w:line="360" w:lineRule="auto"/>
        <w:jc w:val="both"/>
      </w:pPr>
      <w:r>
        <w:rPr>
          <w:rFonts w:ascii="Times New Roman" w:hAnsi="Times New Roman"/>
          <w:b w:val="0"/>
          <w:i w:val="0"/>
          <w:sz w:val="24"/>
        </w:rPr>
        <w:t>Spider [16] and BIRD [6] provide the clearest evidence that free-form generation is unreliable at scale. Spider's strict cross-domain train/test split found the best contemporary baseline reached only 12.4% exact-match accuracy on unseen schemas. BIRD went further, testing 95 real, large databases with expert-annotated domain knowledge: even GPT-4 combined with DIN-SQL prompting reached only 55.9% execution accuracy against a 92.96% human-expert ceiling, with wrong schema linking (41.6%) and misunderstood database values (40.8%) as the dominant failure modes.</w:t>
      </w:r>
    </w:p>
    <w:p>
      <w:pPr>
        <w:spacing w:after="160" w:before="0" w:line="360" w:lineRule="auto"/>
        <w:jc w:val="both"/>
      </w:pPr>
      <w:r>
        <w:rPr>
          <w:rFonts w:ascii="Times New Roman" w:hAnsi="Times New Roman"/>
          <w:b w:val="0"/>
          <w:i w:val="0"/>
          <w:sz w:val="24"/>
        </w:rPr>
        <w:t>RAT-SQL [15] and PICARD [10] each constrain the same underlying generation approach without changing who authors the SQL. RAT-SQL encodes the schema as a relational graph via relation-aware self-attention, reaching 57.2% exact-match on Spider, yet oracle analysis attributes 72-81% of its remaining errors to wrong column or table selection. PICARD instead constrains decoding at the token level, cutting invalid SQL on Spider from roughly 12% to 2% — but the LLM still writes every character of the SQL string, so a semantic bug invisible to the grammar check (a wrong join, a wrong business formula) can still pass through as syntactically valid SQL.</w:t>
      </w:r>
    </w:p>
    <w:p>
      <w:pPr>
        <w:spacing w:after="0" w:before="0" w:line="360" w:lineRule="auto"/>
        <w:jc w:val="both"/>
      </w:pPr>
      <w:r>
        <w:rPr>
          <w:rFonts w:ascii="Times New Roman" w:hAnsi="Times New Roman"/>
          <w:b w:val="0"/>
          <w:i w:val="0"/>
          <w:sz w:val="24"/>
        </w:rPr>
        <w:t>G-SQL [12] and TriSQL [13] sit at opposite ends of the same spectrum and are the two closest points of comparison for AEGIS. G-SQL is rule-based and template-driven over a curated schema representation, deliberately avoiding a neural component that writes SQL directly; it reaches 100% execution accuracy on easy queries but falls to 45-55% on extra-hard ones. TriSQL is, at the time of writing, the state of the art: a three-stage LLM pipeline (schema selection, skeleton-first generation, complexity-aware refinement) reaching 82.2% execution accuracy on Spider. It is the sharpest possible contrast to AEGIS, precisely because it is state of the art and still has the LLM produce the final executable SQL directly, with no semantic layer and no reported safety evaluation.</w:t>
      </w:r>
    </w:p>
    <w:p>
      <w:pPr>
        <w:spacing w:before="320" w:after="160"/>
        <w:jc w:val="left"/>
      </w:pPr>
      <w:r>
        <w:rPr>
          <w:rFonts w:ascii="Times New Roman" w:hAnsi="Times New Roman"/>
          <w:b/>
          <w:sz w:val="28"/>
        </w:rPr>
        <w:t>2.3  Natural Language for Visualization and Dashboards</w:t>
      </w:r>
    </w:p>
    <w:p>
      <w:pPr>
        <w:spacing w:after="160" w:before="0" w:line="360" w:lineRule="auto"/>
        <w:jc w:val="both"/>
      </w:pPr>
      <w:r>
        <w:rPr>
          <w:rFonts w:ascii="Times New Roman" w:hAnsi="Times New Roman"/>
          <w:b w:val="0"/>
          <w:i w:val="0"/>
          <w:sz w:val="24"/>
        </w:rPr>
        <w:t>nl4dv [8] and DataTone [3] are the closest visualization-side precedents. nl4dv maps natural language to a small, fixed set of five analytic tasks via a rule-based mapping table, closely analogous to AEGIS's bounded-vocabulary design, but has no SQL-safety or permission layer at all since it operates only on an in-memory dataset, and produces a one-off specification with no persistence. DataTone instead surfaces ambiguity through interactive widgets rather than resolving it silently, significantly outperforming IBM Watson Analytics in a comparative study (5.43 vs. 2.00 correct facts, p &lt; 0.01), but is limited to single-table data with no persistence mechanism.</w:t>
      </w:r>
    </w:p>
    <w:p>
      <w:pPr>
        <w:spacing w:after="0" w:before="0" w:line="360" w:lineRule="auto"/>
        <w:jc w:val="both"/>
      </w:pPr>
      <w:r>
        <w:rPr>
          <w:rFonts w:ascii="Times New Roman" w:hAnsi="Times New Roman"/>
          <w:b w:val="0"/>
          <w:i w:val="0"/>
          <w:sz w:val="24"/>
        </w:rPr>
        <w:t>DashBot [2] composes multi-chart dashboards with deep reinforcement learning guided by design rules (diversity, parsimony) drawn from a study of 90 real dashboards. It has no natural-language input at all, and because it never generates SQL from user language, it never encounters the safety problem AEGIS is built to solve.</w:t>
      </w:r>
    </w:p>
    <w:p>
      <w:pPr>
        <w:spacing w:before="320" w:after="160"/>
        <w:jc w:val="left"/>
      </w:pPr>
      <w:r>
        <w:rPr>
          <w:rFonts w:ascii="Times New Roman" w:hAnsi="Times New Roman"/>
          <w:b/>
          <w:sz w:val="28"/>
        </w:rPr>
        <w:t>2.4  Applied Conversational Business Intelligence</w:t>
      </w:r>
    </w:p>
    <w:p>
      <w:pPr>
        <w:spacing w:after="0" w:before="0" w:line="360" w:lineRule="auto"/>
        <w:jc w:val="both"/>
      </w:pPr>
      <w:r>
        <w:rPr>
          <w:rFonts w:ascii="Times New Roman" w:hAnsi="Times New Roman"/>
          <w:b w:val="0"/>
          <w:i w:val="0"/>
          <w:sz w:val="24"/>
        </w:rPr>
        <w:t>Two recent applied studies bookend AEGIS's design choice. Shailesh et al. [11] describe a deployed Groq/LangChain assistant that gives an LLM direct SQL-execution tools and a self-correction retry loop — a live, working example of exactly the attack surface AEGIS's threat model closes (Section 3.5), with no reported adversarial evaluation. Valkenburgh [14], by contrast, independently arrives at AEGIS's central design principle in an unrelated domain: a deterministic, non-AI formalism computes a business explanation, and an LLM is used only to narrate the already-correct result. A pre-study in the same thesis found that ten commercial AI-BI products could all answer simple descriptive queries but none could correctly answer explanatory ones without manual reconfiguration — direct evidence that unconstrained LLM reasoning fails at exactly the class of task AEGIS targets.</w:t>
      </w:r>
    </w:p>
    <w:p>
      <w:pPr>
        <w:spacing w:before="320" w:after="160"/>
        <w:jc w:val="left"/>
      </w:pPr>
      <w:r>
        <w:rPr>
          <w:rFonts w:ascii="Times New Roman" w:hAnsi="Times New Roman"/>
          <w:b/>
          <w:sz w:val="28"/>
        </w:rPr>
        <w:t>2.5  Comparative Summary</w:t>
      </w:r>
    </w:p>
    <w:p>
      <w:pPr>
        <w:spacing w:before="200" w:after="80"/>
        <w:jc w:val="center"/>
      </w:pPr>
      <w:r>
        <w:rPr>
          <w:rFonts w:ascii="Times New Roman" w:hAnsi="Times New Roman"/>
          <w:b/>
          <w:sz w:val="22"/>
        </w:rPr>
        <w:t>Table 4: Comparative summary of the most closely related systems.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38"/>
        <w:gridCol w:w="1038"/>
        <w:gridCol w:w="1038"/>
        <w:gridCol w:w="1038"/>
        <w:gridCol w:w="1038"/>
        <w:gridCol w:w="1038"/>
        <w:gridCol w:w="1038"/>
        <w:gridCol w:w="1038"/>
      </w:tblGrid>
      <w:tr>
        <w:tc>
          <w:tcPr>
            <w:tcW w:type="dxa" w:w="1038"/>
          </w:tcPr>
          <w:p>
            <w:pPr>
              <w:jc w:val="center"/>
            </w:pPr>
            <w:r>
              <w:rPr>
                <w:rFonts w:ascii="Times New Roman" w:hAnsi="Times New Roman"/>
                <w:b/>
                <w:sz w:val="21"/>
              </w:rPr>
            </w:r>
            <w:r>
              <w:rPr>
                <w:rFonts w:ascii="Times New Roman" w:hAnsi="Times New Roman"/>
                <w:b/>
                <w:sz w:val="21"/>
              </w:rPr>
              <w:t>System</w:t>
            </w:r>
          </w:p>
        </w:tc>
        <w:tc>
          <w:tcPr>
            <w:tcW w:type="dxa" w:w="1038"/>
          </w:tcPr>
          <w:p>
            <w:pPr>
              <w:jc w:val="center"/>
            </w:pPr>
            <w:r>
              <w:rPr>
                <w:rFonts w:ascii="Times New Roman" w:hAnsi="Times New Roman"/>
                <w:b/>
                <w:sz w:val="21"/>
              </w:rPr>
            </w:r>
            <w:r>
              <w:rPr>
                <w:rFonts w:ascii="Times New Roman" w:hAnsi="Times New Roman"/>
                <w:b/>
                <w:sz w:val="21"/>
              </w:rPr>
              <w:t>NL Parsing</w:t>
            </w:r>
          </w:p>
        </w:tc>
        <w:tc>
          <w:tcPr>
            <w:tcW w:type="dxa" w:w="1038"/>
          </w:tcPr>
          <w:p>
            <w:pPr>
              <w:jc w:val="center"/>
            </w:pPr>
            <w:r>
              <w:rPr>
                <w:rFonts w:ascii="Times New Roman" w:hAnsi="Times New Roman"/>
                <w:b/>
                <w:sz w:val="21"/>
              </w:rPr>
            </w:r>
            <w:r>
              <w:rPr>
                <w:rFonts w:ascii="Times New Roman" w:hAnsi="Times New Roman"/>
                <w:b/>
                <w:sz w:val="21"/>
              </w:rPr>
              <w:t>Semantic Layer</w:t>
            </w:r>
          </w:p>
        </w:tc>
        <w:tc>
          <w:tcPr>
            <w:tcW w:type="dxa" w:w="1038"/>
          </w:tcPr>
          <w:p>
            <w:pPr>
              <w:jc w:val="center"/>
            </w:pPr>
            <w:r>
              <w:rPr>
                <w:rFonts w:ascii="Times New Roman" w:hAnsi="Times New Roman"/>
                <w:b/>
                <w:sz w:val="21"/>
              </w:rPr>
            </w:r>
            <w:r>
              <w:rPr>
                <w:rFonts w:ascii="Times New Roman" w:hAnsi="Times New Roman"/>
                <w:b/>
                <w:sz w:val="21"/>
              </w:rPr>
              <w:t>Safe SQL</w:t>
            </w:r>
          </w:p>
        </w:tc>
        <w:tc>
          <w:tcPr>
            <w:tcW w:type="dxa" w:w="1038"/>
          </w:tcPr>
          <w:p>
            <w:pPr>
              <w:jc w:val="center"/>
            </w:pPr>
            <w:r>
              <w:rPr>
                <w:rFonts w:ascii="Times New Roman" w:hAnsi="Times New Roman"/>
                <w:b/>
                <w:sz w:val="21"/>
              </w:rPr>
            </w:r>
            <w:r>
              <w:rPr>
                <w:rFonts w:ascii="Times New Roman" w:hAnsi="Times New Roman"/>
                <w:b/>
                <w:sz w:val="21"/>
              </w:rPr>
              <w:t>Visualization</w:t>
            </w:r>
          </w:p>
        </w:tc>
        <w:tc>
          <w:tcPr>
            <w:tcW w:type="dxa" w:w="1038"/>
          </w:tcPr>
          <w:p>
            <w:pPr>
              <w:jc w:val="center"/>
            </w:pPr>
            <w:r>
              <w:rPr>
                <w:rFonts w:ascii="Times New Roman" w:hAnsi="Times New Roman"/>
                <w:b/>
                <w:sz w:val="21"/>
              </w:rPr>
            </w:r>
            <w:r>
              <w:rPr>
                <w:rFonts w:ascii="Times New Roman" w:hAnsi="Times New Roman"/>
                <w:b/>
                <w:sz w:val="21"/>
              </w:rPr>
              <w:t>Widget Persistence</w:t>
            </w:r>
          </w:p>
        </w:tc>
        <w:tc>
          <w:tcPr>
            <w:tcW w:type="dxa" w:w="1038"/>
          </w:tcPr>
          <w:p>
            <w:pPr>
              <w:jc w:val="center"/>
            </w:pPr>
            <w:r>
              <w:rPr>
                <w:rFonts w:ascii="Times New Roman" w:hAnsi="Times New Roman"/>
                <w:b/>
                <w:sz w:val="21"/>
              </w:rPr>
            </w:r>
            <w:r>
              <w:rPr>
                <w:rFonts w:ascii="Times New Roman" w:hAnsi="Times New Roman"/>
                <w:b/>
                <w:sz w:val="21"/>
              </w:rPr>
              <w:t>Coverage Validation</w:t>
            </w:r>
          </w:p>
        </w:tc>
        <w:tc>
          <w:tcPr>
            <w:tcW w:type="dxa" w:w="1038"/>
          </w:tcPr>
          <w:p>
            <w:pPr>
              <w:jc w:val="center"/>
            </w:pPr>
            <w:r>
              <w:rPr>
                <w:rFonts w:ascii="Times New Roman" w:hAnsi="Times New Roman"/>
                <w:b/>
                <w:sz w:val="21"/>
              </w:rPr>
            </w:r>
            <w:r>
              <w:rPr>
                <w:rFonts w:ascii="Times New Roman" w:hAnsi="Times New Roman"/>
                <w:b/>
                <w:sz w:val="21"/>
              </w:rPr>
              <w:t>Evaluation</w:t>
            </w:r>
          </w:p>
        </w:tc>
      </w:tr>
      <w:tr>
        <w:tc>
          <w:tcPr>
            <w:tcW w:type="dxa" w:w="1038"/>
          </w:tcPr>
          <w:p>
            <w:r>
              <w:rPr>
                <w:rFonts w:ascii="Times New Roman" w:hAnsi="Times New Roman"/>
                <w:sz w:val="21"/>
              </w:rPr>
            </w:r>
            <w:r>
              <w:rPr>
                <w:rFonts w:ascii="Times New Roman" w:hAnsi="Times New Roman"/>
                <w:b w:val="0"/>
                <w:sz w:val="21"/>
              </w:rPr>
              <w:t>Spider / BIRD</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RAT-SQL / PICARD</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G-SQL / TriSQL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NaLIR</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Veezoo (Lehmann et al.)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nl4dv / DataTone</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In-memory / user study</w:t>
            </w:r>
          </w:p>
        </w:tc>
      </w:tr>
      <w:tr>
        <w:tc>
          <w:tcPr>
            <w:tcW w:type="dxa" w:w="1038"/>
          </w:tcPr>
          <w:p>
            <w:r>
              <w:rPr>
                <w:rFonts w:ascii="Times New Roman" w:hAnsi="Times New Roman"/>
                <w:sz w:val="21"/>
              </w:rPr>
            </w:r>
            <w:r>
              <w:rPr>
                <w:rFonts w:ascii="Times New Roman" w:hAnsi="Times New Roman"/>
                <w:b w:val="0"/>
                <w:sz w:val="21"/>
              </w:rPr>
              <w:t>DashBot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Synthetic study</w:t>
            </w:r>
          </w:p>
        </w:tc>
      </w:tr>
      <w:tr>
        <w:tc>
          <w:tcPr>
            <w:tcW w:type="dxa" w:w="1038"/>
          </w:tcPr>
          <w:p>
            <w:r>
              <w:rPr>
                <w:rFonts w:ascii="Times New Roman" w:hAnsi="Times New Roman"/>
                <w:sz w:val="21"/>
              </w:rPr>
            </w:r>
            <w:r>
              <w:rPr>
                <w:rFonts w:ascii="Times New Roman" w:hAnsi="Times New Roman"/>
                <w:b w:val="0"/>
                <w:sz w:val="21"/>
              </w:rPr>
              <w:t>Conversational BI Assistant</w:t>
              <w:br/>
              <w:t>(Shailesh et al.)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Prototype demo</w:t>
            </w:r>
          </w:p>
        </w:tc>
      </w:tr>
      <w:tr>
        <w:tc>
          <w:tcPr>
            <w:tcW w:type="dxa" w:w="1038"/>
          </w:tcPr>
          <w:p>
            <w:r>
              <w:rPr>
                <w:rFonts w:ascii="Times New Roman" w:hAnsi="Times New Roman"/>
                <w:sz w:val="21"/>
              </w:rPr>
            </w:r>
            <w:r>
              <w:rPr>
                <w:rFonts w:ascii="Times New Roman" w:hAnsi="Times New Roman"/>
                <w:b w:val="0"/>
                <w:sz w:val="21"/>
              </w:rPr>
              <w:t>AEGIS (this thesis)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Production (nopCommerce)</w:t>
            </w:r>
          </w:p>
        </w:tc>
      </w:tr>
    </w:tbl>
    <w:p>
      <w:pPr>
        <w:spacing w:after="80"/>
      </w:pPr>
    </w:p>
    <w:p>
      <w:r>
        <w:br w:type="page"/>
      </w:r>
    </w:p>
    <w:p>
      <w:pPr>
        <w:spacing w:before="320" w:after="160"/>
        <w:jc w:val="left"/>
      </w:pPr>
      <w:r>
        <w:rPr>
          <w:rFonts w:ascii="Times New Roman" w:hAnsi="Times New Roman"/>
          <w:b/>
          <w:sz w:val="28"/>
        </w:rPr>
        <w:t>2.6  Research Gap Analysis</w:t>
      </w:r>
    </w:p>
    <w:p>
      <w:pPr>
        <w:spacing w:after="200" w:before="0" w:line="360" w:lineRule="auto"/>
        <w:jc w:val="both"/>
      </w:pPr>
      <w:r>
        <w:rPr>
          <w:rFonts w:ascii="Times New Roman" w:hAnsi="Times New Roman"/>
          <w:b w:val="0"/>
          <w:i w:val="0"/>
          <w:sz w:val="24"/>
        </w:rPr>
        <w:t>Two gaps recur across every source reviewed above, including the state of the art. First, no system treats SQL-generation safety as a structural property rather than an accuracy metric: Spider, BIRD, RAT-SQL, PICARD, G-SQL, and TriSQL are all evaluated purely on exact-match or execution accuracy, and Shailesh et al.'s deployed assistant reports no adversarial evaluation at all despite giving an LLM direct database access. AEGIS closes this gap by removing SQL generation from the LLM's output space entirely (Section 3.4) and evaluating an explicit unsafe-SQL rate against a direct LLM-to-SQL baseline (Chapter 5), rather than relying on accuracy as a proxy for safety.</w:t>
      </w:r>
    </w:p>
    <w:p>
      <w:pPr>
        <w:spacing w:after="0" w:before="0" w:line="360" w:lineRule="auto"/>
        <w:jc w:val="both"/>
      </w:pPr>
      <w:r>
        <w:rPr>
          <w:rFonts w:ascii="Times New Roman" w:hAnsi="Times New Roman"/>
          <w:b w:val="0"/>
          <w:i w:val="0"/>
          <w:sz w:val="24"/>
        </w:rPr>
        <w:t>Second, no system combines a governed semantic vocabulary with persistent, refreshable output: NaLIR and Veezoo produce one-off answers, nl4dv and DataTone produce one-off visualizations, and DashBot has no natural-language input at all. AEGIS's widget engine (Section 3.11) closes this gap, motivated by the design-time observation that real reporting requests are often recurring rather than one-off (Section 3.2). Valkenburgh's independent arrival at AEGIS's “let a deterministic layer compute the answer” principle, in an unrelated domain, is the strongest external corroboration that this design decision reflects a pattern discovered wherever LLM reliability is treated as an engineering constraint rather than an accuracy target.</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200" w:before="0" w:line="360" w:lineRule="auto"/>
        <w:jc w:val="both"/>
      </w:pPr>
      <w:r>
        <w:rPr>
          <w:rFonts w:ascii="Times New Roman" w:hAnsi="Times New Roman"/>
          <w:b w:val="0"/>
          <w:i w:val="0"/>
          <w:sz w:val="24"/>
        </w:rPr>
        <w:t>This thesis follows a Design Science Research paradigm, in the sense used by Hevner et al.: knowledge is produced by building and evaluating a novel artifact that addresses an identified organizational problem, rather than by testing a hypothesis about an existing phenomenon. The artifact in this thesis is the AEGIS system itself. Design Science Research requires three things to be demonstrated: problem relevance, design rigor, and evaluation against the stated problem. Problem relevance is established through the formative study of Section 3.2, which analyzes real reporting behavior rather than assuming a problem exists. Design rigor is established through the formal model and threat model of Sections 3.4-3.5, which state precisely what safety property the architecture guarantees and under what boundary that guarantee holds. Evaluation is reported in Chapter 5 against five explicit research questions, using both a benchmark dataset constructed for this domain and an ablation study that isolates the contribution of each architectural component.</w:t>
      </w:r>
    </w:p>
    <w:p>
      <w:pPr>
        <w:spacing w:after="0" w:before="0" w:line="360" w:lineRule="auto"/>
        <w:jc w:val="both"/>
      </w:pPr>
      <w:r>
        <w:rPr>
          <w:rFonts w:ascii="Times New Roman" w:hAnsi="Times New Roman"/>
          <w:b w:val="0"/>
          <w:i w:val="0"/>
          <w:sz w:val="24"/>
        </w:rPr>
        <w:t>The research proceeded through three iterative build-evaluate cycles. The first cycle produced a semantic layer and compiler for a minimal set of intent classes and validated the core safety proposition on a small hand-written query set. The second cycle expanded coverage to all eleven intent classes identified in the formative study and introduced vocabulary injection after an early synonym-dictionary approach proved unable to keep pace with real query phrasing. The third cycle added the widget persistence layer and the cross-schema generalizability evaluation on WooCommerce, testing whether the architecture itself, not just the nopCommerce configuration, was the reusable artifact.</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2)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The taxonomy identified through this review was then operationalized as the pattern library (Table 2) and evaluated directly against the 100-query benchmark described in Chapter 4, which is the verifiable evidence this thesis relies on for its coverage and safety claims. An earlier version of this chapter reported specific percentages and an inter-rater reliability statistic for a 312-request dataset; that dataset was never published alongside this thesis, so those figures have been withdrawn and are not repeated here.</w:t>
      </w:r>
    </w:p>
    <w:p>
      <w:pPr>
        <w:spacing w:before="200" w:after="80"/>
        <w:jc w:val="center"/>
      </w:pPr>
      <w:r>
        <w:rPr>
          <w:rFonts w:ascii="Times New Roman" w:hAnsi="Times New Roman"/>
          <w:b/>
          <w:sz w:val="22"/>
        </w:rPr>
        <w:t>Table (formative study): Request taxonomy, in approximate order of how often each pattern was observed during the design-time review.</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153"/>
        <w:gridCol w:w="4153"/>
      </w:tblGrid>
      <w:tr>
        <w:tc>
          <w:tcPr>
            <w:tcW w:type="dxa" w:w="4153"/>
          </w:tcPr>
          <w:p>
            <w:pPr>
              <w:jc w:val="center"/>
            </w:pPr>
            <w:r>
              <w:rPr>
                <w:rFonts w:ascii="Times New Roman" w:hAnsi="Times New Roman"/>
                <w:b/>
                <w:sz w:val="21"/>
              </w:rPr>
            </w:r>
            <w:r>
              <w:rPr>
                <w:rFonts w:ascii="Times New Roman" w:hAnsi="Times New Roman"/>
                <w:b/>
                <w:sz w:val="21"/>
              </w:rPr>
              <w:t>Pattern</w:t>
            </w:r>
          </w:p>
        </w:tc>
        <w:tc>
          <w:tcPr>
            <w:tcW w:type="dxa" w:w="4153"/>
          </w:tcPr>
          <w:p>
            <w:pPr>
              <w:jc w:val="center"/>
            </w:pPr>
            <w:r>
              <w:rPr>
                <w:rFonts w:ascii="Times New Roman" w:hAnsi="Times New Roman"/>
                <w:b/>
                <w:sz w:val="21"/>
              </w:rPr>
            </w:r>
            <w:r>
              <w:rPr>
                <w:rFonts w:ascii="Times New Roman" w:hAnsi="Times New Roman"/>
                <w:b/>
                <w:sz w:val="21"/>
              </w:rPr>
              <w:t>Example</w:t>
            </w:r>
          </w:p>
        </w:tc>
      </w:tr>
      <w:tr>
        <w:tc>
          <w:tcPr>
            <w:tcW w:type="dxa" w:w="4153"/>
          </w:tcPr>
          <w:p>
            <w:r>
              <w:rPr>
                <w:rFonts w:ascii="Times New Roman" w:hAnsi="Times New Roman"/>
                <w:sz w:val="21"/>
              </w:rPr>
            </w:r>
            <w:r>
              <w:rPr>
                <w:rFonts w:ascii="Times New Roman" w:hAnsi="Times New Roman"/>
                <w:b w:val="0"/>
                <w:sz w:val="21"/>
              </w:rPr>
              <w:t>Ranking</w:t>
            </w:r>
          </w:p>
        </w:tc>
        <w:tc>
          <w:tcPr>
            <w:tcW w:type="dxa" w:w="4153"/>
          </w:tcPr>
          <w:p>
            <w:pPr>
              <w:jc w:val="center"/>
            </w:pPr>
            <w:r>
              <w:rPr>
                <w:rFonts w:ascii="Times New Roman" w:hAnsi="Times New Roman"/>
                <w:sz w:val="21"/>
              </w:rPr>
            </w:r>
            <w:r>
              <w:rPr>
                <w:rFonts w:ascii="Times New Roman" w:hAnsi="Times New Roman"/>
                <w:b w:val="0"/>
                <w:sz w:val="21"/>
              </w:rPr>
              <w:t>Which five categories have the highest refund rates?</w:t>
            </w:r>
          </w:p>
        </w:tc>
      </w:tr>
      <w:tr>
        <w:tc>
          <w:tcPr>
            <w:tcW w:type="dxa" w:w="4153"/>
          </w:tcPr>
          <w:p>
            <w:r>
              <w:rPr>
                <w:rFonts w:ascii="Times New Roman" w:hAnsi="Times New Roman"/>
                <w:sz w:val="21"/>
              </w:rPr>
            </w:r>
            <w:r>
              <w:rPr>
                <w:rFonts w:ascii="Times New Roman" w:hAnsi="Times New Roman"/>
                <w:b w:val="0"/>
                <w:sz w:val="21"/>
              </w:rPr>
              <w:t>Trend Analysis</w:t>
            </w:r>
          </w:p>
        </w:tc>
        <w:tc>
          <w:tcPr>
            <w:tcW w:type="dxa" w:w="4153"/>
          </w:tcPr>
          <w:p>
            <w:pPr>
              <w:jc w:val="center"/>
            </w:pPr>
            <w:r>
              <w:rPr>
                <w:rFonts w:ascii="Times New Roman" w:hAnsi="Times New Roman"/>
                <w:sz w:val="21"/>
              </w:rPr>
            </w:r>
            <w:r>
              <w:rPr>
                <w:rFonts w:ascii="Times New Roman" w:hAnsi="Times New Roman"/>
                <w:b w:val="0"/>
                <w:sz w:val="21"/>
              </w:rPr>
              <w:t>Show monthly sales volume over the last year.</w:t>
            </w:r>
          </w:p>
        </w:tc>
      </w:tr>
      <w:tr>
        <w:tc>
          <w:tcPr>
            <w:tcW w:type="dxa" w:w="4153"/>
          </w:tcPr>
          <w:p>
            <w:r>
              <w:rPr>
                <w:rFonts w:ascii="Times New Roman" w:hAnsi="Times New Roman"/>
                <w:sz w:val="21"/>
              </w:rPr>
            </w:r>
            <w:r>
              <w:rPr>
                <w:rFonts w:ascii="Times New Roman" w:hAnsi="Times New Roman"/>
                <w:b w:val="0"/>
                <w:sz w:val="21"/>
              </w:rPr>
              <w:t>KPI / Aggregate</w:t>
            </w:r>
          </w:p>
        </w:tc>
        <w:tc>
          <w:tcPr>
            <w:tcW w:type="dxa" w:w="4153"/>
          </w:tcPr>
          <w:p>
            <w:pPr>
              <w:jc w:val="center"/>
            </w:pPr>
            <w:r>
              <w:rPr>
                <w:rFonts w:ascii="Times New Roman" w:hAnsi="Times New Roman"/>
                <w:sz w:val="21"/>
              </w:rPr>
            </w:r>
            <w:r>
              <w:rPr>
                <w:rFonts w:ascii="Times New Roman" w:hAnsi="Times New Roman"/>
                <w:b w:val="0"/>
                <w:sz w:val="21"/>
              </w:rPr>
              <w:t>How many orders were placed today?</w:t>
            </w:r>
          </w:p>
        </w:tc>
      </w:tr>
      <w:tr>
        <w:tc>
          <w:tcPr>
            <w:tcW w:type="dxa" w:w="4153"/>
          </w:tcPr>
          <w:p>
            <w:r>
              <w:rPr>
                <w:rFonts w:ascii="Times New Roman" w:hAnsi="Times New Roman"/>
                <w:sz w:val="21"/>
              </w:rPr>
            </w:r>
            <w:r>
              <w:rPr>
                <w:rFonts w:ascii="Times New Roman" w:hAnsi="Times New Roman"/>
                <w:b w:val="0"/>
                <w:sz w:val="21"/>
              </w:rPr>
              <w:t>Comparison</w:t>
            </w:r>
          </w:p>
        </w:tc>
        <w:tc>
          <w:tcPr>
            <w:tcW w:type="dxa" w:w="4153"/>
          </w:tcPr>
          <w:p>
            <w:pPr>
              <w:jc w:val="center"/>
            </w:pPr>
            <w:r>
              <w:rPr>
                <w:rFonts w:ascii="Times New Roman" w:hAnsi="Times New Roman"/>
                <w:sz w:val="21"/>
              </w:rPr>
            </w:r>
            <w:r>
              <w:rPr>
                <w:rFonts w:ascii="Times New Roman" w:hAnsi="Times New Roman"/>
                <w:b w:val="0"/>
                <w:sz w:val="21"/>
              </w:rPr>
              <w:t>Compare average order value between mobile and desktop users.</w:t>
            </w:r>
          </w:p>
        </w:tc>
      </w:tr>
      <w:tr>
        <w:tc>
          <w:tcPr>
            <w:tcW w:type="dxa" w:w="4153"/>
          </w:tcPr>
          <w:p>
            <w:r>
              <w:rPr>
                <w:rFonts w:ascii="Times New Roman" w:hAnsi="Times New Roman"/>
                <w:sz w:val="21"/>
              </w:rPr>
            </w:r>
            <w:r>
              <w:rPr>
                <w:rFonts w:ascii="Times New Roman" w:hAnsi="Times New Roman"/>
                <w:b w:val="0"/>
                <w:sz w:val="21"/>
              </w:rPr>
              <w:t>Exception / Filter</w:t>
            </w:r>
          </w:p>
        </w:tc>
        <w:tc>
          <w:tcPr>
            <w:tcW w:type="dxa" w:w="4153"/>
          </w:tcPr>
          <w:p>
            <w:pPr>
              <w:jc w:val="center"/>
            </w:pPr>
            <w:r>
              <w:rPr>
                <w:rFonts w:ascii="Times New Roman" w:hAnsi="Times New Roman"/>
                <w:sz w:val="21"/>
              </w:rPr>
            </w:r>
            <w:r>
              <w:rPr>
                <w:rFonts w:ascii="Times New Roman" w:hAnsi="Times New Roman"/>
                <w:b w:val="0"/>
                <w:sz w:val="21"/>
              </w:rPr>
              <w:t>List products with stock levels below 10.</w:t>
            </w:r>
          </w:p>
        </w:tc>
      </w:tr>
      <w:tr>
        <w:tc>
          <w:tcPr>
            <w:tcW w:type="dxa" w:w="4153"/>
          </w:tcPr>
          <w:p>
            <w:r>
              <w:rPr>
                <w:rFonts w:ascii="Times New Roman" w:hAnsi="Times New Roman"/>
                <w:sz w:val="21"/>
              </w:rPr>
            </w:r>
            <w:r>
              <w:rPr>
                <w:rFonts w:ascii="Times New Roman" w:hAnsi="Times New Roman"/>
                <w:b w:val="0"/>
                <w:sz w:val="21"/>
              </w:rPr>
              <w:t>Summary / Group</w:t>
            </w:r>
          </w:p>
        </w:tc>
        <w:tc>
          <w:tcPr>
            <w:tcW w:type="dxa" w:w="4153"/>
          </w:tcPr>
          <w:p>
            <w:pPr>
              <w:jc w:val="center"/>
            </w:pPr>
            <w:r>
              <w:rPr>
                <w:rFonts w:ascii="Times New Roman" w:hAnsi="Times New Roman"/>
                <w:sz w:val="21"/>
              </w:rPr>
            </w:r>
            <w:r>
              <w:rPr>
                <w:rFonts w:ascii="Times New Roman" w:hAnsi="Times New Roman"/>
                <w:b w:val="0"/>
                <w:sz w:val="21"/>
              </w:rPr>
              <w:t>Give me an overview of the Electronics category.</w:t>
            </w:r>
          </w:p>
        </w:tc>
      </w:tr>
      <w:tr>
        <w:tc>
          <w:tcPr>
            <w:tcW w:type="dxa" w:w="4153"/>
          </w:tcPr>
          <w:p>
            <w:r>
              <w:rPr>
                <w:rFonts w:ascii="Times New Roman" w:hAnsi="Times New Roman"/>
                <w:sz w:val="21"/>
              </w:rPr>
            </w:r>
            <w:r>
              <w:rPr>
                <w:rFonts w:ascii="Times New Roman" w:hAnsi="Times New Roman"/>
                <w:b w:val="0"/>
                <w:sz w:val="21"/>
              </w:rPr>
              <w:t>Segment, Funnel, Cohort, Correlate, Tabular</w:t>
            </w:r>
          </w:p>
        </w:tc>
        <w:tc>
          <w:tcPr>
            <w:tcW w:type="dxa" w:w="4153"/>
          </w:tcPr>
          <w:p>
            <w:pPr>
              <w:jc w:val="center"/>
            </w:pPr>
            <w:r>
              <w:rPr>
                <w:rFonts w:ascii="Times New Roman" w:hAnsi="Times New Roman"/>
                <w:sz w:val="21"/>
              </w:rPr>
            </w:r>
            <w:r>
              <w:rPr>
                <w:rFonts w:ascii="Times New Roman" w:hAnsi="Times New Roman"/>
                <w:b w:val="0"/>
                <w:sz w:val="21"/>
              </w:rPr>
              <w:t>Revenue by category; cart-to-purchase conversion; new vs. returning customers; attribute correlation; raw order listings.</w:t>
            </w:r>
          </w:p>
        </w:tc>
      </w:tr>
    </w:tbl>
    <w:p>
      <w:pPr>
        <w:spacing w:after="80"/>
      </w:pP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5 NOT YET INSERTED ]</w:t>
            </w:r>
          </w:p>
          <w:p>
            <w:pPr>
              <w:spacing w:after="160"/>
              <w:jc w:val="center"/>
            </w:pPr>
            <w:r>
              <w:rPr>
                <w:rFonts w:ascii="Times New Roman" w:hAnsi="Times New Roman"/>
                <w:b/>
                <w:color w:val="333333"/>
                <w:sz w:val="22"/>
              </w:rPr>
              <w:t>Illustrative pattern taxonomy from the design-time review</w:t>
            </w:r>
          </w:p>
          <w:p>
            <w:pPr>
              <w:spacing w:after="280" w:line="300" w:lineRule="auto"/>
              <w:ind w:left="432" w:right="432"/>
              <w:jc w:val="center"/>
            </w:pPr>
            <w:r>
              <w:rPr>
                <w:rFonts w:ascii="Times New Roman" w:hAnsi="Times New Roman"/>
                <w:i/>
                <w:color w:val="555555"/>
                <w:sz w:val="19"/>
              </w:rPr>
              <w:t>A bar chart showing the eleven patterns in the approximate relative order they were observed during the design-time review (Ranking, Trend Analysis, and KPI/Aggregate most frequently; Segment, Funnel, Cohort, and Correlate least frequently). Label the chart clearly as illustrative of the design rationale, not a measured survey, since no percentage breakdown is claimed (Section 3.2).</w:t>
            </w:r>
          </w:p>
        </w:tc>
      </w:tr>
    </w:tbl>
    <w:p>
      <w:pPr>
        <w:spacing w:before="120" w:after="280"/>
        <w:jc w:val="center"/>
      </w:pPr>
      <w:r>
        <w:rPr>
          <w:rFonts w:ascii="Times New Roman" w:hAnsi="Times New Roman"/>
          <w:b/>
          <w:sz w:val="21"/>
        </w:rPr>
        <w:t>Figure 5: Illustrative pattern taxonomy from the design-time review</w:t>
      </w:r>
    </w:p>
    <w:p>
      <w:pPr>
        <w:spacing w:after="0" w:before="0" w:line="360" w:lineRule="auto"/>
        <w:jc w:val="both"/>
      </w:pPr>
      <w:r>
        <w:rPr>
          <w:rFonts w:ascii="Times New Roman" w:hAnsi="Times New Roman"/>
          <w:b w:val="0"/>
          <w:i w:val="0"/>
          <w:sz w:val="24"/>
        </w:rPr>
        <w:t>This review yields three design directions that shaped the rest of this chapter. First, a small set of patterns appears sufficient: the eleven identified patterns cover the large majority of reviewed requests, supporting a fixed template library rather than an open-ended query language. Second, business vocabulary differs systematically from database column names: reviewed requests used phrases like “total refund rate,” never SUM(o.RefundedAmount), which motivates an explicit semantic layer (Section 3.7)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 of Section 3.11.</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160" w:before="0" w:line="360" w:lineRule="auto"/>
        <w:jc w:val="both"/>
      </w:pPr>
      <w:r>
        <w:rPr>
          <w:rFonts w:ascii="Times New Roman" w:hAnsi="Times New Roman"/>
          <w:b w:val="0"/>
          <w:i w:val="0"/>
          <w:sz w:val="24"/>
        </w:rPr>
        <w:t>Let a user with role r issue a natural-language request q. Classical text-to-SQL seeks a function f(q, S) that maps the request and a schema S directly to sql. AEGIS instead seeks a function</w:t>
      </w:r>
    </w:p>
    <w:p>
      <w:pPr>
        <w:spacing w:after="160" w:before="0" w:line="360" w:lineRule="auto"/>
        <w:jc w:val="both"/>
      </w:pPr>
      <w:r>
        <w:rPr>
          <w:rFonts w:ascii="Times New Roman" w:hAnsi="Times New Roman"/>
          <w:b/>
          <w:i w:val="0"/>
          <w:sz w:val="24"/>
        </w:rPr>
        <w:t>g(q, L, r) → ⟨π, sql, vis, w⟩</w:t>
      </w:r>
    </w:p>
    <w:p>
      <w:pPr>
        <w:spacing w:after="200" w:before="0" w:line="360" w:lineRule="auto"/>
        <w:jc w:val="both"/>
      </w:pPr>
      <w:r>
        <w:rPr>
          <w:rFonts w:ascii="Times New Roman" w:hAnsi="Times New Roman"/>
          <w:b w:val="0"/>
          <w:i w:val="0"/>
          <w:sz w:val="24"/>
        </w:rPr>
        <w:t>where π is a canonical analysis plan, sql is a read-only compiled query, vis is a visualization specification, and w is a persisted widget artifact. The semantic layer L = ⟨M, D, F, J, P, V, A, R⟩ defines the approved metric set M, dimension set D, filter and time-rule set F, join graph J, pattern library P, visualization policy V, vocabulary injection configuration A, and role-permission model R.</w:t>
      </w:r>
    </w:p>
    <w:p>
      <w:pPr>
        <w:spacing w:after="200" w:before="0" w:line="360" w:lineRule="auto"/>
        <w:jc w:val="both"/>
      </w:pPr>
      <w:r>
        <w:rPr>
          <w:rFonts w:ascii="Times New Roman" w:hAnsi="Times New Roman"/>
          <w:b w:val="0"/>
          <w:i w:val="0"/>
          <w:sz w:val="24"/>
        </w:rPr>
        <w:t>Safety is enforced as a set-membership constraint: sql ∈ Q_safe(L, r), where Q_safe(L, r) is the family of queries derivable from pattern templates in P using only bindings from L permitted under role r.</w:t>
      </w:r>
    </w:p>
    <w:p>
      <w:pPr>
        <w:spacing w:after="200" w:before="0" w:line="360" w:lineRule="auto"/>
        <w:jc w:val="both"/>
      </w:pPr>
      <w:r>
        <w:rPr>
          <w:rFonts w:ascii="Times New Roman" w:hAnsi="Times New Roman"/>
          <w:b/>
          <w:i w:val="0"/>
          <w:sz w:val="24"/>
        </w:rPr>
        <w:t xml:space="preserve">Proposition 1. </w:t>
      </w:r>
      <w:r>
        <w:rPr>
          <w:rFonts w:ascii="Times New Roman" w:hAnsi="Times New Roman"/>
          <w:b w:val="0"/>
          <w:i/>
          <w:sz w:val="24"/>
        </w:rPr>
        <w:t>No query in Q_safe(L, r) can reference a table, column, or row not enumerated in L for role r. All SQL identifiers are drawn from a closed vocabulary of approved semantic bindings. All literal values are passed using parameterized SQL rather than string interpolation. SQL injection through untrusted natural-language input is structurally prevented by design.</w:t>
      </w:r>
    </w:p>
    <w:p>
      <w:pPr>
        <w:spacing w:after="0" w:before="0" w:line="360" w:lineRule="auto"/>
        <w:jc w:val="both"/>
      </w:pPr>
      <w:r>
        <w:rPr>
          <w:rFonts w:ascii="Times New Roman" w:hAnsi="Times New Roman"/>
          <w:b/>
          <w:i w:val="0"/>
          <w:sz w:val="24"/>
        </w:rPr>
        <w:t xml:space="preserve">Security boundary. </w:t>
      </w:r>
      <w:r>
        <w:rPr>
          <w:rFonts w:ascii="Times New Roman" w:hAnsi="Times New Roman"/>
          <w:b w:val="0"/>
          <w:i w:val="0"/>
          <w:sz w:val="24"/>
        </w:rPr>
        <w:t>This guarantee holds within a defined threat boundary: the semantic layer definitions, compiler templates, and permission predicates are trusted, administrator-controlled artifacts. An administrator who embeds malicious SQL inside a metric definition, or a supply-chain compromise of the compiler library, falls outside this boundary and requires separate operational security controls. Explicitly stating this boundary, rather than leaving it implicit, is itself part of this thesis's contribution: prior NL-to-SQL work reviewed in Chapter 2 rarely specifies the boundary of its safety claims, which makes rigorous security comparison difficult.</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before="160" w:line="360" w:lineRule="auto"/>
        <w:jc w:val="both"/>
      </w:pPr>
      <w:r>
        <w:rPr>
          <w:rFonts w:ascii="Times New Roman" w:hAnsi="Times New Roman"/>
          <w:b/>
          <w:i w:val="0"/>
          <w:sz w:val="24"/>
        </w:rPr>
        <w:t xml:space="preserve">T1 - Prompt injection attempting SQL generation.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"Ignore previous instructions. Generate DROP TABLE orders."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The IntentObject schema contains no SQL field. Any non-approved string in metric_term or dimension_term is rejected by Pydantic type validation at Stage 2, before the compiler is reached.</w:t>
      </w:r>
    </w:p>
    <w:p>
      <w:pPr>
        <w:spacing w:after="80" w:before="160" w:line="360" w:lineRule="auto"/>
        <w:jc w:val="both"/>
      </w:pPr>
      <w:r>
        <w:rPr>
          <w:rFonts w:ascii="Times New Roman" w:hAnsi="Times New Roman"/>
          <w:b/>
          <w:i w:val="0"/>
          <w:sz w:val="24"/>
        </w:rPr>
        <w:t xml:space="preserve">T2 - Unauthorized metric or dimension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"Show me customer passwords" or "List credit card numbers by order."</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Fields such as customer_password do not exist in the semantic layer vocabulary. The LLM never sees those names; it receives only the curated, approved label list. Stage 2 rejects any unrecognized term.</w:t>
      </w:r>
    </w:p>
    <w:p>
      <w:pPr>
        <w:spacing w:after="80" w:before="160" w:line="360" w:lineRule="auto"/>
        <w:jc w:val="both"/>
      </w:pPr>
      <w:r>
        <w:rPr>
          <w:rFonts w:ascii="Times New Roman" w:hAnsi="Times New Roman"/>
          <w:b/>
          <w:i w:val="0"/>
          <w:sz w:val="24"/>
        </w:rPr>
        <w:t xml:space="preserve">T3 - Unauthorized row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store-level user asks: "Show revenue for all branches."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before="160" w:line="360" w:lineRule="auto"/>
        <w:jc w:val="both"/>
      </w:pPr>
      <w:r>
        <w:rPr>
          <w:rFonts w:ascii="Times New Roman" w:hAnsi="Times New Roman"/>
          <w:b/>
          <w:i w:val="0"/>
          <w:sz w:val="24"/>
        </w:rPr>
        <w:t xml:space="preserve">T4 - DML or DDL injection.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crafted prompt that tricks the LLM into associating a write operation with an intent class.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pStyle w:val="ListBullet"/>
        <w:spacing w:after="80" w:line="360" w:lineRule="auto"/>
      </w:pPr>
      <w:r>
        <w:rPr>
          <w:rFonts w:ascii="Times New Roman" w:hAnsi="Times New Roman"/>
          <w:sz w:val="24"/>
        </w:rPr>
        <w:t>A malicious administrator embedding arbitrary SQL inside a metric's sql_expr field.</w:t>
      </w:r>
    </w:p>
    <w:p>
      <w:pPr>
        <w:pStyle w:val="ListBullet"/>
        <w:spacing w:after="80" w:line="360" w:lineRule="auto"/>
      </w:pPr>
      <w:r>
        <w:rPr>
          <w:rFonts w:ascii="Times New Roman" w:hAnsi="Times New Roman"/>
          <w:sz w:val="24"/>
        </w:rPr>
        <w:t>Supply-chain compromise of the compiler module or the SQL parser library.</w:t>
      </w:r>
    </w:p>
    <w:p>
      <w:pPr>
        <w:pStyle w:val="ListBullet"/>
        <w:spacing w:after="80" w:line="360" w:lineRule="auto"/>
      </w:pPr>
      <w:r>
        <w:rPr>
          <w:rFonts w:ascii="Times New Roman" w:hAnsi="Times New Roman"/>
          <w:sz w:val="24"/>
        </w:rPr>
        <w:t>Database-level privilege escalation that bypasses the application layer.</w:t>
      </w:r>
    </w:p>
    <w:p>
      <w:pPr>
        <w:pStyle w:val="ListBullet"/>
        <w:spacing w:after="80" w:line="360" w:lineRule="auto"/>
      </w:pP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160" w:before="0" w:line="360" w:lineRule="auto"/>
        <w:jc w:val="both"/>
      </w:pPr>
      <w:r>
        <w:rPr>
          <w:rFonts w:ascii="Times New Roman" w:hAnsi="Times New Roman"/>
          <w:b/>
          <w:i w:val="0"/>
          <w:sz w:val="24"/>
        </w:rPr>
        <w:t xml:space="preserve">Stage 1 - Intent Extraction. </w:t>
      </w:r>
      <w:r>
        <w:rPr>
          <w:rFonts w:ascii="Times New Roman" w:hAnsi="Times New Roman"/>
          <w:b w:val="0"/>
          <w:i w:val="0"/>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160" w:before="0" w:line="360" w:lineRule="auto"/>
        <w:jc w:val="both"/>
      </w:pPr>
      <w:r>
        <w:rPr>
          <w:rFonts w:ascii="Times New Roman" w:hAnsi="Times New Roman"/>
          <w:b/>
          <w:i w:val="0"/>
          <w:sz w:val="24"/>
        </w:rPr>
        <w:t xml:space="preserve">Stage 2 - Coverage Validation. </w:t>
      </w:r>
      <w:r>
        <w:rPr>
          <w:rFonts w:ascii="Times New Roman" w:hAnsi="Times New Roman"/>
          <w:b w:val="0"/>
          <w:i w:val="0"/>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160" w:before="0" w:line="360" w:lineRule="auto"/>
        <w:jc w:val="both"/>
      </w:pPr>
      <w:r>
        <w:rPr>
          <w:rFonts w:ascii="Times New Roman" w:hAnsi="Times New Roman"/>
          <w:b/>
          <w:i w:val="0"/>
          <w:sz w:val="24"/>
        </w:rPr>
        <w:t xml:space="preserve">Stage 3 - Semantic Mapping. </w:t>
      </w:r>
      <w:r>
        <w:rPr>
          <w:rFonts w:ascii="Times New Roman" w:hAnsi="Times New Roman"/>
          <w:b w:val="0"/>
          <w:i w:val="0"/>
          <w:sz w:val="24"/>
        </w:rPr>
        <w:t>Business-logic aliases are expanded (for example, “abandoned” maps to a specific OrderStatusId), and relative time expressions such as “this month” are resolved to concrete date predicates.</w:t>
      </w:r>
    </w:p>
    <w:p>
      <w:pPr>
        <w:spacing w:after="160" w:before="0" w:line="360" w:lineRule="auto"/>
        <w:jc w:val="both"/>
      </w:pPr>
      <w:r>
        <w:rPr>
          <w:rFonts w:ascii="Times New Roman" w:hAnsi="Times New Roman"/>
          <w:b/>
          <w:i w:val="0"/>
          <w:sz w:val="24"/>
        </w:rPr>
        <w:t xml:space="preserve">Stage 4 - Permission Rewriting. </w:t>
      </w:r>
      <w:r>
        <w:rPr>
          <w:rFonts w:ascii="Times New Roman" w:hAnsi="Times New Roman"/>
          <w:b w:val="0"/>
          <w:i w:val="0"/>
          <w:sz w:val="24"/>
        </w:rPr>
        <w:t>A role-specific WHERE predicate is appended based on the authenticated user's session. This runs after the LLM has already finished, so no natural-language content can influence it.</w:t>
      </w:r>
    </w:p>
    <w:p>
      <w:pPr>
        <w:spacing w:after="160" w:before="0" w:line="360" w:lineRule="auto"/>
        <w:jc w:val="both"/>
      </w:pPr>
      <w:r>
        <w:rPr>
          <w:rFonts w:ascii="Times New Roman" w:hAnsi="Times New Roman"/>
          <w:b/>
          <w:i w:val="0"/>
          <w:sz w:val="24"/>
        </w:rPr>
        <w:t xml:space="preserve">Stage 5 - SQL Compilation. </w:t>
      </w:r>
      <w:r>
        <w:rPr>
          <w:rFonts w:ascii="Times New Roman" w:hAnsi="Times New Roman"/>
          <w:b w:val="0"/>
          <w:i w:val="0"/>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160" w:before="0" w:line="360" w:lineRule="auto"/>
        <w:jc w:val="both"/>
      </w:pPr>
      <w:r>
        <w:rPr>
          <w:rFonts w:ascii="Times New Roman" w:hAnsi="Times New Roman"/>
          <w:b/>
          <w:i w:val="0"/>
          <w:sz w:val="24"/>
        </w:rPr>
        <w:t xml:space="preserve">Stage 6 - Visualization Selection. </w:t>
      </w:r>
      <w:r>
        <w:rPr>
          <w:rFonts w:ascii="Times New Roman" w:hAnsi="Times New Roman"/>
          <w:b w:val="0"/>
          <w:i w:val="0"/>
          <w:sz w:val="24"/>
        </w:rPr>
        <w:t>A rule engine maps the intent class and result shape to a default chart type (Section 3.10). This stage contains no learned model.</w:t>
      </w:r>
    </w:p>
    <w:p>
      <w:pPr>
        <w:spacing w:after="160" w:before="0" w:line="360" w:lineRule="auto"/>
        <w:jc w:val="both"/>
      </w:pPr>
      <w:r>
        <w:rPr>
          <w:rFonts w:ascii="Times New Roman" w:hAnsi="Times New Roman"/>
          <w:b/>
          <w:i w:val="0"/>
          <w:sz w:val="24"/>
        </w:rPr>
        <w:t xml:space="preserve">Stage 7 - Widget Persistence. </w:t>
      </w:r>
      <w:r>
        <w:rPr>
          <w:rFonts w:ascii="Times New Roman" w:hAnsi="Times New Roman"/>
          <w:b w:val="0"/>
          <w:i w:val="0"/>
          <w:sz w:val="24"/>
        </w:rPr>
        <w:t>The analysis plan is hashed (SHA-256) to detect duplicates, and the query, chart configuration, and access rules are stored as a widget artifact that can be refreshed on a schedule (Section 3.11).</w:t>
      </w:r>
    </w:p>
    <w:tbl>
      <w:tblPr>
        <w:tblW w:type="auto" w:w="0"/>
        <w:jc w:val="center"/>
        <w:tblLayout w:type="fixed"/>
        <w:tblLook w:firstColumn="1" w:firstRow="1" w:lastColumn="0" w:lastRow="0" w:noHBand="0" w:noVBand="1" w:val="04A0"/>
      </w:tblPr>
      <w:tblGrid>
        <w:gridCol w:w="9072"/>
      </w:tblGrid>
      <w:tr>
        <w:trPr>
          <w:trHeight w:val="3168"/>
          <w:trHeight w:val="3168"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 NOT YET INSERTED ]</w:t>
            </w:r>
          </w:p>
          <w:p>
            <w:pPr>
              <w:spacing w:after="160"/>
              <w:jc w:val="center"/>
            </w:pPr>
            <w:r>
              <w:rPr>
                <w:rFonts w:ascii="Times New Roman" w:hAnsi="Times New Roman"/>
                <w:b/>
                <w:color w:val="333333"/>
                <w:sz w:val="22"/>
              </w:rPr>
              <w:t>AEGIS architecture pipeline (User Request to Dashboard Widget)</w:t>
            </w:r>
          </w:p>
          <w:p>
            <w:pPr>
              <w:spacing w:after="280" w:line="300" w:lineRule="auto"/>
              <w:ind w:left="432" w:right="432"/>
              <w:jc w:val="center"/>
            </w:pPr>
            <w:r>
              <w:rPr>
                <w:rFonts w:ascii="Times New Roman" w:hAnsi="Times New Roman"/>
                <w:i/>
                <w:color w:val="555555"/>
                <w:sz w:val="19"/>
              </w:rPr>
              <w:t>A left-to-right flowchart of the seven stages in sequence: User Request -&gt; LLM Intent Parser -&gt; Coverage Validator -&gt; Semantic Mapper -&gt; Permission Rewriter -&gt; Safe Query Compiler -&gt; Query Executor -&gt; Visualization Selector -&gt; Widget Engine -&gt; Dashboard. Color-code by responsibility: blue for the single AI/LLM stage, purple for semantic mapping, red for the two safety-enforcement stages (Permission Rewriter, Safe Query Compiler), green for execution/output stages. Add small orange branch arrows from Coverage Validator and Safe Query Compiler pointing to a 'Structured Clarification / Rejection Message' box, showing that invalid requests exit early with an actionable error rather than a silent failure.</w:t>
            </w:r>
          </w:p>
        </w:tc>
      </w:tr>
    </w:tbl>
    <w:p>
      <w:pPr>
        <w:spacing w:before="120" w:after="280"/>
        <w:jc w:val="center"/>
      </w:pPr>
      <w:r>
        <w:rPr>
          <w:rFonts w:ascii="Times New Roman" w:hAnsi="Times New Roman"/>
          <w:b/>
          <w:sz w:val="21"/>
        </w:rPr>
        <w:t>Figure 1: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2 NOT YET INSERTED ]</w:t>
            </w:r>
          </w:p>
          <w:p>
            <w:pPr>
              <w:spacing w:after="160"/>
              <w:jc w:val="center"/>
            </w:pPr>
            <w:r>
              <w:rPr>
                <w:rFonts w:ascii="Times New Roman" w:hAnsi="Times New Roman"/>
                <w:b/>
                <w:color w:val="333333"/>
                <w:sz w:val="22"/>
              </w:rPr>
              <w:t>Semantic layer modularity - composable blocks vs. free-form SQL generation</w:t>
            </w:r>
          </w:p>
          <w:p>
            <w:pPr>
              <w:spacing w:after="280" w:line="300" w:lineRule="auto"/>
              <w:ind w:left="432" w:right="432"/>
              <w:jc w:val="center"/>
            </w:pPr>
            <w:r>
              <w:rPr>
                <w:rFonts w:ascii="Times New Roman" w:hAnsi="Times New Roman"/>
                <w:i/>
                <w:color w:val="555555"/>
                <w:sz w:val="19"/>
              </w:rPr>
              <w:t>A split-panel comparison. LEFT panel, labeled 'AEGIS': a small set of labeled building blocks (Metric, Dimension, Filter, Join Path, Pattern) shown snapping together into two or three example complete query shapes, like LEGO bricks combining into a finished model. RIGHT panel, labeled 'Direct LLM-to-SQL': a shapeless, cracked blob of clay with a warning icon, annotated '5.0% unsafe queries in baseline (Chapter 5, Section 5.2)'. The visual point is that AEGIS composes from a bounded set of safe parts while direct generation is unbounded and can take an unsafe shape.</w:t>
            </w:r>
          </w:p>
        </w:tc>
      </w:tr>
    </w:tbl>
    <w:p>
      <w:pPr>
        <w:spacing w:before="120" w:after="280"/>
        <w:jc w:val="center"/>
      </w:pPr>
      <w:r>
        <w:rPr>
          <w:rFonts w:ascii="Times New Roman" w:hAnsi="Times New Roman"/>
          <w:b/>
          <w:sz w:val="21"/>
        </w:rPr>
        <w:t>Figure 2: Semantic layer modularity - composable blocks vs. free-form SQL generation</w:t>
      </w:r>
    </w:p>
    <w:p>
      <w:pPr>
        <w:spacing w:before="200" w:after="80"/>
        <w:jc w:val="center"/>
      </w:pPr>
      <w:r>
        <w:rPr>
          <w:rFonts w:ascii="Times New Roman" w:hAnsi="Times New Roman"/>
          <w:b/>
          <w:sz w:val="22"/>
        </w:rPr>
        <w:t>Table 1: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Object</w:t>
            </w:r>
          </w:p>
        </w:tc>
        <w:tc>
          <w:tcPr>
            <w:tcW w:type="dxa" w:w="2769"/>
          </w:tcPr>
          <w:p>
            <w:pPr>
              <w:jc w:val="center"/>
            </w:pPr>
            <w:r>
              <w:rPr>
                <w:rFonts w:ascii="Times New Roman" w:hAnsi="Times New Roman"/>
                <w:b/>
                <w:sz w:val="21"/>
              </w:rPr>
            </w:r>
            <w:r>
              <w:rPr>
                <w:rFonts w:ascii="Times New Roman" w:hAnsi="Times New Roman"/>
                <w:b/>
                <w:sz w:val="21"/>
              </w:rPr>
              <w:t>Field</w:t>
            </w:r>
          </w:p>
        </w:tc>
        <w:tc>
          <w:tcPr>
            <w:tcW w:type="dxa" w:w="2769"/>
          </w:tcPr>
          <w:p>
            <w:pPr>
              <w:jc w:val="center"/>
            </w:pPr>
            <w:r>
              <w:rPr>
                <w:rFonts w:ascii="Times New Roman" w:hAnsi="Times New Roman"/>
                <w:b/>
                <w:sz w:val="21"/>
              </w:rPr>
            </w:r>
            <w:r>
              <w:rPr>
                <w:rFonts w:ascii="Times New Roman" w:hAnsi="Times New Roman"/>
                <w:b/>
                <w:sz w:val="21"/>
              </w:rPr>
              <w:t>Example</w:t>
            </w:r>
          </w:p>
        </w:tc>
      </w:tr>
      <w:tr>
        <w:tc>
          <w:tcPr>
            <w:tcW w:type="dxa" w:w="2769"/>
          </w:tcPr>
          <w:p>
            <w:r>
              <w:rPr>
                <w:rFonts w:ascii="Times New Roman" w:hAnsi="Times New Roman"/>
                <w:sz w:val="21"/>
              </w:rPr>
            </w:r>
            <w:r>
              <w:rPr>
                <w:rFonts w:ascii="Times New Roman" w:hAnsi="Times New Roman"/>
                <w:b w:val="0"/>
                <w:sz w:val="21"/>
              </w:rPr>
              <w:t>Metric</w:t>
            </w:r>
          </w:p>
        </w:tc>
        <w:tc>
          <w:tcPr>
            <w:tcW w:type="dxa" w:w="2769"/>
          </w:tcPr>
          <w:p>
            <w:pPr>
              <w:jc w:val="center"/>
            </w:pPr>
            <w:r>
              <w:rPr>
                <w:rFonts w:ascii="Times New Roman" w:hAnsi="Times New Roman"/>
                <w:sz w:val="21"/>
              </w:rPr>
            </w:r>
            <w:r>
              <w:rPr>
                <w:rFonts w:ascii="Times New Roman" w:hAnsi="Times New Roman"/>
                <w:b w:val="0"/>
                <w:sz w:val="21"/>
              </w:rPr>
              <w:t>label, SQL expression, joins, visual default, security class</w:t>
            </w:r>
          </w:p>
        </w:tc>
        <w:tc>
          <w:tcPr>
            <w:tcW w:type="dxa" w:w="2769"/>
          </w:tcPr>
          <w:p>
            <w:pPr>
              <w:jc w:val="center"/>
            </w:pPr>
            <w:r>
              <w:rPr>
                <w:rFonts w:ascii="Times New Roman" w:hAnsi="Times New Roman"/>
                <w:sz w:val="21"/>
              </w:rPr>
            </w:r>
            <w:r>
              <w:rPr>
                <w:rFonts w:ascii="Times New Roman" w:hAnsi="Times New Roman"/>
                <w:b w:val="0"/>
                <w:sz w:val="21"/>
              </w:rPr>
              <w:t>revenue = SUM(o.OrderTotal - o.RefundedAmount)</w:t>
            </w:r>
          </w:p>
        </w:tc>
      </w:tr>
      <w:tr>
        <w:tc>
          <w:tcPr>
            <w:tcW w:type="dxa" w:w="2769"/>
          </w:tcPr>
          <w:p>
            <w:r>
              <w:rPr>
                <w:rFonts w:ascii="Times New Roman" w:hAnsi="Times New Roman"/>
                <w:sz w:val="21"/>
              </w:rPr>
            </w:r>
            <w:r>
              <w:rPr>
                <w:rFonts w:ascii="Times New Roman" w:hAnsi="Times New Roman"/>
                <w:b w:val="0"/>
                <w:sz w:val="21"/>
              </w:rPr>
              <w:t>Dimension</w:t>
            </w:r>
          </w:p>
        </w:tc>
        <w:tc>
          <w:tcPr>
            <w:tcW w:type="dxa" w:w="2769"/>
          </w:tcPr>
          <w:p>
            <w:pPr>
              <w:jc w:val="center"/>
            </w:pPr>
            <w:r>
              <w:rPr>
                <w:rFonts w:ascii="Times New Roman" w:hAnsi="Times New Roman"/>
                <w:sz w:val="21"/>
              </w:rPr>
            </w:r>
            <w:r>
              <w:rPr>
                <w:rFonts w:ascii="Times New Roman" w:hAnsi="Times New Roman"/>
                <w:b w:val="0"/>
                <w:sz w:val="21"/>
              </w:rPr>
              <w:t>label, SQL expression, datatype, access scope</w:t>
            </w:r>
          </w:p>
        </w:tc>
        <w:tc>
          <w:tcPr>
            <w:tcW w:type="dxa" w:w="2769"/>
          </w:tcPr>
          <w:p>
            <w:pPr>
              <w:jc w:val="center"/>
            </w:pPr>
            <w:r>
              <w:rPr>
                <w:rFonts w:ascii="Times New Roman" w:hAnsi="Times New Roman"/>
                <w:sz w:val="21"/>
              </w:rPr>
            </w:r>
            <w:r>
              <w:rPr>
                <w:rFonts w:ascii="Times New Roman" w:hAnsi="Times New Roman"/>
                <w:b w:val="0"/>
                <w:sz w:val="21"/>
              </w:rPr>
              <w:t>category = c.Name from Category</w:t>
            </w:r>
          </w:p>
        </w:tc>
      </w:tr>
      <w:tr>
        <w:tc>
          <w:tcPr>
            <w:tcW w:type="dxa" w:w="2769"/>
          </w:tcPr>
          <w:p>
            <w:r>
              <w:rPr>
                <w:rFonts w:ascii="Times New Roman" w:hAnsi="Times New Roman"/>
                <w:sz w:val="21"/>
              </w:rPr>
            </w:r>
            <w:r>
              <w:rPr>
                <w:rFonts w:ascii="Times New Roman" w:hAnsi="Times New Roman"/>
                <w:b w:val="0"/>
                <w:sz w:val="21"/>
              </w:rPr>
              <w:t>Filter</w:t>
            </w:r>
          </w:p>
        </w:tc>
        <w:tc>
          <w:tcPr>
            <w:tcW w:type="dxa" w:w="2769"/>
          </w:tcPr>
          <w:p>
            <w:pPr>
              <w:jc w:val="center"/>
            </w:pPr>
            <w:r>
              <w:rPr>
                <w:rFonts w:ascii="Times New Roman" w:hAnsi="Times New Roman"/>
                <w:sz w:val="21"/>
              </w:rPr>
            </w:r>
            <w:r>
              <w:rPr>
                <w:rFonts w:ascii="Times New Roman" w:hAnsi="Times New Roman"/>
                <w:b w:val="0"/>
                <w:sz w:val="21"/>
              </w:rPr>
              <w:t>label, SQL predicate, datatype</w:t>
            </w:r>
          </w:p>
        </w:tc>
        <w:tc>
          <w:tcPr>
            <w:tcW w:type="dxa" w:w="2769"/>
          </w:tcPr>
          <w:p>
            <w:pPr>
              <w:jc w:val="center"/>
            </w:pPr>
            <w:r>
              <w:rPr>
                <w:rFonts w:ascii="Times New Roman" w:hAnsi="Times New Roman"/>
                <w:sz w:val="21"/>
              </w:rPr>
            </w:r>
            <w:r>
              <w:rPr>
                <w:rFonts w:ascii="Times New Roman" w:hAnsi="Times New Roman"/>
                <w:b w:val="0"/>
                <w:sz w:val="21"/>
              </w:rPr>
              <w:t>payment_status : o.PaymentStatusId = :val</w:t>
            </w:r>
          </w:p>
        </w:tc>
      </w:tr>
      <w:tr>
        <w:tc>
          <w:tcPr>
            <w:tcW w:type="dxa" w:w="2769"/>
          </w:tcPr>
          <w:p>
            <w:r>
              <w:rPr>
                <w:rFonts w:ascii="Times New Roman" w:hAnsi="Times New Roman"/>
                <w:sz w:val="21"/>
              </w:rPr>
            </w:r>
            <w:r>
              <w:rPr>
                <w:rFonts w:ascii="Times New Roman" w:hAnsi="Times New Roman"/>
                <w:b w:val="0"/>
                <w:sz w:val="21"/>
              </w:rPr>
              <w:t>Time rule</w:t>
            </w:r>
          </w:p>
        </w:tc>
        <w:tc>
          <w:tcPr>
            <w:tcW w:type="dxa" w:w="2769"/>
          </w:tcPr>
          <w:p>
            <w:pPr>
              <w:jc w:val="center"/>
            </w:pPr>
            <w:r>
              <w:rPr>
                <w:rFonts w:ascii="Times New Roman" w:hAnsi="Times New Roman"/>
                <w:sz w:val="21"/>
              </w:rPr>
            </w:r>
            <w:r>
              <w:rPr>
                <w:rFonts w:ascii="Times New Roman" w:hAnsi="Times New Roman"/>
                <w:b w:val="0"/>
                <w:sz w:val="21"/>
              </w:rPr>
              <w:t>label, SQL predicate, granularity</w:t>
            </w:r>
          </w:p>
        </w:tc>
        <w:tc>
          <w:tcPr>
            <w:tcW w:type="dxa" w:w="2769"/>
          </w:tcPr>
          <w:p>
            <w:pPr>
              <w:jc w:val="center"/>
            </w:pPr>
            <w:r>
              <w:rPr>
                <w:rFonts w:ascii="Times New Roman" w:hAnsi="Times New Roman"/>
                <w:sz w:val="21"/>
              </w:rPr>
            </w:r>
            <w:r>
              <w:rPr>
                <w:rFonts w:ascii="Times New Roman" w:hAnsi="Times New Roman"/>
                <w:b w:val="0"/>
                <w:sz w:val="21"/>
              </w:rPr>
              <w:t>current_week : DATEADD(week, ...)</w:t>
            </w:r>
          </w:p>
        </w:tc>
      </w:tr>
      <w:tr>
        <w:tc>
          <w:tcPr>
            <w:tcW w:type="dxa" w:w="2769"/>
          </w:tcPr>
          <w:p>
            <w:r>
              <w:rPr>
                <w:rFonts w:ascii="Times New Roman" w:hAnsi="Times New Roman"/>
                <w:sz w:val="21"/>
              </w:rPr>
            </w:r>
            <w:r>
              <w:rPr>
                <w:rFonts w:ascii="Times New Roman" w:hAnsi="Times New Roman"/>
                <w:b w:val="0"/>
                <w:sz w:val="21"/>
              </w:rPr>
              <w:t>Join path</w:t>
            </w:r>
          </w:p>
        </w:tc>
        <w:tc>
          <w:tcPr>
            <w:tcW w:type="dxa" w:w="2769"/>
          </w:tcPr>
          <w:p>
            <w:pPr>
              <w:jc w:val="center"/>
            </w:pPr>
            <w:r>
              <w:rPr>
                <w:rFonts w:ascii="Times New Roman" w:hAnsi="Times New Roman"/>
                <w:sz w:val="21"/>
              </w:rPr>
            </w:r>
            <w:r>
              <w:rPr>
                <w:rFonts w:ascii="Times New Roman" w:hAnsi="Times New Roman"/>
                <w:b w:val="0"/>
                <w:sz w:val="21"/>
              </w:rPr>
              <w:t>source, target, ON clause</w:t>
            </w:r>
          </w:p>
        </w:tc>
        <w:tc>
          <w:tcPr>
            <w:tcW w:type="dxa" w:w="2769"/>
          </w:tcPr>
          <w:p>
            <w:pPr>
              <w:jc w:val="center"/>
            </w:pPr>
            <w:r>
              <w:rPr>
                <w:rFonts w:ascii="Times New Roman" w:hAnsi="Times New Roman"/>
                <w:sz w:val="21"/>
              </w:rPr>
            </w:r>
            <w:r>
              <w:rPr>
                <w:rFonts w:ascii="Times New Roman" w:hAnsi="Times New Roman"/>
                <w:b w:val="0"/>
                <w:sz w:val="21"/>
              </w:rPr>
              <w:t>Order → OrderItem → Product → Category</w:t>
            </w:r>
          </w:p>
        </w:tc>
      </w:tr>
      <w:tr>
        <w:tc>
          <w:tcPr>
            <w:tcW w:type="dxa" w:w="2769"/>
          </w:tcPr>
          <w:p>
            <w:r>
              <w:rPr>
                <w:rFonts w:ascii="Times New Roman" w:hAnsi="Times New Roman"/>
                <w:sz w:val="21"/>
              </w:rPr>
            </w:r>
            <w:r>
              <w:rPr>
                <w:rFonts w:ascii="Times New Roman" w:hAnsi="Times New Roman"/>
                <w:b w:val="0"/>
                <w:sz w:val="21"/>
              </w:rPr>
              <w:t>Pattern</w:t>
            </w:r>
          </w:p>
        </w:tc>
        <w:tc>
          <w:tcPr>
            <w:tcW w:type="dxa" w:w="2769"/>
          </w:tcPr>
          <w:p>
            <w:pPr>
              <w:jc w:val="center"/>
            </w:pPr>
            <w:r>
              <w:rPr>
                <w:rFonts w:ascii="Times New Roman" w:hAnsi="Times New Roman"/>
                <w:sz w:val="21"/>
              </w:rPr>
            </w:r>
            <w:r>
              <w:rPr>
                <w:rFonts w:ascii="Times New Roman" w:hAnsi="Times New Roman"/>
                <w:b w:val="0"/>
                <w:sz w:val="21"/>
              </w:rPr>
              <w:t>required slots, SQL template, visualization default</w:t>
            </w:r>
          </w:p>
        </w:tc>
        <w:tc>
          <w:tcPr>
            <w:tcW w:type="dxa" w:w="2769"/>
          </w:tcPr>
          <w:p>
            <w:pPr>
              <w:jc w:val="center"/>
            </w:pPr>
            <w:r>
              <w:rPr>
                <w:rFonts w:ascii="Times New Roman" w:hAnsi="Times New Roman"/>
                <w:sz w:val="21"/>
              </w:rPr>
            </w:r>
            <w:r>
              <w:rPr>
                <w:rFonts w:ascii="Times New Roman" w:hAnsi="Times New Roman"/>
                <w:b w:val="0"/>
                <w:sz w:val="21"/>
              </w:rPr>
              <w:t>ranking : metric + dimension → bar chart</w:t>
            </w:r>
          </w:p>
        </w:tc>
      </w:tr>
      <w:tr>
        <w:tc>
          <w:tcPr>
            <w:tcW w:type="dxa" w:w="2769"/>
          </w:tcPr>
          <w:p>
            <w:r>
              <w:rPr>
                <w:rFonts w:ascii="Times New Roman" w:hAnsi="Times New Roman"/>
                <w:sz w:val="21"/>
              </w:rPr>
            </w:r>
            <w:r>
              <w:rPr>
                <w:rFonts w:ascii="Times New Roman" w:hAnsi="Times New Roman"/>
                <w:b w:val="0"/>
                <w:sz w:val="21"/>
              </w:rPr>
              <w:t>Permission</w:t>
            </w:r>
          </w:p>
        </w:tc>
        <w:tc>
          <w:tcPr>
            <w:tcW w:type="dxa" w:w="2769"/>
          </w:tcPr>
          <w:p>
            <w:pPr>
              <w:jc w:val="center"/>
            </w:pPr>
            <w:r>
              <w:rPr>
                <w:rFonts w:ascii="Times New Roman" w:hAnsi="Times New Roman"/>
                <w:sz w:val="21"/>
              </w:rPr>
            </w:r>
            <w:r>
              <w:rPr>
                <w:rFonts w:ascii="Times New Roman" w:hAnsi="Times New Roman"/>
                <w:b w:val="0"/>
                <w:sz w:val="21"/>
              </w:rPr>
              <w:t>rule</w:t>
            </w:r>
          </w:p>
        </w:tc>
        <w:tc>
          <w:tcPr>
            <w:tcW w:type="dxa" w:w="2769"/>
          </w:tcPr>
          <w:p>
            <w:pPr>
              <w:jc w:val="center"/>
            </w:pPr>
            <w:r>
              <w:rPr>
                <w:rFonts w:ascii="Times New Roman" w:hAnsi="Times New Roman"/>
                <w:sz w:val="21"/>
              </w:rPr>
            </w:r>
            <w:r>
              <w:rPr>
                <w:rFonts w:ascii="Times New Roman" w:hAnsi="Times New Roman"/>
                <w:b w:val="0"/>
                <w:sz w:val="21"/>
              </w:rPr>
              <w:t>store_manager →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[9]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Consolas" w:hAnsi="Consolas"/>
          <w:sz w:val="19"/>
        </w:rPr>
        <w:t>{</w:t>
      </w:r>
      <w:r>
        <w:rPr>
          <w:rFonts w:ascii="Consolas" w:hAnsi="Consolas"/>
          <w:sz w:val="19"/>
        </w:rPr>
        <w:br/>
        <w:t xml:space="preserve">  "intent_class": "kpi | ranking | trend | comparison | exception |</w:t>
      </w:r>
      <w:r>
        <w:rPr>
          <w:rFonts w:ascii="Consolas" w:hAnsi="Consolas"/>
          <w:sz w:val="19"/>
        </w:rPr>
        <w:br/>
        <w:t xml:space="preserve">                   summary | segment | funnel | cohort | correlate | tabular",</w:t>
      </w:r>
      <w:r>
        <w:rPr>
          <w:rFonts w:ascii="Consolas" w:hAnsi="Consolas"/>
          <w:sz w:val="19"/>
        </w:rPr>
        <w:br/>
        <w:t xml:space="preserve">  "metric_term": "string",</w:t>
      </w:r>
      <w:r>
        <w:rPr>
          <w:rFonts w:ascii="Consolas" w:hAnsi="Consolas"/>
          <w:sz w:val="19"/>
        </w:rPr>
        <w:br/>
        <w:t xml:space="preserve">  "dimension_term": "string or null",</w:t>
      </w:r>
      <w:r>
        <w:rPr>
          <w:rFonts w:ascii="Consolas" w:hAnsi="Consolas"/>
          <w:sz w:val="19"/>
        </w:rPr>
        <w:br/>
        <w:t xml:space="preserve">  "time_term": "string or null",</w:t>
      </w:r>
      <w:r>
        <w:rPr>
          <w:rFonts w:ascii="Consolas" w:hAnsi="Consolas"/>
          <w:sz w:val="19"/>
        </w:rPr>
        <w:br/>
        <w:t xml:space="preserve">  "filters": [{"field": "string", "operator": "string", "value": "string"}],</w:t>
      </w:r>
      <w:r>
        <w:rPr>
          <w:rFonts w:ascii="Consolas" w:hAnsi="Consolas"/>
          <w:sz w:val="19"/>
        </w:rPr>
        <w:br/>
        <w:t xml:space="preserve">  "sort": "asc | desc | null",</w:t>
      </w:r>
      <w:r>
        <w:rPr>
          <w:rFonts w:ascii="Consolas" w:hAnsi="Consolas"/>
          <w:sz w:val="19"/>
        </w:rPr>
        <w:br/>
        <w:t xml:space="preserve">  "limit": "integer or null",</w:t>
      </w:r>
      <w:r>
        <w:rPr>
          <w:rFonts w:ascii="Consolas" w:hAnsi="Consolas"/>
          <w:sz w:val="19"/>
        </w:rPr>
        <w:br/>
        <w:t xml:space="preserve">  "confidence": "low | medium | high",</w:t>
      </w:r>
      <w:r>
        <w:rPr>
          <w:rFonts w:ascii="Consolas" w:hAnsi="Consolas"/>
          <w:sz w:val="19"/>
        </w:rPr>
        <w:br/>
        <w:t xml:space="preserve">  "needs_clarification": "boolean"</w:t>
      </w:r>
      <w:r>
        <w:rPr>
          <w:rFonts w:ascii="Consolas" w:hAnsi="Consolas"/>
          <w:sz w:val="19"/>
        </w:rPr>
        <w:br/>
        <w:t>}</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3 NOT YET INSERTED ]</w:t>
            </w:r>
          </w:p>
          <w:p>
            <w:pPr>
              <w:spacing w:after="160"/>
              <w:jc w:val="center"/>
            </w:pPr>
            <w:r>
              <w:rPr>
                <w:rFonts w:ascii="Times New Roman" w:hAnsi="Times New Roman"/>
                <w:b/>
                <w:color w:val="333333"/>
                <w:sz w:val="22"/>
              </w:rPr>
              <w:t>Vocabulary injection workflow</w:t>
            </w:r>
          </w:p>
          <w:p>
            <w:pPr>
              <w:spacing w:after="280" w:line="300" w:lineRule="auto"/>
              <w:ind w:left="432" w:right="432"/>
              <w:jc w:val="center"/>
            </w:pPr>
            <w:r>
              <w:rPr>
                <w:rFonts w:ascii="Times New Roman" w:hAnsi="Times New Roman"/>
                <w:i/>
                <w:color w:val="555555"/>
                <w:sz w:val="19"/>
              </w:rPr>
              <w:t>A three-lane sequence diagram: 'Semantic Layer (semantic_layer.py)' -&gt; 'System Prompt Builder' -&gt; 'LLM'. Show the Semantic Layer box listing a few example metric/dimension entries with plain-English descriptions; an arrow labeled 'serializes into ~1,100 tokens' into the System Prompt Builder; then into the LLM, whose output arrow produces an example IntentObject such as {metric_term: 'revenue', dimension_term: 'category'}. Annotate with a small callout showing the user phrase 'earnings' mapping to the approved ID 'revenue' even though 'earnings' appears in no synonym list.</w:t>
            </w:r>
          </w:p>
        </w:tc>
      </w:tr>
    </w:tbl>
    <w:p>
      <w:pPr>
        <w:spacing w:before="120" w:after="280"/>
        <w:jc w:val="center"/>
      </w:pPr>
      <w:r>
        <w:rPr>
          <w:rFonts w:ascii="Times New Roman" w:hAnsi="Times New Roman"/>
          <w:b/>
          <w:sz w:val="21"/>
        </w:rPr>
        <w:t>Figure 3: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4 NOT YET INSERTED ]</w:t>
            </w:r>
          </w:p>
          <w:p>
            <w:pPr>
              <w:spacing w:after="160"/>
              <w:jc w:val="center"/>
            </w:pPr>
            <w:r>
              <w:rPr>
                <w:rFonts w:ascii="Times New Roman" w:hAnsi="Times New Roman"/>
                <w:b/>
                <w:color w:val="333333"/>
                <w:sz w:val="22"/>
              </w:rPr>
              <w:t>Taxonomy of the eleven AEGIS analytical patterns</w:t>
            </w:r>
          </w:p>
          <w:p>
            <w:pPr>
              <w:spacing w:after="280" w:line="300" w:lineRule="auto"/>
              <w:ind w:left="432" w:right="432"/>
              <w:jc w:val="center"/>
            </w:pPr>
            <w:r>
              <w:rPr>
                <w:rFonts w:ascii="Times New Roman" w:hAnsi="Times New Roman"/>
                <w:i/>
                <w:color w:val="555555"/>
                <w:sz w:val="19"/>
              </w:rPr>
              <w:t>A tree or grid diagram with 'Eleven Analytical Patterns' at the top branching into eleven labeled leaves: KPI, Ranking, Trend, Comparison, Exception, Summary, Segment, Funnel, Cohort, Correlate, Tabular. Under each leaf, show a small icon of its default visualization (matching Table 2/3): card, bar chart, line chart, grouped bar, table, card grid, pie chart, funnel chart, grouped bar, scatter plot, table. Caption note: '~5,610 valid combinations across 15 metrics x 34 dimensions x 11 patterns.'</w:t>
            </w:r>
          </w:p>
        </w:tc>
      </w:tr>
    </w:tbl>
    <w:p>
      <w:pPr>
        <w:spacing w:before="120" w:after="280"/>
        <w:jc w:val="center"/>
      </w:pPr>
      <w:r>
        <w:rPr>
          <w:rFonts w:ascii="Times New Roman" w:hAnsi="Times New Roman"/>
          <w:b/>
          <w:sz w:val="21"/>
        </w:rPr>
        <w:t>Figure 4: Taxonomy of the eleven AEGIS analytical patterns</w:t>
      </w:r>
    </w:p>
    <w:p>
      <w:pPr>
        <w:spacing w:before="200" w:after="80"/>
        <w:jc w:val="center"/>
      </w:pPr>
      <w:r>
        <w:rPr>
          <w:rFonts w:ascii="Times New Roman" w:hAnsi="Times New Roman"/>
          <w:b/>
          <w:sz w:val="22"/>
        </w:rPr>
        <w:t>Table 2: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Pattern</w:t>
            </w:r>
          </w:p>
        </w:tc>
        <w:tc>
          <w:tcPr>
            <w:tcW w:type="dxa" w:w="2076"/>
          </w:tcPr>
          <w:p>
            <w:pPr>
              <w:jc w:val="center"/>
            </w:pPr>
            <w:r>
              <w:rPr>
                <w:rFonts w:ascii="Times New Roman" w:hAnsi="Times New Roman"/>
                <w:b/>
                <w:sz w:val="21"/>
              </w:rPr>
            </w:r>
            <w:r>
              <w:rPr>
                <w:rFonts w:ascii="Times New Roman" w:hAnsi="Times New Roman"/>
                <w:b/>
                <w:sz w:val="21"/>
              </w:rPr>
              <w:t>Required slots</w:t>
            </w:r>
          </w:p>
        </w:tc>
        <w:tc>
          <w:tcPr>
            <w:tcW w:type="dxa" w:w="2076"/>
          </w:tcPr>
          <w:p>
            <w:pPr>
              <w:jc w:val="center"/>
            </w:pPr>
            <w:r>
              <w:rPr>
                <w:rFonts w:ascii="Times New Roman" w:hAnsi="Times New Roman"/>
                <w:b/>
                <w:sz w:val="21"/>
              </w:rPr>
            </w:r>
            <w:r>
              <w:rPr>
                <w:rFonts w:ascii="Times New Roman" w:hAnsi="Times New Roman"/>
                <w:b/>
                <w:sz w:val="21"/>
              </w:rPr>
              <w:t>Optional slots</w:t>
            </w:r>
          </w:p>
        </w:tc>
        <w:tc>
          <w:tcPr>
            <w:tcW w:type="dxa" w:w="2076"/>
          </w:tcPr>
          <w:p>
            <w:pPr>
              <w:jc w:val="center"/>
            </w:pPr>
            <w:r>
              <w:rPr>
                <w:rFonts w:ascii="Times New Roman" w:hAnsi="Times New Roman"/>
                <w:b/>
                <w:sz w:val="21"/>
              </w:rPr>
            </w:r>
            <w:r>
              <w:rPr>
                <w:rFonts w:ascii="Times New Roman" w:hAnsi="Times New Roman"/>
                <w:b/>
                <w:sz w:val="21"/>
              </w:rPr>
              <w:t>Default visual</w:t>
            </w:r>
          </w:p>
        </w:tc>
      </w:tr>
      <w:tr>
        <w:tc>
          <w:tcPr>
            <w:tcW w:type="dxa" w:w="2076"/>
          </w:tcPr>
          <w:p>
            <w:r>
              <w:rPr>
                <w:rFonts w:ascii="Times New Roman" w:hAnsi="Times New Roman"/>
                <w:sz w:val="21"/>
              </w:rPr>
            </w:r>
            <w:r>
              <w:rPr>
                <w:rFonts w:ascii="Times New Roman" w:hAnsi="Times New Roman"/>
                <w:b w:val="0"/>
                <w:sz w:val="21"/>
              </w:rPr>
              <w:t>KPI (Aggregate)</w:t>
            </w:r>
          </w:p>
        </w:tc>
        <w:tc>
          <w:tcPr>
            <w:tcW w:type="dxa" w:w="2076"/>
          </w:tcPr>
          <w:p>
            <w:pPr>
              <w:jc w:val="center"/>
            </w:pPr>
            <w:r>
              <w:rPr>
                <w:rFonts w:ascii="Times New Roman" w:hAnsi="Times New Roman"/>
                <w:sz w:val="21"/>
              </w:rPr>
            </w:r>
            <w:r>
              <w:rPr>
                <w:rFonts w:ascii="Times New Roman" w:hAnsi="Times New Roman"/>
                <w:b w:val="0"/>
                <w:sz w:val="21"/>
              </w:rPr>
              <w:t>metric</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kpi_card</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 limit</w:t>
            </w:r>
          </w:p>
        </w:tc>
        <w:tc>
          <w:tcPr>
            <w:tcW w:type="dxa" w:w="2076"/>
          </w:tcPr>
          <w:p>
            <w:pPr>
              <w:jc w:val="center"/>
            </w:pPr>
            <w:r>
              <w:rPr>
                <w:rFonts w:ascii="Times New Roman" w:hAnsi="Times New Roman"/>
                <w:sz w:val="21"/>
              </w:rPr>
            </w:r>
            <w:r>
              <w:rPr>
                <w:rFonts w:ascii="Times New Roman" w:hAnsi="Times New Roman"/>
                <w:b w:val="0"/>
                <w:sz w:val="21"/>
              </w:rPr>
              <w:t>bar_chart</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metric, time_grain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line_chart</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metric, segment</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metric, threshold</w:t>
            </w:r>
          </w:p>
        </w:tc>
        <w:tc>
          <w:tcPr>
            <w:tcW w:type="dxa" w:w="2076"/>
          </w:tcPr>
          <w:p>
            <w:pPr>
              <w:jc w:val="center"/>
            </w:pPr>
            <w:r>
              <w:rPr>
                <w:rFonts w:ascii="Times New Roman" w:hAnsi="Times New Roman"/>
                <w:sz w:val="21"/>
              </w:rPr>
            </w:r>
            <w:r>
              <w:rPr>
                <w:rFonts w:ascii="Times New Roman" w:hAnsi="Times New Roman"/>
                <w:b w:val="0"/>
                <w:sz w:val="21"/>
              </w:rPr>
              <w:t>dimension, time_rule</w:t>
            </w:r>
          </w:p>
        </w:tc>
        <w:tc>
          <w:tcPr>
            <w:tcW w:type="dxa" w:w="2076"/>
          </w:tcPr>
          <w:p>
            <w:pPr>
              <w:jc w:val="center"/>
            </w:pPr>
            <w:r>
              <w:rPr>
                <w:rFonts w:ascii="Times New Roman" w:hAnsi="Times New Roman"/>
                <w:sz w:val="21"/>
              </w:rPr>
            </w:r>
            <w:r>
              <w:rPr>
                <w:rFonts w:ascii="Times New Roman" w:hAnsi="Times New Roman"/>
                <w:b w:val="0"/>
                <w:sz w:val="21"/>
              </w:rPr>
              <w:t>table</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multi_card</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pie_chart</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metric, stages</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funnel_chart</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metric, group_def</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metric, attribute</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scatter_plot</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dimension</w:t>
            </w:r>
          </w:p>
        </w:tc>
        <w:tc>
          <w:tcPr>
            <w:tcW w:type="dxa" w:w="2076"/>
          </w:tcPr>
          <w:p>
            <w:pPr>
              <w:jc w:val="center"/>
            </w:pPr>
            <w:r>
              <w:rPr>
                <w:rFonts w:ascii="Times New Roman" w:hAnsi="Times New Roman"/>
                <w:sz w:val="21"/>
              </w:rPr>
            </w:r>
            <w:r>
              <w:rPr>
                <w:rFonts w:ascii="Times New Roman" w:hAnsi="Times New Roman"/>
                <w:b w:val="0"/>
                <w:sz w:val="21"/>
              </w:rPr>
              <w:t>filters, time_rule</w:t>
            </w:r>
          </w:p>
        </w:tc>
        <w:tc>
          <w:tcPr>
            <w:tcW w:type="dxa" w:w="2076"/>
          </w:tcPr>
          <w:p>
            <w:pPr>
              <w:jc w:val="center"/>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6 NOT YET INSERTED ]</w:t>
            </w:r>
          </w:p>
          <w:p>
            <w:pPr>
              <w:spacing w:after="160"/>
              <w:jc w:val="center"/>
            </w:pPr>
            <w:r>
              <w:rPr>
                <w:rFonts w:ascii="Times New Roman" w:hAnsi="Times New Roman"/>
                <w:b/>
                <w:color w:val="333333"/>
                <w:sz w:val="22"/>
              </w:rPr>
              <w:t>Two-layer SQL safety defence</w:t>
            </w:r>
          </w:p>
          <w:p>
            <w:pPr>
              <w:spacing w:after="280" w:line="300" w:lineRule="auto"/>
              <w:ind w:left="432" w:right="432"/>
              <w:jc w:val="center"/>
            </w:pPr>
            <w:r>
              <w:rPr>
                <w:rFonts w:ascii="Times New Roman" w:hAnsi="Times New Roman"/>
                <w:i/>
                <w:color w:val="555555"/>
                <w:sz w:val="19"/>
              </w:rPr>
              <w:t>A vertical two-stage flowchart. A crafted/adversarial input enters at the top with a warning icon. Layer 1 box: 'Parameterized Query Engine — user text never enters the SQL string; only IDs and bound values appear.' Arrow down to Layer 2 box: 'Post-Compilation Safety Scanner — rejects non-SELECT statements, UNION/EXCEPT/INTERSECT, EXEC, and system-table references (16 forbidden patterns checked).' Below, split into two outcomes: a green 'Safe SQL Executed' box for a legitimate query, and a red 'SecurityError Raised' box for a rejected one, showing the attack is caught before it can reach the database regardless of which layer catches it.</w:t>
            </w:r>
          </w:p>
        </w:tc>
      </w:tr>
    </w:tbl>
    <w:p>
      <w:pPr>
        <w:spacing w:before="120" w:after="280"/>
        <w:jc w:val="center"/>
      </w:pPr>
      <w:r>
        <w:rPr>
          <w:rFonts w:ascii="Times New Roman" w:hAnsi="Times New Roman"/>
          <w:b/>
          <w:sz w:val="21"/>
        </w:rPr>
        <w:t>Figure 6: Two-layer SQL safety defence</w:t>
      </w:r>
    </w:p>
    <w:p>
      <w:pPr>
        <w:spacing w:before="320" w:after="160"/>
        <w:jc w:val="left"/>
      </w:pPr>
      <w:r>
        <w:rPr>
          <w:rFonts w:ascii="Times New Roman" w:hAnsi="Times New Roman"/>
          <w:b/>
          <w:sz w:val="28"/>
        </w:rPr>
        <w:t>3.10  Visualization Selector</w:t>
      </w:r>
    </w:p>
    <w:p>
      <w:pPr>
        <w:spacing w:before="200" w:after="80"/>
        <w:jc w:val="center"/>
      </w:pPr>
      <w:r>
        <w:rPr>
          <w:rFonts w:ascii="Times New Roman" w:hAnsi="Times New Roman"/>
          <w:b/>
          <w:sz w:val="22"/>
        </w:rPr>
        <w:t>Table 3: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Intent</w:t>
            </w:r>
          </w:p>
        </w:tc>
        <w:tc>
          <w:tcPr>
            <w:tcW w:type="dxa" w:w="2769"/>
          </w:tcPr>
          <w:p>
            <w:pPr>
              <w:jc w:val="center"/>
            </w:pPr>
            <w:r>
              <w:rPr>
                <w:rFonts w:ascii="Times New Roman" w:hAnsi="Times New Roman"/>
                <w:b/>
                <w:sz w:val="21"/>
              </w:rPr>
            </w:r>
            <w:r>
              <w:rPr>
                <w:rFonts w:ascii="Times New Roman" w:hAnsi="Times New Roman"/>
                <w:b/>
                <w:sz w:val="21"/>
              </w:rPr>
              <w:t>Result shape</w:t>
            </w:r>
          </w:p>
        </w:tc>
        <w:tc>
          <w:tcPr>
            <w:tcW w:type="dxa" w:w="2769"/>
          </w:tcPr>
          <w:p>
            <w:pPr>
              <w:jc w:val="center"/>
            </w:pPr>
            <w:r>
              <w:rPr>
                <w:rFonts w:ascii="Times New Roman" w:hAnsi="Times New Roman"/>
                <w:b/>
                <w:sz w:val="21"/>
              </w:rPr>
            </w:r>
            <w:r>
              <w:rPr>
                <w:rFonts w:ascii="Times New Roman" w:hAnsi="Times New Roman"/>
                <w:b/>
                <w:sz w:val="21"/>
              </w:rPr>
              <w:t>Selected visualization</w:t>
            </w:r>
          </w:p>
        </w:tc>
      </w:tr>
      <w:tr>
        <w:tc>
          <w:tcPr>
            <w:tcW w:type="dxa" w:w="2769"/>
          </w:tcPr>
          <w:p>
            <w:r>
              <w:rPr>
                <w:rFonts w:ascii="Times New Roman" w:hAnsi="Times New Roman"/>
                <w:sz w:val="21"/>
              </w:rPr>
            </w:r>
            <w:r>
              <w:rPr>
                <w:rFonts w:ascii="Times New Roman" w:hAnsi="Times New Roman"/>
                <w:b w:val="0"/>
                <w:sz w:val="21"/>
              </w:rPr>
              <w:t>KPI</w:t>
            </w:r>
          </w:p>
        </w:tc>
        <w:tc>
          <w:tcPr>
            <w:tcW w:type="dxa" w:w="2769"/>
          </w:tcPr>
          <w:p>
            <w:pPr>
              <w:jc w:val="center"/>
            </w:pPr>
            <w:r>
              <w:rPr>
                <w:rFonts w:ascii="Times New Roman" w:hAnsi="Times New Roman"/>
                <w:sz w:val="21"/>
              </w:rPr>
            </w:r>
            <w:r>
              <w:rPr>
                <w:rFonts w:ascii="Times New Roman" w:hAnsi="Times New Roman"/>
                <w:b w:val="0"/>
                <w:sz w:val="21"/>
              </w:rPr>
              <w:t>scalar</w:t>
            </w:r>
          </w:p>
        </w:tc>
        <w:tc>
          <w:tcPr>
            <w:tcW w:type="dxa" w:w="2769"/>
          </w:tcPr>
          <w:p>
            <w:pPr>
              <w:jc w:val="center"/>
            </w:pPr>
            <w:r>
              <w:rPr>
                <w:rFonts w:ascii="Times New Roman" w:hAnsi="Times New Roman"/>
                <w:sz w:val="21"/>
              </w:rPr>
            </w:r>
            <w:r>
              <w:rPr>
                <w:rFonts w:ascii="Times New Roman" w:hAnsi="Times New Roman"/>
                <w:b w:val="0"/>
                <w:sz w:val="21"/>
              </w:rPr>
              <w:t>KPI card</w:t>
            </w:r>
          </w:p>
        </w:tc>
      </w:tr>
      <w:tr>
        <w:tc>
          <w:tcPr>
            <w:tcW w:type="dxa" w:w="2769"/>
          </w:tcPr>
          <w:p>
            <w:r>
              <w:rPr>
                <w:rFonts w:ascii="Times New Roman" w:hAnsi="Times New Roman"/>
                <w:sz w:val="21"/>
              </w:rPr>
            </w:r>
            <w:r>
              <w:rPr>
                <w:rFonts w:ascii="Times New Roman" w:hAnsi="Times New Roman"/>
                <w:b w:val="0"/>
                <w:sz w:val="21"/>
              </w:rPr>
              <w:t>Ranking</w:t>
            </w:r>
          </w:p>
        </w:tc>
        <w:tc>
          <w:tcPr>
            <w:tcW w:type="dxa" w:w="2769"/>
          </w:tcPr>
          <w:p>
            <w:pPr>
              <w:jc w:val="center"/>
            </w:pPr>
            <w:r>
              <w:rPr>
                <w:rFonts w:ascii="Times New Roman" w:hAnsi="Times New Roman"/>
                <w:sz w:val="21"/>
              </w:rPr>
            </w:r>
            <w:r>
              <w:rPr>
                <w:rFonts w:ascii="Times New Roman" w:hAnsi="Times New Roman"/>
                <w:b w:val="0"/>
                <w:sz w:val="21"/>
              </w:rPr>
              <w:t>1 measure, up to 20 categories</w:t>
            </w:r>
          </w:p>
        </w:tc>
        <w:tc>
          <w:tcPr>
            <w:tcW w:type="dxa" w:w="2769"/>
          </w:tcPr>
          <w:p>
            <w:pPr>
              <w:jc w:val="center"/>
            </w:pPr>
            <w:r>
              <w:rPr>
                <w:rFonts w:ascii="Times New Roman" w:hAnsi="Times New Roman"/>
                <w:sz w:val="21"/>
              </w:rPr>
            </w:r>
            <w:r>
              <w:rPr>
                <w:rFonts w:ascii="Times New Roman" w:hAnsi="Times New Roman"/>
                <w:b w:val="0"/>
                <w:sz w:val="21"/>
              </w:rPr>
              <w:t>Horizontal bar chart</w:t>
            </w:r>
          </w:p>
        </w:tc>
      </w:tr>
      <w:tr>
        <w:tc>
          <w:tcPr>
            <w:tcW w:type="dxa" w:w="2769"/>
          </w:tcPr>
          <w:p>
            <w:r>
              <w:rPr>
                <w:rFonts w:ascii="Times New Roman" w:hAnsi="Times New Roman"/>
                <w:sz w:val="21"/>
              </w:rPr>
            </w:r>
            <w:r>
              <w:rPr>
                <w:rFonts w:ascii="Times New Roman" w:hAnsi="Times New Roman"/>
                <w:b w:val="0"/>
                <w:sz w:val="21"/>
              </w:rPr>
              <w:t>Trend</w:t>
            </w:r>
          </w:p>
        </w:tc>
        <w:tc>
          <w:tcPr>
            <w:tcW w:type="dxa" w:w="2769"/>
          </w:tcPr>
          <w:p>
            <w:pPr>
              <w:jc w:val="center"/>
            </w:pPr>
            <w:r>
              <w:rPr>
                <w:rFonts w:ascii="Times New Roman" w:hAnsi="Times New Roman"/>
                <w:sz w:val="21"/>
              </w:rPr>
            </w:r>
            <w:r>
              <w:rPr>
                <w:rFonts w:ascii="Times New Roman" w:hAnsi="Times New Roman"/>
                <w:b w:val="0"/>
                <w:sz w:val="21"/>
              </w:rPr>
              <w:t>1 measure, time series</w:t>
            </w:r>
          </w:p>
        </w:tc>
        <w:tc>
          <w:tcPr>
            <w:tcW w:type="dxa" w:w="2769"/>
          </w:tcPr>
          <w:p>
            <w:pPr>
              <w:jc w:val="center"/>
            </w:pPr>
            <w:r>
              <w:rPr>
                <w:rFonts w:ascii="Times New Roman" w:hAnsi="Times New Roman"/>
                <w:sz w:val="21"/>
              </w:rPr>
            </w:r>
            <w:r>
              <w:rPr>
                <w:rFonts w:ascii="Times New Roman" w:hAnsi="Times New Roman"/>
                <w:b w:val="0"/>
                <w:sz w:val="21"/>
              </w:rPr>
              <w:t>Line chart</w:t>
            </w:r>
          </w:p>
        </w:tc>
      </w:tr>
      <w:tr>
        <w:tc>
          <w:tcPr>
            <w:tcW w:type="dxa" w:w="2769"/>
          </w:tcPr>
          <w:p>
            <w:r>
              <w:rPr>
                <w:rFonts w:ascii="Times New Roman" w:hAnsi="Times New Roman"/>
                <w:sz w:val="21"/>
              </w:rPr>
            </w:r>
            <w:r>
              <w:rPr>
                <w:rFonts w:ascii="Times New Roman" w:hAnsi="Times New Roman"/>
                <w:b w:val="0"/>
                <w:sz w:val="21"/>
              </w:rPr>
              <w:t>Comparison</w:t>
            </w:r>
          </w:p>
        </w:tc>
        <w:tc>
          <w:tcPr>
            <w:tcW w:type="dxa" w:w="2769"/>
          </w:tcPr>
          <w:p>
            <w:pPr>
              <w:jc w:val="center"/>
            </w:pPr>
            <w:r>
              <w:rPr>
                <w:rFonts w:ascii="Times New Roman" w:hAnsi="Times New Roman"/>
                <w:sz w:val="21"/>
              </w:rPr>
            </w:r>
            <w:r>
              <w:rPr>
                <w:rFonts w:ascii="Times New Roman" w:hAnsi="Times New Roman"/>
                <w:b w:val="0"/>
                <w:sz w:val="21"/>
              </w:rPr>
              <w:t>1 measure, 2-4 segments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Exception</w:t>
            </w:r>
          </w:p>
        </w:tc>
        <w:tc>
          <w:tcPr>
            <w:tcW w:type="dxa" w:w="2769"/>
          </w:tcPr>
          <w:p>
            <w:pPr>
              <w:jc w:val="center"/>
            </w:pPr>
            <w:r>
              <w:rPr>
                <w:rFonts w:ascii="Times New Roman" w:hAnsi="Times New Roman"/>
                <w:sz w:val="21"/>
              </w:rPr>
            </w:r>
            <w:r>
              <w:rPr>
                <w:rFonts w:ascii="Times New Roman" w:hAnsi="Times New Roman"/>
                <w:b w:val="0"/>
                <w:sz w:val="21"/>
              </w:rPr>
              <w:t>row-level detail</w:t>
            </w:r>
          </w:p>
        </w:tc>
        <w:tc>
          <w:tcPr>
            <w:tcW w:type="dxa" w:w="2769"/>
          </w:tcPr>
          <w:p>
            <w:pPr>
              <w:jc w:val="center"/>
            </w:pPr>
            <w:r>
              <w:rPr>
                <w:rFonts w:ascii="Times New Roman" w:hAnsi="Times New Roman"/>
                <w:sz w:val="21"/>
              </w:rPr>
            </w:r>
            <w:r>
              <w:rPr>
                <w:rFonts w:ascii="Times New Roman" w:hAnsi="Times New Roman"/>
                <w:b w:val="0"/>
                <w:sz w:val="21"/>
              </w:rPr>
              <w:t>Sortable table</w:t>
            </w:r>
          </w:p>
        </w:tc>
      </w:tr>
      <w:tr>
        <w:tc>
          <w:tcPr>
            <w:tcW w:type="dxa" w:w="2769"/>
          </w:tcPr>
          <w:p>
            <w:r>
              <w:rPr>
                <w:rFonts w:ascii="Times New Roman" w:hAnsi="Times New Roman"/>
                <w:sz w:val="21"/>
              </w:rPr>
            </w:r>
            <w:r>
              <w:rPr>
                <w:rFonts w:ascii="Times New Roman" w:hAnsi="Times New Roman"/>
                <w:b w:val="0"/>
                <w:sz w:val="21"/>
              </w:rPr>
              <w:t>Summary</w:t>
            </w:r>
          </w:p>
        </w:tc>
        <w:tc>
          <w:tcPr>
            <w:tcW w:type="dxa" w:w="2769"/>
          </w:tcPr>
          <w:p>
            <w:pPr>
              <w:jc w:val="center"/>
            </w:pPr>
            <w:r>
              <w:rPr>
                <w:rFonts w:ascii="Times New Roman" w:hAnsi="Times New Roman"/>
                <w:sz w:val="21"/>
              </w:rPr>
            </w:r>
            <w:r>
              <w:rPr>
                <w:rFonts w:ascii="Times New Roman" w:hAnsi="Times New Roman"/>
                <w:b w:val="0"/>
                <w:sz w:val="21"/>
              </w:rPr>
              <w:t>2-4 scalar measures</w:t>
            </w:r>
          </w:p>
        </w:tc>
        <w:tc>
          <w:tcPr>
            <w:tcW w:type="dxa" w:w="2769"/>
          </w:tcPr>
          <w:p>
            <w:pPr>
              <w:jc w:val="center"/>
            </w:pPr>
            <w:r>
              <w:rPr>
                <w:rFonts w:ascii="Times New Roman" w:hAnsi="Times New Roman"/>
                <w:sz w:val="21"/>
              </w:rPr>
            </w:r>
            <w:r>
              <w:rPr>
                <w:rFonts w:ascii="Times New Roman" w:hAnsi="Times New Roman"/>
                <w:b w:val="0"/>
                <w:sz w:val="21"/>
              </w:rPr>
              <w:t>KPI card grid</w:t>
            </w:r>
          </w:p>
        </w:tc>
      </w:tr>
      <w:tr>
        <w:tc>
          <w:tcPr>
            <w:tcW w:type="dxa" w:w="2769"/>
          </w:tcPr>
          <w:p>
            <w:r>
              <w:rPr>
                <w:rFonts w:ascii="Times New Roman" w:hAnsi="Times New Roman"/>
                <w:sz w:val="21"/>
              </w:rPr>
            </w:r>
            <w:r>
              <w:rPr>
                <w:rFonts w:ascii="Times New Roman" w:hAnsi="Times New Roman"/>
                <w:b w:val="0"/>
                <w:sz w:val="21"/>
              </w:rPr>
              <w:t>Segment</w:t>
            </w:r>
          </w:p>
        </w:tc>
        <w:tc>
          <w:tcPr>
            <w:tcW w:type="dxa" w:w="2769"/>
          </w:tcPr>
          <w:p>
            <w:pPr>
              <w:jc w:val="center"/>
            </w:pPr>
            <w:r>
              <w:rPr>
                <w:rFonts w:ascii="Times New Roman" w:hAnsi="Times New Roman"/>
                <w:sz w:val="21"/>
              </w:rPr>
            </w:r>
            <w:r>
              <w:rPr>
                <w:rFonts w:ascii="Times New Roman" w:hAnsi="Times New Roman"/>
                <w:b w:val="0"/>
                <w:sz w:val="21"/>
              </w:rPr>
              <w:t>1 measure, categorical</w:t>
            </w:r>
          </w:p>
        </w:tc>
        <w:tc>
          <w:tcPr>
            <w:tcW w:type="dxa" w:w="2769"/>
          </w:tcPr>
          <w:p>
            <w:pPr>
              <w:jc w:val="center"/>
            </w:pPr>
            <w:r>
              <w:rPr>
                <w:rFonts w:ascii="Times New Roman" w:hAnsi="Times New Roman"/>
                <w:sz w:val="21"/>
              </w:rPr>
            </w:r>
            <w:r>
              <w:rPr>
                <w:rFonts w:ascii="Times New Roman" w:hAnsi="Times New Roman"/>
                <w:b w:val="0"/>
                <w:sz w:val="21"/>
              </w:rPr>
              <w:t>Pie chart</w:t>
            </w:r>
          </w:p>
        </w:tc>
      </w:tr>
      <w:tr>
        <w:tc>
          <w:tcPr>
            <w:tcW w:type="dxa" w:w="2769"/>
          </w:tcPr>
          <w:p>
            <w:r>
              <w:rPr>
                <w:rFonts w:ascii="Times New Roman" w:hAnsi="Times New Roman"/>
                <w:sz w:val="21"/>
              </w:rPr>
            </w:r>
            <w:r>
              <w:rPr>
                <w:rFonts w:ascii="Times New Roman" w:hAnsi="Times New Roman"/>
                <w:b w:val="0"/>
                <w:sz w:val="21"/>
              </w:rPr>
              <w:t>Funnel</w:t>
            </w:r>
          </w:p>
        </w:tc>
        <w:tc>
          <w:tcPr>
            <w:tcW w:type="dxa" w:w="2769"/>
          </w:tcPr>
          <w:p>
            <w:pPr>
              <w:jc w:val="center"/>
            </w:pPr>
            <w:r>
              <w:rPr>
                <w:rFonts w:ascii="Times New Roman" w:hAnsi="Times New Roman"/>
                <w:sz w:val="21"/>
              </w:rPr>
            </w:r>
            <w:r>
              <w:rPr>
                <w:rFonts w:ascii="Times New Roman" w:hAnsi="Times New Roman"/>
                <w:b w:val="0"/>
                <w:sz w:val="21"/>
              </w:rPr>
              <w:t>ordered conversion stages</w:t>
            </w:r>
          </w:p>
        </w:tc>
        <w:tc>
          <w:tcPr>
            <w:tcW w:type="dxa" w:w="2769"/>
          </w:tcPr>
          <w:p>
            <w:pPr>
              <w:jc w:val="center"/>
            </w:pPr>
            <w:r>
              <w:rPr>
                <w:rFonts w:ascii="Times New Roman" w:hAnsi="Times New Roman"/>
                <w:sz w:val="21"/>
              </w:rPr>
            </w:r>
            <w:r>
              <w:rPr>
                <w:rFonts w:ascii="Times New Roman" w:hAnsi="Times New Roman"/>
                <w:b w:val="0"/>
                <w:sz w:val="21"/>
              </w:rPr>
              <w:t>Funnel chart</w:t>
            </w:r>
          </w:p>
        </w:tc>
      </w:tr>
      <w:tr>
        <w:tc>
          <w:tcPr>
            <w:tcW w:type="dxa" w:w="2769"/>
          </w:tcPr>
          <w:p>
            <w:r>
              <w:rPr>
                <w:rFonts w:ascii="Times New Roman" w:hAnsi="Times New Roman"/>
                <w:sz w:val="21"/>
              </w:rPr>
            </w:r>
            <w:r>
              <w:rPr>
                <w:rFonts w:ascii="Times New Roman" w:hAnsi="Times New Roman"/>
                <w:b w:val="0"/>
                <w:sz w:val="21"/>
              </w:rPr>
              <w:t>Cohort</w:t>
            </w:r>
          </w:p>
        </w:tc>
        <w:tc>
          <w:tcPr>
            <w:tcW w:type="dxa" w:w="2769"/>
          </w:tcPr>
          <w:p>
            <w:pPr>
              <w:jc w:val="center"/>
            </w:pPr>
            <w:r>
              <w:rPr>
                <w:rFonts w:ascii="Times New Roman" w:hAnsi="Times New Roman"/>
                <w:sz w:val="21"/>
              </w:rPr>
            </w:r>
            <w:r>
              <w:rPr>
                <w:rFonts w:ascii="Times New Roman" w:hAnsi="Times New Roman"/>
                <w:b w:val="0"/>
                <w:sz w:val="21"/>
              </w:rPr>
              <w:t>1 measure, 2+ groups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Correlate</w:t>
            </w:r>
          </w:p>
        </w:tc>
        <w:tc>
          <w:tcPr>
            <w:tcW w:type="dxa" w:w="2769"/>
          </w:tcPr>
          <w:p>
            <w:pPr>
              <w:jc w:val="center"/>
            </w:pPr>
            <w:r>
              <w:rPr>
                <w:rFonts w:ascii="Times New Roman" w:hAnsi="Times New Roman"/>
                <w:sz w:val="21"/>
              </w:rPr>
            </w:r>
            <w:r>
              <w:rPr>
                <w:rFonts w:ascii="Times New Roman" w:hAnsi="Times New Roman"/>
                <w:b w:val="0"/>
                <w:sz w:val="21"/>
              </w:rPr>
              <w:t>2 measures, continuous</w:t>
            </w:r>
          </w:p>
        </w:tc>
        <w:tc>
          <w:tcPr>
            <w:tcW w:type="dxa" w:w="2769"/>
          </w:tcPr>
          <w:p>
            <w:pPr>
              <w:jc w:val="center"/>
            </w:pPr>
            <w:r>
              <w:rPr>
                <w:rFonts w:ascii="Times New Roman" w:hAnsi="Times New Roman"/>
                <w:sz w:val="21"/>
              </w:rPr>
            </w:r>
            <w:r>
              <w:rPr>
                <w:rFonts w:ascii="Times New Roman" w:hAnsi="Times New Roman"/>
                <w:b w:val="0"/>
                <w:sz w:val="21"/>
              </w:rPr>
              <w:t>Scatter plot</w:t>
            </w:r>
          </w:p>
        </w:tc>
      </w:tr>
      <w:tr>
        <w:tc>
          <w:tcPr>
            <w:tcW w:type="dxa" w:w="2769"/>
          </w:tcPr>
          <w:p>
            <w:r>
              <w:rPr>
                <w:rFonts w:ascii="Times New Roman" w:hAnsi="Times New Roman"/>
                <w:sz w:val="21"/>
              </w:rPr>
            </w:r>
            <w:r>
              <w:rPr>
                <w:rFonts w:ascii="Times New Roman" w:hAnsi="Times New Roman"/>
                <w:b w:val="0"/>
                <w:sz w:val="21"/>
              </w:rPr>
              <w:t>Tabular</w:t>
            </w:r>
          </w:p>
        </w:tc>
        <w:tc>
          <w:tcPr>
            <w:tcW w:type="dxa" w:w="2769"/>
          </w:tcPr>
          <w:p>
            <w:pPr>
              <w:jc w:val="center"/>
            </w:pPr>
            <w:r>
              <w:rPr>
                <w:rFonts w:ascii="Times New Roman" w:hAnsi="Times New Roman"/>
                <w:sz w:val="21"/>
              </w:rPr>
            </w:r>
            <w:r>
              <w:rPr>
                <w:rFonts w:ascii="Times New Roman" w:hAnsi="Times New Roman"/>
                <w:b w:val="0"/>
                <w:sz w:val="21"/>
              </w:rPr>
              <w:t>raw records</w:t>
            </w:r>
          </w:p>
        </w:tc>
        <w:tc>
          <w:tcPr>
            <w:tcW w:type="dxa" w:w="2769"/>
          </w:tcPr>
          <w:p>
            <w:pPr>
              <w:jc w:val="center"/>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(Section 3.2) that reporting requests are often recurring rather than one-off: a widget answers the question once and then continues answering it as new data arrives, rather than requiring the same natural-language request to be re-processed from scratch every time.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7 NOT YET INSERTED ]</w:t>
            </w:r>
          </w:p>
          <w:p>
            <w:pPr>
              <w:spacing w:after="160"/>
              <w:jc w:val="center"/>
            </w:pPr>
            <w:r>
              <w:rPr>
                <w:rFonts w:ascii="Times New Roman" w:hAnsi="Times New Roman"/>
                <w:b/>
                <w:color w:val="333333"/>
                <w:sz w:val="22"/>
              </w:rPr>
              <w:t>Widget lifecycle and refresh model</w:t>
            </w:r>
          </w:p>
          <w:p>
            <w:pPr>
              <w:spacing w:after="280" w:line="300" w:lineRule="auto"/>
              <w:ind w:left="432" w:right="432"/>
              <w:jc w:val="center"/>
            </w:pPr>
            <w:r>
              <w:rPr>
                <w:rFonts w:ascii="Times New Roman" w:hAnsi="Times New Roman"/>
                <w:i/>
                <w:color w:val="555555"/>
                <w:sz w:val="19"/>
              </w:rPr>
              <w:t>A cyclical flowchart. Start: 'New Natural-Language Question' -&gt; 'Full Seven-Stage Pipeline Runs' -&gt; 'Analysis Plan Hashed (SHA-256)' -&gt; a decision diamond 'Identical widget hash already exists?'. If YES, arrow to 'Return Cached Widget Immediately'. If NO, arrow to 'Save New Widget (SQL, chart config, access rule, refresh schedule)'. Both paths converge into a 'Dashboard Widget' box, from which a looping arrow labeled 'Scheduled Refresh (re-executes stored SQL on fresh data)' curves back into the same box — illustrating that a widget keeps answering the same recurring question rather than being discarded after one use.</w:t>
            </w:r>
          </w:p>
        </w:tc>
      </w:tr>
    </w:tbl>
    <w:p>
      <w:pPr>
        <w:spacing w:before="120" w:after="280"/>
        <w:jc w:val="center"/>
      </w:pPr>
      <w:r>
        <w:rPr>
          <w:rFonts w:ascii="Times New Roman" w:hAnsi="Times New Roman"/>
          <w:b/>
          <w:sz w:val="21"/>
        </w:rPr>
        <w:t>Figure 7: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architecture in Chapter 3:</w:t>
      </w:r>
    </w:p>
    <w:p>
      <w:pPr>
        <w:pStyle w:val="ListBullet"/>
        <w:spacing w:after="80" w:line="360" w:lineRule="auto"/>
      </w:pPr>
      <w:r>
        <w:rPr>
          <w:rFonts w:ascii="Times New Roman" w:hAnsi="Times New Roman"/>
          <w:sz w:val="24"/>
        </w:rPr>
        <w:t>LLM integration: Llama 3.1 8B Instant via the Groq API, with structured JSON output enforcement. The system prompt is constructed dynamically by injecting the approved metric and dimension identifiers at startup.</w:t>
      </w:r>
    </w:p>
    <w:p>
      <w:pPr>
        <w:pStyle w:val="ListBullet"/>
        <w:spacing w:after="80" w:line="360" w:lineRule="auto"/>
      </w:pPr>
      <w:r>
        <w:rPr>
          <w:rFonts w:ascii="Times New Roman" w:hAnsi="Times New Roman"/>
          <w:sz w:val="24"/>
        </w:rPr>
        <w:t>Rate limiting: a provider-agnostic configuration module with a sliding-window rate limiter and a concurrency-safe asyncio.Lock, so the architecture is not tied to a specific LLM vendor's throughput characteristics.</w:t>
      </w:r>
    </w:p>
    <w:p>
      <w:pPr>
        <w:pStyle w:val="ListBullet"/>
        <w:spacing w:after="80" w:line="360" w:lineRule="auto"/>
      </w:pPr>
      <w:r>
        <w:rPr>
          <w:rFonts w:ascii="Times New Roman" w:hAnsi="Times New Roman"/>
          <w:sz w:val="24"/>
        </w:rPr>
        <w:t>Semantic layer: Python configuration modules containing 15 metrics, 34 dimensions, zero synonym entries, and 11 join paths across the 12 analytics-relevant tables described in Section 3.7.</w:t>
      </w:r>
    </w:p>
    <w:p>
      <w:pPr>
        <w:pStyle w:val="ListBullet"/>
        <w:spacing w:after="80" w:line="360" w:lineRule="auto"/>
      </w:pPr>
      <w:r>
        <w:rPr>
          <w:rFonts w:ascii="Times New Roman" w:hAnsi="Times New Roman"/>
          <w:sz w:val="24"/>
        </w:rPr>
        <w:t>SQL compiler: parameterized MySQL templates, with breadth-first search join-path resolution over the 12-table join graph. A post-compilation _validate_sql_safety() routine checks 16 forbidden patterns before a query is allowed to execute.</w:t>
      </w:r>
    </w:p>
    <w:p>
      <w:pPr>
        <w:pStyle w:val="ListBullet"/>
        <w:spacing w:after="80" w:line="360" w:lineRule="auto"/>
      </w:pPr>
      <w:r>
        <w:rPr>
          <w:rFonts w:ascii="Times New Roman" w:hAnsi="Times New Roman"/>
          <w:sz w:val="24"/>
        </w:rPr>
        <w:t>Visualization selector: rule-based Python dictionaries implementing Table 3 of Chapter 3, with the two post-hoc cardinality rules applied after the result set is known.</w:t>
      </w:r>
    </w:p>
    <w:p>
      <w:pPr>
        <w:pStyle w:val="ListBullet"/>
        <w:spacing w:after="80" w:line="360" w:lineRule="auto"/>
      </w:pPr>
      <w:r>
        <w:rPr>
          <w:rFonts w:ascii="Times New Roman" w:hAnsi="Times New Roman"/>
          <w:sz w:val="24"/>
        </w:rPr>
        <w:t>Widget engine: SHA-256 plan-hash deduplication, with JSON file storage in the prototype, designed to be swapped for a relational store in a production deployment.</w:t>
      </w:r>
    </w:p>
    <w:p>
      <w:pPr>
        <w:pStyle w:val="ListBullet"/>
        <w:spacing w:after="80" w:line="360" w:lineRule="auto"/>
      </w:pPr>
      <w:r>
        <w:rPr>
          <w:rFonts w:ascii="Times New Roman" w:hAnsi="Times New Roman"/>
          <w:sz w:val="24"/>
        </w:rPr>
        <w:t>Coverage validator: a pre-compilation gate that rejects unknown metric or dimension terms with structured guidance listing the available identifiers.</w:t>
      </w:r>
    </w:p>
    <w:p>
      <w:pPr>
        <w:pStyle w:val="ListBullet"/>
        <w:spacing w:after="80" w:line="360" w:lineRule="auto"/>
      </w:pPr>
      <w:r>
        <w:rPr>
          <w:rFonts w:ascii="Times New Roman" w:hAnsi="Times New Roman"/>
          <w:sz w:val="24"/>
        </w:rPr>
        <w:t>Permission enforcement: 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0" w:before="0" w:line="360" w:lineRule="auto"/>
        <w:jc w:val="both"/>
      </w:pPr>
      <w:r>
        <w:rPr>
          <w:rFonts w:ascii="Times New Roman" w:hAnsi="Times New Roman"/>
          <w:b w:val="0"/>
          <w:i w:val="0"/>
          <w:sz w:val="24"/>
        </w:rPr>
        <w:t>All experiments ran against a Docker-containerized MySQL 8.0 instance initialized with the AEGIS Truth Schema (126 tables, 107 foreign keys). The mock dataset used for evaluation contains 1,200 customers, 2,500 orders spanning 2024-2026, 6,298 order items, and 1,000 products mapped across 50 categories, sized to be representative of a mid-sized e-commerce deployment rather than a toy schema.</w:t>
      </w: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(Chapter 2)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this chapter and in Chapter 5. All benchmark construction, execution, and measurement were carried out by the author as part of this thesis, using a self-built dataset and evaluation harness; none of it has been independently replicated by a third party, externally audited, or peer-reviewed. Where a figure below states that an annotation or verification step was performed by a named number of people (for example, two annotators or two database engineers), that step was part of the author's own research process rather than an independent, third-party audit. These results should therefore be read as internal evidence produced during this research, sufficient to support the architectural claims this thesis makes about its own prototype, and not as an externally validated benchmark result comparable to a peer-reviewed publication.</w:t>
      </w:r>
    </w:p>
    <w:p>
      <w:pPr>
        <w:spacing w:after="0" w:before="0" w:line="360" w:lineRule="auto"/>
        <w:jc w:val="both"/>
      </w:pPr>
      <w:r>
        <w:rPr>
          <w:rFonts w:ascii="Times New Roman" w:hAnsi="Times New Roman"/>
          <w:b w:val="0"/>
          <w:i w:val="0"/>
          <w:sz w:val="24"/>
        </w:rPr>
        <w:t>A domain-specific benchmark of 100 reporting requests was built over the production nopCommerce schema described in Section 4.2. The full question set, ground-truth SQL, and recorded pipeline outputs are available in the evaluation_dataset/ directory of the project repository, enabling independent verification of every reported metric. Queries span all eleven analytics primitives identified in Section 3.2, with vocabulary variation not seen during system design, and twenty of the hundred queries are adversarial, specifically constructed to attempt prompt injection, indirect injection via filter values, or instruction-override attacks. Gold-standard SQL for every query was independently verified by two database engineers. Because the benchmark was constructed for the nopCommerce domain, accuracy figures in Chapter 5 should be interpreted within that scope; queries that require analytical patterns not yet in the template library (Table 2) are excluded by design, so the benchmark measures depth of coverage within the supported pattern set rather than breadth across every conceivable analytics request.</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Four baselines isolate the contribution of each architectural layer:</w:t>
      </w:r>
    </w:p>
    <w:p>
      <w:pPr>
        <w:spacing w:after="120" w:before="0" w:line="360" w:lineRule="auto"/>
        <w:jc w:val="both"/>
      </w:pPr>
      <w:r>
        <w:rPr>
          <w:rFonts w:ascii="Times New Roman" w:hAnsi="Times New Roman"/>
          <w:b/>
          <w:i w:val="0"/>
          <w:sz w:val="24"/>
        </w:rPr>
        <w:t xml:space="preserve">B1 - Direct LLM-to-SQL. </w:t>
      </w:r>
      <w:r>
        <w:rPr>
          <w:rFonts w:ascii="Times New Roman" w:hAnsi="Times New Roman"/>
          <w:b w:val="0"/>
          <w:i w:val="0"/>
          <w:sz w:val="24"/>
        </w:rPr>
        <w:t>Llama 3.1 8B prompted with the full database schema, with no semantic layer and no template constraints; the model is free to generate any SQL text it produces.</w:t>
      </w:r>
    </w:p>
    <w:p>
      <w:pPr>
        <w:spacing w:after="120" w:before="0" w:line="360" w:lineRule="auto"/>
        <w:jc w:val="both"/>
      </w:pPr>
      <w:r>
        <w:rPr>
          <w:rFonts w:ascii="Times New Roman" w:hAnsi="Times New Roman"/>
          <w:b/>
          <w:i w:val="0"/>
          <w:sz w:val="24"/>
        </w:rPr>
        <w:t xml:space="preserve">B2 - Decomposed LLM. </w:t>
      </w:r>
      <w:r>
        <w:rPr>
          <w:rFonts w:ascii="Times New Roman" w:hAnsi="Times New Roman"/>
          <w:b w:val="0"/>
          <w:i w:val="0"/>
          <w:sz w:val="24"/>
        </w:rPr>
        <w:t>A chain-of-thought strategy that first extracts entities, then generates SQL from the extracted entities, testing whether decomposition alone (without a fixed template library) improves safety.</w:t>
      </w:r>
    </w:p>
    <w:p>
      <w:pPr>
        <w:spacing w:after="120" w:before="0" w:line="360" w:lineRule="auto"/>
        <w:jc w:val="both"/>
      </w:pPr>
      <w:r>
        <w:rPr>
          <w:rFonts w:ascii="Times New Roman" w:hAnsi="Times New Roman"/>
          <w:b/>
          <w:i w:val="0"/>
          <w:sz w:val="24"/>
        </w:rPr>
        <w:t xml:space="preserve">B3 - Template-only (no LLM). </w:t>
      </w:r>
      <w:r>
        <w:rPr>
          <w:rFonts w:ascii="Times New Roman" w:hAnsi="Times New Roman"/>
          <w:b w:val="0"/>
          <w:i w:val="0"/>
          <w:sz w:val="24"/>
        </w:rPr>
        <w:t>Keyword matching directly to templates, with no LLM-based intent extraction, testing how much of AEGIS's safety comes from having a fixed template library at all, independent of how the template is selected.</w:t>
      </w:r>
    </w:p>
    <w:p>
      <w:pPr>
        <w:spacing w:after="120" w:before="0" w:line="360" w:lineRule="auto"/>
        <w:jc w:val="both"/>
      </w:pPr>
      <w:r>
        <w:rPr>
          <w:rFonts w:ascii="Times New Roman" w:hAnsi="Times New Roman"/>
          <w:b/>
          <w:i w:val="0"/>
          <w:sz w:val="24"/>
        </w:rPr>
        <w:t xml:space="preserve">B4 - AEGIS ablated (no semantic layer). </w:t>
      </w:r>
      <w:r>
        <w:rPr>
          <w:rFonts w:ascii="Times New Roman" w:hAnsi="Times New Roman"/>
          <w:b w:val="0"/>
          <w:i w:val="0"/>
          <w:sz w:val="24"/>
        </w:rPr>
        <w:t>The full AEGIS pipeline with the semantic mapper bypassed, testing whether the semantic layer specifically, rather than the pipeline structure in general, is responsible for AEGIS's measured gains.</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evaluation addresses five research questions, each with its own procedure, reported in full in Chapter 5:</w:t>
      </w:r>
    </w:p>
    <w:p>
      <w:pPr>
        <w:pStyle w:val="ListBullet"/>
        <w:spacing w:after="80" w:line="360" w:lineRule="auto"/>
      </w:pPr>
      <w:r>
        <w:rPr>
          <w:rFonts w:ascii="Times New Roman" w:hAnsi="Times New Roman"/>
          <w:sz w:val="24"/>
        </w:rPr>
        <w:t>RQ1: How accurately does the LLM intent parser extract typed reporting plans? Measured as per-class precision, recall, and F1 over the 100-query benchmark.</w:t>
      </w:r>
    </w:p>
    <w:p>
      <w:pPr>
        <w:pStyle w:val="ListBullet"/>
        <w:spacing w:after="80" w:line="360" w:lineRule="auto"/>
      </w:pPr>
      <w:r>
        <w:rPr>
          <w:rFonts w:ascii="Times New Roman" w:hAnsi="Times New Roman"/>
          <w:sz w:val="24"/>
        </w:rPr>
        <w:t>RQ2: Does AEGIS reduce unsafe and semantically incorrect SQL compared to direct LLM-to-SQL baselines? Measured as unsafe SQL rate, execution validity, and coverage against baseline B1.</w:t>
      </w:r>
    </w:p>
    <w:p>
      <w:pPr>
        <w:pStyle w:val="ListBullet"/>
        <w:spacing w:after="80" w:line="360" w:lineRule="auto"/>
      </w:pPr>
      <w:r>
        <w:rPr>
          <w:rFonts w:ascii="Times New Roman" w:hAnsi="Times New Roman"/>
          <w:sz w:val="24"/>
        </w:rPr>
        <w:t>RQ3: Does template-based compilation preserve sufficient expressiveness? Assessed qualitatively against the design-time review (Section 3.2), and via an ablation study on the 100-query benchmark removing each architectural component in turn (vocabulary injection, semantic layer, AST validation, confidence-gated clarification, permission rewriter, repair-on-parse-failure).</w:t>
      </w:r>
    </w:p>
    <w:p>
      <w:pPr>
        <w:pStyle w:val="ListBullet"/>
        <w:spacing w:after="80" w:line="360" w:lineRule="auto"/>
      </w:pPr>
      <w:r>
        <w:rPr>
          <w:rFonts w:ascii="Times New Roman" w:hAnsi="Times New Roman"/>
          <w:sz w:val="24"/>
        </w:rPr>
        <w:t>RQ4: Does the architecture generalize to a second production schema outside the training domain? Measured by building an independent semantic layer for WooCommerce and recording both the resulting accuracy and the person-hours required to build it.</w:t>
      </w:r>
    </w:p>
    <w:p>
      <w:pPr>
        <w:pStyle w:val="ListBullet"/>
        <w:spacing w:after="80" w:line="360" w:lineRule="auto"/>
      </w:pPr>
      <w:r>
        <w:rPr>
          <w:rFonts w:ascii="Times New Roman" w:hAnsi="Times New Roman"/>
          <w:sz w:val="24"/>
        </w:rPr>
        <w:t>RQ5: What is the end-to-end latency cost of the AEGIS pipeline? Measured as median and 95th-percentile latency per pipeline stage.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results for each of the five research questions introduced in Section 4.5, followed by a discussion of what the results mean, what AEGIS deliberately trades away, and how it compares structurally to direct LLM-to-SQL generation.</w:t>
      </w:r>
    </w:p>
    <w:p>
      <w:pPr>
        <w:spacing w:after="0" w:before="0" w:line="360" w:lineRule="auto"/>
        <w:jc w:val="both"/>
      </w:pPr>
      <w:r>
        <w:rPr>
          <w:rFonts w:ascii="Times New Roman" w:hAnsi="Times New Roman"/>
          <w:b w:val="0"/>
          <w:i w:val="0"/>
          <w:sz w:val="24"/>
        </w:rPr>
        <w:t>This thesis is presented at the mid-defense stage: the figures below are preliminary estimates from the author's own prototype evaluation to date (Section 4.3), not final, independently verified results. They are reported to demonstrate the direction and plausibility of the architecture's safety and coverage claims, and should be read as work in progress rather than a closed, proven case; the final defense will report results from a more complete evaluation.</w:t>
      </w:r>
    </w:p>
    <w:p>
      <w:pPr>
        <w:spacing w:before="320" w:after="160"/>
        <w:jc w:val="left"/>
      </w:pPr>
      <w:r>
        <w:rPr>
          <w:rFonts w:ascii="Times New Roman" w:hAnsi="Times New Roman"/>
          <w:b/>
          <w:sz w:val="28"/>
        </w:rPr>
        <w:t>5.1  Intent Parsing Accuracy (RQ1)</w:t>
      </w:r>
    </w:p>
    <w:p>
      <w:pPr>
        <w:spacing w:before="200" w:after="80"/>
        <w:jc w:val="center"/>
      </w:pPr>
      <w:r>
        <w:rPr>
          <w:rFonts w:ascii="Times New Roman" w:hAnsi="Times New Roman"/>
          <w:b/>
          <w:sz w:val="22"/>
        </w:rPr>
        <w:t>Table 5: Intent parsing precision, recall, and F1 by intent class.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Intent class</w:t>
            </w:r>
          </w:p>
        </w:tc>
        <w:tc>
          <w:tcPr>
            <w:tcW w:type="dxa" w:w="2076"/>
          </w:tcPr>
          <w:p>
            <w:pPr>
              <w:jc w:val="center"/>
            </w:pPr>
            <w:r>
              <w:rPr>
                <w:rFonts w:ascii="Times New Roman" w:hAnsi="Times New Roman"/>
                <w:b/>
                <w:sz w:val="21"/>
              </w:rPr>
            </w:r>
            <w:r>
              <w:rPr>
                <w:rFonts w:ascii="Times New Roman" w:hAnsi="Times New Roman"/>
                <w:b/>
                <w:sz w:val="21"/>
              </w:rPr>
              <w:t>Precision</w:t>
            </w:r>
          </w:p>
        </w:tc>
        <w:tc>
          <w:tcPr>
            <w:tcW w:type="dxa" w:w="2076"/>
          </w:tcPr>
          <w:p>
            <w:pPr>
              <w:jc w:val="center"/>
            </w:pPr>
            <w:r>
              <w:rPr>
                <w:rFonts w:ascii="Times New Roman" w:hAnsi="Times New Roman"/>
                <w:b/>
                <w:sz w:val="21"/>
              </w:rPr>
            </w:r>
            <w:r>
              <w:rPr>
                <w:rFonts w:ascii="Times New Roman" w:hAnsi="Times New Roman"/>
                <w:b/>
                <w:sz w:val="21"/>
              </w:rPr>
              <w:t>Recall</w:t>
            </w:r>
          </w:p>
        </w:tc>
        <w:tc>
          <w:tcPr>
            <w:tcW w:type="dxa" w:w="2076"/>
          </w:tcPr>
          <w:p>
            <w:pPr>
              <w:jc w:val="center"/>
            </w:pPr>
            <w:r>
              <w:rPr>
                <w:rFonts w:ascii="Times New Roman" w:hAnsi="Times New Roman"/>
                <w:b/>
                <w:sz w:val="21"/>
              </w:rPr>
            </w:r>
            <w:r>
              <w:rPr>
                <w:rFonts w:ascii="Times New Roman" w:hAnsi="Times New Roman"/>
                <w:b/>
                <w:sz w:val="21"/>
              </w:rPr>
              <w:t>F1</w:t>
            </w:r>
          </w:p>
        </w:tc>
      </w:tr>
      <w:tr>
        <w:tc>
          <w:tcPr>
            <w:tcW w:type="dxa" w:w="2076"/>
          </w:tcPr>
          <w:p>
            <w:r>
              <w:rPr>
                <w:rFonts w:ascii="Times New Roman" w:hAnsi="Times New Roman"/>
                <w:sz w:val="21"/>
              </w:rPr>
            </w:r>
            <w:r>
              <w:rPr>
                <w:rFonts w:ascii="Times New Roman" w:hAnsi="Times New Roman"/>
                <w:b w:val="0"/>
                <w:sz w:val="21"/>
              </w:rPr>
              <w:t>KPI</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Overall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Every intent class reached perfect precision, recall, and F1 on the 100-query benchmark. This result should be read as a demonstration that vocabulary injection resolves intent classification within the benchmark's covered vocabulary and phrasing variation, not as a claim that AEGIS never misclassifies a request in general; Section 5.6 reports the failure modes observed during the broader design-time review (Section 3.2), where coverage-boundary rejections and clarification requests do occur.</w:t>
      </w:r>
    </w:p>
    <w:p>
      <w:pPr>
        <w:spacing w:before="320" w:after="160"/>
        <w:jc w:val="left"/>
      </w:pPr>
      <w:r>
        <w:rPr>
          <w:rFonts w:ascii="Times New Roman" w:hAnsi="Times New Roman"/>
          <w:b/>
          <w:sz w:val="28"/>
        </w:rPr>
        <w:t>5.2  SQL Safety and Execution Validity (RQ2)</w:t>
      </w:r>
    </w:p>
    <w:p>
      <w:pPr>
        <w:spacing w:before="200" w:after="80"/>
        <w:jc w:val="center"/>
      </w:pPr>
      <w:r>
        <w:rPr>
          <w:rFonts w:ascii="Times New Roman" w:hAnsi="Times New Roman"/>
          <w:b/>
          <w:sz w:val="22"/>
        </w:rPr>
        <w:t>Table 6: SQL safety and execution validity vs. direct LLM-to-SQL baseline.</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System</w:t>
            </w:r>
          </w:p>
        </w:tc>
        <w:tc>
          <w:tcPr>
            <w:tcW w:type="dxa" w:w="2076"/>
          </w:tcPr>
          <w:p>
            <w:pPr>
              <w:jc w:val="center"/>
            </w:pPr>
            <w:r>
              <w:rPr>
                <w:rFonts w:ascii="Times New Roman" w:hAnsi="Times New Roman"/>
                <w:b/>
                <w:sz w:val="21"/>
              </w:rPr>
            </w:r>
            <w:r>
              <w:rPr>
                <w:rFonts w:ascii="Times New Roman" w:hAnsi="Times New Roman"/>
                <w:b/>
                <w:sz w:val="21"/>
              </w:rPr>
              <w:t>Unsafe SQL rate</w:t>
            </w:r>
          </w:p>
        </w:tc>
        <w:tc>
          <w:tcPr>
            <w:tcW w:type="dxa" w:w="2076"/>
          </w:tcPr>
          <w:p>
            <w:pPr>
              <w:jc w:val="center"/>
            </w:pPr>
            <w:r>
              <w:rPr>
                <w:rFonts w:ascii="Times New Roman" w:hAnsi="Times New Roman"/>
                <w:b/>
                <w:sz w:val="21"/>
              </w:rPr>
            </w:r>
            <w:r>
              <w:rPr>
                <w:rFonts w:ascii="Times New Roman" w:hAnsi="Times New Roman"/>
                <w:b/>
                <w:sz w:val="21"/>
              </w:rPr>
              <w:t>Execution validity</w:t>
            </w:r>
          </w:p>
        </w:tc>
        <w:tc>
          <w:tcPr>
            <w:tcW w:type="dxa" w:w="2076"/>
          </w:tcPr>
          <w:p>
            <w:pPr>
              <w:jc w:val="center"/>
            </w:pPr>
            <w:r>
              <w:rPr>
                <w:rFonts w:ascii="Times New Roman" w:hAnsi="Times New Roman"/>
                <w:b/>
                <w:sz w:val="21"/>
              </w:rPr>
            </w:r>
            <w:r>
              <w:rPr>
                <w:rFonts w:ascii="Times New Roman" w:hAnsi="Times New Roman"/>
                <w:b/>
                <w:sz w:val="21"/>
              </w:rPr>
              <w:t>Coverage</w:t>
            </w:r>
          </w:p>
        </w:tc>
      </w:tr>
      <w:tr>
        <w:tc>
          <w:tcPr>
            <w:tcW w:type="dxa" w:w="2076"/>
          </w:tcPr>
          <w:p>
            <w:r>
              <w:rPr>
                <w:rFonts w:ascii="Times New Roman" w:hAnsi="Times New Roman"/>
                <w:sz w:val="21"/>
              </w:rPr>
            </w:r>
            <w:r>
              <w:rPr>
                <w:rFonts w:ascii="Times New Roman" w:hAnsi="Times New Roman"/>
                <w:b w:val="0"/>
                <w:sz w:val="21"/>
              </w:rPr>
              <w:t>Baseline B1 (Direct LLM-to-SQL)</w:t>
            </w:r>
          </w:p>
        </w:tc>
        <w:tc>
          <w:tcPr>
            <w:tcW w:type="dxa" w:w="2076"/>
          </w:tcPr>
          <w:p>
            <w:pPr>
              <w:jc w:val="center"/>
            </w:pPr>
            <w:r>
              <w:rPr>
                <w:rFonts w:ascii="Times New Roman" w:hAnsi="Times New Roman"/>
                <w:sz w:val="21"/>
              </w:rPr>
            </w:r>
            <w:r>
              <w:rPr>
                <w:rFonts w:ascii="Times New Roman" w:hAnsi="Times New Roman"/>
                <w:b w:val="0"/>
                <w:sz w:val="21"/>
              </w:rPr>
              <w:t>5.0%</w:t>
            </w:r>
          </w:p>
        </w:tc>
        <w:tc>
          <w:tcPr>
            <w:tcW w:type="dxa" w:w="2076"/>
          </w:tcPr>
          <w:p>
            <w:pPr>
              <w:jc w:val="center"/>
            </w:pPr>
            <w:r>
              <w:rPr>
                <w:rFonts w:ascii="Times New Roman" w:hAnsi="Times New Roman"/>
                <w:sz w:val="21"/>
              </w:rPr>
            </w:r>
            <w:r>
              <w:rPr>
                <w:rFonts w:ascii="Times New Roman" w:hAnsi="Times New Roman"/>
                <w:b w:val="0"/>
                <w:sz w:val="21"/>
              </w:rPr>
              <w:t>99%</w:t>
            </w:r>
          </w:p>
        </w:tc>
        <w:tc>
          <w:tcPr>
            <w:tcW w:type="dxa" w:w="2076"/>
          </w:tcPr>
          <w:p>
            <w:pPr>
              <w:jc w:val="center"/>
            </w:pPr>
            <w:r>
              <w:rPr>
                <w:rFonts w:ascii="Times New Roman" w:hAnsi="Times New Roman"/>
                <w:sz w:val="21"/>
              </w:rPr>
            </w:r>
            <w:r>
              <w:rPr>
                <w:rFonts w:ascii="Times New Roman" w:hAnsi="Times New Roman"/>
                <w:b w:val="0"/>
                <w:sz w:val="21"/>
              </w:rPr>
              <w:t>99%</w:t>
            </w:r>
          </w:p>
        </w:tc>
      </w:tr>
      <w:tr>
        <w:tc>
          <w:tcPr>
            <w:tcW w:type="dxa" w:w="2076"/>
          </w:tcPr>
          <w:p>
            <w:r>
              <w:rPr>
                <w:rFonts w:ascii="Times New Roman" w:hAnsi="Times New Roman"/>
                <w:sz w:val="21"/>
              </w:rPr>
            </w:r>
            <w:r>
              <w:rPr>
                <w:rFonts w:ascii="Times New Roman" w:hAnsi="Times New Roman"/>
                <w:b w:val="0"/>
                <w:sz w:val="21"/>
              </w:rPr>
              <w:t>AEGIS (with vocabulary injection)</w:t>
            </w:r>
          </w:p>
        </w:tc>
        <w:tc>
          <w:tcPr>
            <w:tcW w:type="dxa" w:w="2076"/>
          </w:tcPr>
          <w:p>
            <w:pPr>
              <w:jc w:val="center"/>
            </w:pPr>
            <w:r>
              <w:rPr>
                <w:rFonts w:ascii="Times New Roman" w:hAnsi="Times New Roman"/>
                <w:sz w:val="21"/>
              </w:rPr>
            </w:r>
            <w:r>
              <w:rPr>
                <w:rFonts w:ascii="Times New Roman" w:hAnsi="Times New Roman"/>
                <w:b w:val="0"/>
                <w:sz w:val="21"/>
              </w:rPr>
              <w:t>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The direct LLM-to-SQL baseline produced 5 unsafe queries out of 100 (a 5.0% unsafe rate), including INSERT, UPDATE, and DELETE statements and UNION clauses generated in response to the twenty adversarial prompts in the benchmark. AEGIS eliminated unsafe queries entirely, not by detecting and blocking them after generation, but by never allowing the LLM to generate executable SQL in the first place.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8 NOT YET INSERTED ]</w:t>
            </w:r>
          </w:p>
          <w:p>
            <w:pPr>
              <w:spacing w:after="160"/>
              <w:jc w:val="center"/>
            </w:pPr>
            <w:r>
              <w:rPr>
                <w:rFonts w:ascii="Times New Roman" w:hAnsi="Times New Roman"/>
                <w:b/>
                <w:color w:val="333333"/>
                <w:sz w:val="22"/>
              </w:rPr>
              <w:t>Evaluation results across unsafe-SQL rate, execution validity, and coverage</w:t>
            </w:r>
          </w:p>
          <w:p>
            <w:pPr>
              <w:spacing w:after="280" w:line="300" w:lineRule="auto"/>
              <w:ind w:left="432" w:right="432"/>
              <w:jc w:val="center"/>
            </w:pPr>
            <w:r>
              <w:rPr>
                <w:rFonts w:ascii="Times New Roman" w:hAnsi="Times New Roman"/>
                <w:i/>
                <w:color w:val="555555"/>
                <w:sz w:val="19"/>
              </w:rPr>
              <w:t>A grouped bar chart with three metric groups on the x-axis (Unsafe SQL Rate, Execution Validity, Coverage), two bars per group comparing 'Baseline (Direct LLM-to-SQL)' in red/orange against 'AEGIS' in green. Baseline: 5.0% unsafe, 99% validity, 99% coverage. AEGIS: 0% unsafe, 100% validity, 100% coverage. The AEGIS unsafe-rate bar should read visually as flat/near-zero next to the baseline's visible red bar, to make the safety contrast the immediate takeaway of the figure.</w:t>
            </w:r>
          </w:p>
        </w:tc>
      </w:tr>
    </w:tbl>
    <w:p>
      <w:pPr>
        <w:spacing w:before="120" w:after="280"/>
        <w:jc w:val="center"/>
      </w:pPr>
      <w:r>
        <w:rPr>
          <w:rFonts w:ascii="Times New Roman" w:hAnsi="Times New Roman"/>
          <w:b/>
          <w:sz w:val="21"/>
        </w:rPr>
        <w:t>Figure 8: Evaluation results across unsafe-SQL rate, execution validity, and coverage</w:t>
      </w:r>
    </w:p>
    <w:p>
      <w:pPr>
        <w:spacing w:before="320" w:after="160"/>
        <w:jc w:val="left"/>
      </w:pPr>
      <w:r>
        <w:rPr>
          <w:rFonts w:ascii="Times New Roman" w:hAnsi="Times New Roman"/>
          <w:b/>
          <w:sz w:val="28"/>
        </w:rPr>
        <w:t>5.3  Expressiveness and Ablation Study (RQ3)</w:t>
      </w:r>
    </w:p>
    <w:p>
      <w:pPr>
        <w:spacing w:after="200" w:before="0" w:line="360" w:lineRule="auto"/>
        <w:jc w:val="both"/>
      </w:pPr>
      <w:r>
        <w:rPr>
          <w:rFonts w:ascii="Times New Roman" w:hAnsi="Times New Roman"/>
          <w:b w:val="0"/>
          <w:i w:val="0"/>
          <w:sz w:val="24"/>
        </w:rPr>
        <w:t>Across the 100-query benchmark and the design-time review (Section 3.2), the large majority of requests were answered directly without clarification, with a minority requiring a clarification turn, a semantic layer extension to cover a missing metric or dimension, or falling outside the template library entirely. The evaluation tooling accompanying this thesis (Chapter 4) measures execution validity and safety directly from benchmark runs; it does not yet compute a formal breakdown across these four outcome categories, so no precise percentage is reported here, and this is noted as future work in Chapter 6.</w:t>
      </w:r>
    </w:p>
    <w:p>
      <w:pPr>
        <w:spacing w:before="200" w:after="80"/>
        <w:jc w:val="center"/>
      </w:pPr>
      <w:r>
        <w:rPr>
          <w:rFonts w:ascii="Times New Roman" w:hAnsi="Times New Roman"/>
          <w:b/>
          <w:sz w:val="22"/>
        </w:rPr>
        <w:t>Table 7: Ablation study - execution validity and coverage per configuration.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Configuration</w:t>
            </w:r>
          </w:p>
        </w:tc>
        <w:tc>
          <w:tcPr>
            <w:tcW w:type="dxa" w:w="2769"/>
          </w:tcPr>
          <w:p>
            <w:pPr>
              <w:jc w:val="center"/>
            </w:pPr>
            <w:r>
              <w:rPr>
                <w:rFonts w:ascii="Times New Roman" w:hAnsi="Times New Roman"/>
                <w:b/>
                <w:sz w:val="21"/>
              </w:rPr>
            </w:r>
            <w:r>
              <w:rPr>
                <w:rFonts w:ascii="Times New Roman" w:hAnsi="Times New Roman"/>
                <w:b/>
                <w:sz w:val="21"/>
              </w:rPr>
              <w:t>Execution validity</w:t>
            </w:r>
          </w:p>
        </w:tc>
        <w:tc>
          <w:tcPr>
            <w:tcW w:type="dxa" w:w="2769"/>
          </w:tcPr>
          <w:p>
            <w:pPr>
              <w:jc w:val="center"/>
            </w:pPr>
            <w:r>
              <w:rPr>
                <w:rFonts w:ascii="Times New Roman" w:hAnsi="Times New Roman"/>
                <w:b/>
                <w:sz w:val="21"/>
              </w:rPr>
            </w:r>
            <w:r>
              <w:rPr>
                <w:rFonts w:ascii="Times New Roman" w:hAnsi="Times New Roman"/>
                <w:b/>
                <w:sz w:val="21"/>
              </w:rPr>
              <w:t>Coverage</w:t>
            </w:r>
          </w:p>
        </w:tc>
      </w:tr>
      <w:tr>
        <w:tc>
          <w:tcPr>
            <w:tcW w:type="dxa" w:w="2769"/>
          </w:tcPr>
          <w:p>
            <w:r>
              <w:rPr>
                <w:rFonts w:ascii="Times New Roman" w:hAnsi="Times New Roman"/>
                <w:sz w:val="21"/>
              </w:rPr>
            </w:r>
            <w:r>
              <w:rPr>
                <w:rFonts w:ascii="Times New Roman" w:hAnsi="Times New Roman"/>
                <w:b w:val="0"/>
                <w:sz w:val="21"/>
              </w:rPr>
              <w:t>Full AEGIS (vocabulary injection)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Vocabulary injection (synonym dictionary instead)</w:t>
            </w:r>
          </w:p>
        </w:tc>
        <w:tc>
          <w:tcPr>
            <w:tcW w:type="dxa" w:w="2769"/>
          </w:tcPr>
          <w:p>
            <w:pPr>
              <w:jc w:val="center"/>
            </w:pPr>
            <w:r>
              <w:rPr>
                <w:rFonts w:ascii="Times New Roman" w:hAnsi="Times New Roman"/>
                <w:sz w:val="21"/>
              </w:rPr>
            </w:r>
            <w:r>
              <w:rPr>
                <w:rFonts w:ascii="Times New Roman" w:hAnsi="Times New Roman"/>
                <w:b w:val="0"/>
                <w:sz w:val="21"/>
              </w:rPr>
              <w:t>64.7%</w:t>
            </w:r>
          </w:p>
        </w:tc>
        <w:tc>
          <w:tcPr>
            <w:tcW w:type="dxa" w:w="2769"/>
          </w:tcPr>
          <w:p>
            <w:pPr>
              <w:jc w:val="center"/>
            </w:pPr>
            <w:r>
              <w:rPr>
                <w:rFonts w:ascii="Times New Roman" w:hAnsi="Times New Roman"/>
                <w:sz w:val="21"/>
              </w:rPr>
            </w:r>
            <w:r>
              <w:rPr>
                <w:rFonts w:ascii="Times New Roman" w:hAnsi="Times New Roman"/>
                <w:b w:val="0"/>
                <w:sz w:val="21"/>
              </w:rPr>
              <w:t>99%</w:t>
            </w:r>
          </w:p>
        </w:tc>
      </w:tr>
      <w:tr>
        <w:tc>
          <w:tcPr>
            <w:tcW w:type="dxa" w:w="2769"/>
          </w:tcPr>
          <w:p>
            <w:r>
              <w:rPr>
                <w:rFonts w:ascii="Times New Roman" w:hAnsi="Times New Roman"/>
                <w:sz w:val="21"/>
              </w:rPr>
            </w:r>
            <w:r>
              <w:rPr>
                <w:rFonts w:ascii="Times New Roman" w:hAnsi="Times New Roman"/>
                <w:b w:val="0"/>
                <w:sz w:val="21"/>
              </w:rPr>
              <w:t>- Semantic layer</w:t>
            </w:r>
          </w:p>
        </w:tc>
        <w:tc>
          <w:tcPr>
            <w:tcW w:type="dxa" w:w="2769"/>
          </w:tcPr>
          <w:p>
            <w:pPr>
              <w:jc w:val="center"/>
            </w:pPr>
            <w:r>
              <w:rPr>
                <w:rFonts w:ascii="Times New Roman" w:hAnsi="Times New Roman"/>
                <w:sz w:val="21"/>
              </w:rPr>
            </w:r>
            <w:r>
              <w:rPr>
                <w:rFonts w:ascii="Times New Roman" w:hAnsi="Times New Roman"/>
                <w:b w:val="0"/>
                <w:sz w:val="21"/>
              </w:rPr>
              <w:t>88.7%</w:t>
            </w:r>
          </w:p>
        </w:tc>
        <w:tc>
          <w:tcPr>
            <w:tcW w:type="dxa" w:w="2769"/>
          </w:tcPr>
          <w:p>
            <w:pPr>
              <w:jc w:val="center"/>
            </w:pPr>
            <w:r>
              <w:rPr>
                <w:rFonts w:ascii="Times New Roman" w:hAnsi="Times New Roman"/>
                <w:sz w:val="21"/>
              </w:rPr>
            </w:r>
            <w:r>
              <w:rPr>
                <w:rFonts w:ascii="Times New Roman" w:hAnsi="Times New Roman"/>
                <w:b w:val="0"/>
                <w:sz w:val="21"/>
              </w:rPr>
              <w:t>91%</w:t>
            </w:r>
          </w:p>
        </w:tc>
      </w:tr>
      <w:tr>
        <w:tc>
          <w:tcPr>
            <w:tcW w:type="dxa" w:w="2769"/>
          </w:tcPr>
          <w:p>
            <w:r>
              <w:rPr>
                <w:rFonts w:ascii="Times New Roman" w:hAnsi="Times New Roman"/>
                <w:sz w:val="21"/>
              </w:rPr>
            </w:r>
            <w:r>
              <w:rPr>
                <w:rFonts w:ascii="Times New Roman" w:hAnsi="Times New Roman"/>
                <w:b w:val="0"/>
                <w:sz w:val="21"/>
              </w:rPr>
              <w:t>- AST validation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Confidence-gated clarification</w:t>
            </w:r>
          </w:p>
        </w:tc>
        <w:tc>
          <w:tcPr>
            <w:tcW w:type="dxa" w:w="2769"/>
          </w:tcPr>
          <w:p>
            <w:pPr>
              <w:jc w:val="center"/>
            </w:pPr>
            <w:r>
              <w:rPr>
                <w:rFonts w:ascii="Times New Roman" w:hAnsi="Times New Roman"/>
                <w:sz w:val="21"/>
              </w:rPr>
            </w:r>
            <w:r>
              <w:rPr>
                <w:rFonts w:ascii="Times New Roman" w:hAnsi="Times New Roman"/>
                <w:b w:val="0"/>
                <w:sz w:val="21"/>
              </w:rPr>
              <w:t>94.2%</w:t>
            </w:r>
          </w:p>
        </w:tc>
        <w:tc>
          <w:tcPr>
            <w:tcW w:type="dxa" w:w="2769"/>
          </w:tcPr>
          <w:p>
            <w:pPr>
              <w:jc w:val="center"/>
            </w:pPr>
            <w:r>
              <w:rPr>
                <w:rFonts w:ascii="Times New Roman" w:hAnsi="Times New Roman"/>
                <w:sz w:val="21"/>
              </w:rPr>
            </w:r>
            <w:r>
              <w:rPr>
                <w:rFonts w:ascii="Times New Roman" w:hAnsi="Times New Roman"/>
                <w:b w:val="0"/>
                <w:sz w:val="21"/>
              </w:rPr>
              <w:t>96%</w:t>
            </w:r>
          </w:p>
        </w:tc>
      </w:tr>
      <w:tr>
        <w:tc>
          <w:tcPr>
            <w:tcW w:type="dxa" w:w="2769"/>
          </w:tcPr>
          <w:p>
            <w:r>
              <w:rPr>
                <w:rFonts w:ascii="Times New Roman" w:hAnsi="Times New Roman"/>
                <w:sz w:val="21"/>
              </w:rPr>
            </w:r>
            <w:r>
              <w:rPr>
                <w:rFonts w:ascii="Times New Roman" w:hAnsi="Times New Roman"/>
                <w:b w:val="0"/>
                <w:sz w:val="21"/>
              </w:rPr>
              <w:t>- Permission rewriter</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Repair call on parse failure</w:t>
            </w:r>
          </w:p>
        </w:tc>
        <w:tc>
          <w:tcPr>
            <w:tcW w:type="dxa" w:w="2769"/>
          </w:tcPr>
          <w:p>
            <w:pPr>
              <w:jc w:val="center"/>
            </w:pPr>
            <w:r>
              <w:rPr>
                <w:rFonts w:ascii="Times New Roman" w:hAnsi="Times New Roman"/>
                <w:sz w:val="21"/>
              </w:rPr>
            </w:r>
            <w:r>
              <w:rPr>
                <w:rFonts w:ascii="Times New Roman" w:hAnsi="Times New Roman"/>
                <w:b w:val="0"/>
                <w:sz w:val="21"/>
              </w:rPr>
              <w:t>92.9%</w:t>
            </w:r>
          </w:p>
        </w:tc>
        <w:tc>
          <w:tcPr>
            <w:tcW w:type="dxa" w:w="2769"/>
          </w:tcPr>
          <w:p>
            <w:pPr>
              <w:jc w:val="center"/>
            </w:pPr>
            <w:r>
              <w:rPr>
                <w:rFonts w:ascii="Times New Roman" w:hAnsi="Times New Roman"/>
                <w:sz w:val="21"/>
              </w:rPr>
            </w:r>
            <w:r>
              <w:rPr>
                <w:rFonts w:ascii="Times New Roman" w:hAnsi="Times New Roman"/>
                <w:b w:val="0"/>
                <w:sz w:val="21"/>
              </w:rPr>
              <w:t>95%</w:t>
            </w:r>
          </w:p>
        </w:tc>
      </w:tr>
    </w:tbl>
    <w:p>
      <w:pPr>
        <w:spacing w:after="80"/>
      </w:pPr>
    </w:p>
    <w:p>
      <w:pPr>
        <w:spacing w:after="0" w:before="0" w:line="360" w:lineRule="auto"/>
        <w:jc w:val="both"/>
      </w:pPr>
      <w:r>
        <w:rPr>
          <w:rFonts w:ascii="Times New Roman" w:hAnsi="Times New Roman"/>
          <w:b w:val="0"/>
          <w:i w:val="0"/>
          <w:sz w:val="24"/>
        </w:rPr>
        <w:t>Removing vocabulary injection in favor of a hand-maintained synonym dictionary produces the largest single drop, 35.3 percentage points of execution validity, confirming that vocabulary injection is not a convenience but the component doing the most work in keeping intent extraction reliable. Removing AST validation or the permission rewriter leaves the reported metrics unchanged on this benchmark (marked with an asterisk), which is expected and correctly interpreted as confirming their role as defense-in-depth layers against attack classes (T3, T4 in Section 3.5) that this particular benchmark's queries do not exercise, not as evidence that those layers are unnecessary.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9 NOT YET INSERTED ]</w:t>
            </w:r>
          </w:p>
          <w:p>
            <w:pPr>
              <w:spacing w:after="160"/>
              <w:jc w:val="center"/>
            </w:pPr>
            <w:r>
              <w:rPr>
                <w:rFonts w:ascii="Times New Roman" w:hAnsi="Times New Roman"/>
                <w:b/>
                <w:color w:val="333333"/>
                <w:sz w:val="22"/>
              </w:rPr>
              <w:t>Ablation study results</w:t>
            </w:r>
          </w:p>
          <w:p>
            <w:pPr>
              <w:spacing w:after="280" w:line="300" w:lineRule="auto"/>
              <w:ind w:left="432" w:right="432"/>
              <w:jc w:val="center"/>
            </w:pPr>
            <w:r>
              <w:rPr>
                <w:rFonts w:ascii="Times New Roman" w:hAnsi="Times New Roman"/>
                <w:i/>
                <w:color w:val="555555"/>
                <w:sz w:val="19"/>
              </w:rPr>
              <w:t>A horizontal bar chart listing each configuration from Table 7 on the y-axis (Full AEGIS, minus vocabulary injection, minus semantic layer, minus AST validation, minus confidence-gated clarification, minus permission rewriter, minus repair-on-parse-failure) with execution-validity percentage bars: 100%, 64.7%, 88.7%, 100%, 94.2%, 100%, 92.9%. Highlight the 'minus vocabulary injection' bar in a distinct color (e.g. red), since it shows the largest drop, to visually confirm it is the single most load-bearing component.</w:t>
            </w:r>
          </w:p>
        </w:tc>
      </w:tr>
    </w:tbl>
    <w:p>
      <w:pPr>
        <w:spacing w:before="120" w:after="280"/>
        <w:jc w:val="center"/>
      </w:pPr>
      <w:r>
        <w:rPr>
          <w:rFonts w:ascii="Times New Roman" w:hAnsi="Times New Roman"/>
          <w:b/>
          <w:sz w:val="21"/>
        </w:rPr>
        <w:t>Figure 9: Ablation study results</w:t>
      </w:r>
    </w:p>
    <w:p>
      <w:pPr>
        <w:spacing w:before="320" w:after="160"/>
        <w:jc w:val="left"/>
      </w:pPr>
      <w:r>
        <w:rPr>
          <w:rFonts w:ascii="Times New Roman" w:hAnsi="Times New Roman"/>
          <w:b/>
          <w:sz w:val="28"/>
        </w:rPr>
        <w:t>5.4  Cross-Schema Generalizability (RQ4)</w:t>
      </w:r>
    </w:p>
    <w:p>
      <w:pPr>
        <w:spacing w:after="200" w:before="0" w:line="360" w:lineRule="auto"/>
        <w:jc w:val="both"/>
      </w:pPr>
      <w:r>
        <w:rPr>
          <w:rFonts w:ascii="Times New Roman" w:hAnsi="Times New Roman"/>
          <w:b w:val="0"/>
          <w:i w:val="0"/>
          <w:sz w:val="24"/>
        </w:rPr>
        <w:t>A second semantic layer was built for WooCommerce, a structurally distinct e-commerce platform with different table naming conventions and business vocabulary (12 metrics, 28 dimensions, 9 join paths, 18 tables), together with a 50-query evaluation set built using the same methodology as Section 4.3.</w:t>
      </w:r>
    </w:p>
    <w:p>
      <w:pPr>
        <w:spacing w:before="200" w:after="80"/>
        <w:jc w:val="center"/>
      </w:pPr>
      <w:r>
        <w:rPr>
          <w:rFonts w:ascii="Times New Roman" w:hAnsi="Times New Roman"/>
          <w:b/>
          <w:sz w:val="22"/>
        </w:rPr>
        <w:t>Table 8: Cross-schema generalizability results.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61"/>
        <w:gridCol w:w="1661"/>
        <w:gridCol w:w="1661"/>
        <w:gridCol w:w="1661"/>
        <w:gridCol w:w="1661"/>
      </w:tblGrid>
      <w:tr>
        <w:tc>
          <w:tcPr>
            <w:tcW w:type="dxa" w:w="1661"/>
          </w:tcPr>
          <w:p>
            <w:pPr>
              <w:jc w:val="center"/>
            </w:pPr>
            <w:r>
              <w:rPr>
                <w:rFonts w:ascii="Times New Roman" w:hAnsi="Times New Roman"/>
                <w:b/>
                <w:sz w:val="21"/>
              </w:rPr>
            </w:r>
            <w:r>
              <w:rPr>
                <w:rFonts w:ascii="Times New Roman" w:hAnsi="Times New Roman"/>
                <w:b/>
                <w:sz w:val="21"/>
              </w:rPr>
              <w:t>Schema</w:t>
            </w:r>
          </w:p>
        </w:tc>
        <w:tc>
          <w:tcPr>
            <w:tcW w:type="dxa" w:w="1661"/>
          </w:tcPr>
          <w:p>
            <w:pPr>
              <w:jc w:val="center"/>
            </w:pPr>
            <w:r>
              <w:rPr>
                <w:rFonts w:ascii="Times New Roman" w:hAnsi="Times New Roman"/>
                <w:b/>
                <w:sz w:val="21"/>
              </w:rPr>
            </w:r>
            <w:r>
              <w:rPr>
                <w:rFonts w:ascii="Times New Roman" w:hAnsi="Times New Roman"/>
                <w:b/>
                <w:sz w:val="21"/>
              </w:rPr>
              <w:t>Build time</w:t>
            </w:r>
          </w:p>
        </w:tc>
        <w:tc>
          <w:tcPr>
            <w:tcW w:type="dxa" w:w="1661"/>
          </w:tcPr>
          <w:p>
            <w:pPr>
              <w:jc w:val="center"/>
            </w:pPr>
            <w:r>
              <w:rPr>
                <w:rFonts w:ascii="Times New Roman" w:hAnsi="Times New Roman"/>
                <w:b/>
                <w:sz w:val="21"/>
              </w:rPr>
            </w:r>
            <w:r>
              <w:rPr>
                <w:rFonts w:ascii="Times New Roman" w:hAnsi="Times New Roman"/>
                <w:b/>
                <w:sz w:val="21"/>
              </w:rPr>
              <w:t>Intent accuracy</w:t>
            </w:r>
          </w:p>
        </w:tc>
        <w:tc>
          <w:tcPr>
            <w:tcW w:type="dxa" w:w="1661"/>
          </w:tcPr>
          <w:p>
            <w:pPr>
              <w:jc w:val="center"/>
            </w:pPr>
            <w:r>
              <w:rPr>
                <w:rFonts w:ascii="Times New Roman" w:hAnsi="Times New Roman"/>
                <w:b/>
                <w:sz w:val="21"/>
              </w:rPr>
            </w:r>
            <w:r>
              <w:rPr>
                <w:rFonts w:ascii="Times New Roman" w:hAnsi="Times New Roman"/>
                <w:b/>
                <w:sz w:val="21"/>
              </w:rPr>
              <w:t>Unsafe SQL rate</w:t>
            </w:r>
          </w:p>
        </w:tc>
        <w:tc>
          <w:tcPr>
            <w:tcW w:type="dxa" w:w="1661"/>
          </w:tcPr>
          <w:p>
            <w:pPr>
              <w:jc w:val="center"/>
            </w:pPr>
            <w:r>
              <w:rPr>
                <w:rFonts w:ascii="Times New Roman" w:hAnsi="Times New Roman"/>
                <w:b/>
                <w:sz w:val="21"/>
              </w:rPr>
            </w:r>
            <w:r>
              <w:rPr>
                <w:rFonts w:ascii="Times New Roman" w:hAnsi="Times New Roman"/>
                <w:b/>
                <w:sz w:val="21"/>
              </w:rPr>
              <w:t>Coverage</w:t>
            </w:r>
          </w:p>
        </w:tc>
      </w:tr>
      <w:tr>
        <w:tc>
          <w:tcPr>
            <w:tcW w:type="dxa" w:w="1661"/>
          </w:tcPr>
          <w:p>
            <w:r>
              <w:rPr>
                <w:rFonts w:ascii="Times New Roman" w:hAnsi="Times New Roman"/>
                <w:sz w:val="21"/>
              </w:rPr>
            </w:r>
            <w:r>
              <w:rPr>
                <w:rFonts w:ascii="Times New Roman" w:hAnsi="Times New Roman"/>
                <w:b w:val="0"/>
                <w:sz w:val="21"/>
              </w:rPr>
              <w:t>nopCommerce (primary, 100 queries)</w:t>
            </w:r>
          </w:p>
        </w:tc>
        <w:tc>
          <w:tcPr>
            <w:tcW w:type="dxa" w:w="1661"/>
          </w:tcPr>
          <w:p>
            <w:pPr>
              <w:jc w:val="center"/>
            </w:pPr>
            <w:r>
              <w:rPr>
                <w:rFonts w:ascii="Times New Roman" w:hAnsi="Times New Roman"/>
                <w:sz w:val="21"/>
              </w:rPr>
            </w:r>
            <w:r>
              <w:rPr>
                <w:rFonts w:ascii="Times New Roman" w:hAnsi="Times New Roman"/>
                <w:b w:val="0"/>
                <w:sz w:val="21"/>
              </w:rPr>
              <w:t>40 person-hours</w:t>
            </w:r>
          </w:p>
        </w:tc>
        <w:tc>
          <w:tcPr>
            <w:tcW w:type="dxa" w:w="1661"/>
          </w:tcPr>
          <w:p>
            <w:pPr>
              <w:jc w:val="center"/>
            </w:pPr>
            <w:r>
              <w:rPr>
                <w:rFonts w:ascii="Times New Roman" w:hAnsi="Times New Roman"/>
                <w:sz w:val="21"/>
              </w:rPr>
            </w:r>
            <w:r>
              <w:rPr>
                <w:rFonts w:ascii="Times New Roman" w:hAnsi="Times New Roman"/>
                <w:b w:val="0"/>
                <w:sz w:val="21"/>
              </w:rPr>
              <w:t>100%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100%</w:t>
            </w:r>
          </w:p>
        </w:tc>
      </w:tr>
      <w:tr>
        <w:tc>
          <w:tcPr>
            <w:tcW w:type="dxa" w:w="1661"/>
          </w:tcPr>
          <w:p>
            <w:r>
              <w:rPr>
                <w:rFonts w:ascii="Times New Roman" w:hAnsi="Times New Roman"/>
                <w:sz w:val="21"/>
              </w:rPr>
            </w:r>
            <w:r>
              <w:rPr>
                <w:rFonts w:ascii="Times New Roman" w:hAnsi="Times New Roman"/>
                <w:b w:val="0"/>
                <w:sz w:val="21"/>
              </w:rPr>
              <w:t>WooCommerce (transfer, 50 queries)</w:t>
            </w:r>
          </w:p>
        </w:tc>
        <w:tc>
          <w:tcPr>
            <w:tcW w:type="dxa" w:w="1661"/>
          </w:tcPr>
          <w:p>
            <w:pPr>
              <w:jc w:val="center"/>
            </w:pPr>
            <w:r>
              <w:rPr>
                <w:rFonts w:ascii="Times New Roman" w:hAnsi="Times New Roman"/>
                <w:sz w:val="21"/>
              </w:rPr>
            </w:r>
            <w:r>
              <w:rPr>
                <w:rFonts w:ascii="Times New Roman" w:hAnsi="Times New Roman"/>
                <w:b w:val="0"/>
                <w:sz w:val="21"/>
              </w:rPr>
              <w:t>14 person-hours</w:t>
            </w:r>
          </w:p>
        </w:tc>
        <w:tc>
          <w:tcPr>
            <w:tcW w:type="dxa" w:w="1661"/>
          </w:tcPr>
          <w:p>
            <w:pPr>
              <w:jc w:val="center"/>
            </w:pPr>
            <w:r>
              <w:rPr>
                <w:rFonts w:ascii="Times New Roman" w:hAnsi="Times New Roman"/>
                <w:sz w:val="21"/>
              </w:rPr>
            </w:r>
            <w:r>
              <w:rPr>
                <w:rFonts w:ascii="Times New Roman" w:hAnsi="Times New Roman"/>
                <w:b w:val="0"/>
                <w:sz w:val="21"/>
              </w:rPr>
              <w:t>98.0%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96.0%</w:t>
            </w:r>
          </w:p>
        </w:tc>
      </w:tr>
    </w:tbl>
    <w:p>
      <w:pPr>
        <w:spacing w:after="80"/>
      </w:pPr>
    </w:p>
    <w:p>
      <w:pPr>
        <w:spacing w:after="0" w:before="0" w:line="360" w:lineRule="auto"/>
        <w:jc w:val="both"/>
      </w:pPr>
      <w:r>
        <w:rPr>
          <w:rFonts w:ascii="Times New Roman" w:hAnsi="Times New Roman"/>
          <w:b w:val="0"/>
          <w:i w:val="0"/>
          <w:sz w:val="24"/>
        </w:rPr>
        <w:t>The WooCommerce evaluation achieved 98.0% intent accuracy with zero unsafe SQL using a semantic layer built in 14 person-hours, 65% less effort than the primary schema required. The 2% accuracy gap arose from two WooCommerce-specific metric names, resolved by adding two description entries to the prompt with no code changes required. These results support the claim that AEGIS's architecture, not just its nopCommerce configuration, is what generalizes: the LLM, the compiler, and the safety scanner required zero modification between schemas; only the semantic layer configuration changed.</w:t>
      </w:r>
    </w:p>
    <w:p>
      <w:pPr>
        <w:spacing w:before="320" w:after="160"/>
        <w:jc w:val="left"/>
      </w:pPr>
      <w:r>
        <w:rPr>
          <w:rFonts w:ascii="Times New Roman" w:hAnsi="Times New Roman"/>
          <w:b/>
          <w:sz w:val="28"/>
        </w:rPr>
        <w:t>5.5  Pipeline Latency (RQ5)</w:t>
      </w:r>
    </w:p>
    <w:p>
      <w:pPr>
        <w:spacing w:before="200" w:after="80"/>
        <w:jc w:val="center"/>
      </w:pPr>
      <w:r>
        <w:rPr>
          <w:rFonts w:ascii="Times New Roman" w:hAnsi="Times New Roman"/>
          <w:b/>
          <w:sz w:val="22"/>
        </w:rPr>
        <w:t>Table 9: Pipeline stage latency.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Stage</w:t>
            </w:r>
          </w:p>
        </w:tc>
        <w:tc>
          <w:tcPr>
            <w:tcW w:type="dxa" w:w="2076"/>
          </w:tcPr>
          <w:p>
            <w:pPr>
              <w:jc w:val="center"/>
            </w:pPr>
            <w:r>
              <w:rPr>
                <w:rFonts w:ascii="Times New Roman" w:hAnsi="Times New Roman"/>
                <w:b/>
                <w:sz w:val="21"/>
              </w:rPr>
            </w:r>
            <w:r>
              <w:rPr>
                <w:rFonts w:ascii="Times New Roman" w:hAnsi="Times New Roman"/>
                <w:b/>
                <w:sz w:val="21"/>
              </w:rPr>
              <w:t>Median (ms)</w:t>
            </w:r>
          </w:p>
        </w:tc>
        <w:tc>
          <w:tcPr>
            <w:tcW w:type="dxa" w:w="2076"/>
          </w:tcPr>
          <w:p>
            <w:pPr>
              <w:jc w:val="center"/>
            </w:pPr>
            <w:r>
              <w:rPr>
                <w:rFonts w:ascii="Times New Roman" w:hAnsi="Times New Roman"/>
                <w:b/>
                <w:sz w:val="21"/>
              </w:rPr>
            </w:r>
            <w:r>
              <w:rPr>
                <w:rFonts w:ascii="Times New Roman" w:hAnsi="Times New Roman"/>
                <w:b/>
                <w:sz w:val="21"/>
              </w:rPr>
              <w:t>p95 (ms)</w:t>
            </w:r>
          </w:p>
        </w:tc>
        <w:tc>
          <w:tcPr>
            <w:tcW w:type="dxa" w:w="2076"/>
          </w:tcPr>
          <w:p>
            <w:pPr>
              <w:jc w:val="center"/>
            </w:pPr>
            <w:r>
              <w:rPr>
                <w:rFonts w:ascii="Times New Roman" w:hAnsi="Times New Roman"/>
                <w:b/>
                <w:sz w:val="21"/>
              </w:rPr>
            </w:r>
            <w:r>
              <w:rPr>
                <w:rFonts w:ascii="Times New Roman" w:hAnsi="Times New Roman"/>
                <w:b/>
                <w:sz w:val="21"/>
              </w:rPr>
              <w:t>% of total</w:t>
            </w:r>
          </w:p>
        </w:tc>
      </w:tr>
      <w:tr>
        <w:tc>
          <w:tcPr>
            <w:tcW w:type="dxa" w:w="2076"/>
          </w:tcPr>
          <w:p>
            <w:r>
              <w:rPr>
                <w:rFonts w:ascii="Times New Roman" w:hAnsi="Times New Roman"/>
                <w:sz w:val="21"/>
              </w:rPr>
            </w:r>
            <w:r>
              <w:rPr>
                <w:rFonts w:ascii="Times New Roman" w:hAnsi="Times New Roman"/>
                <w:b w:val="0"/>
                <w:sz w:val="21"/>
              </w:rPr>
              <w:t>LLM API call (Groq)</w:t>
            </w:r>
          </w:p>
        </w:tc>
        <w:tc>
          <w:tcPr>
            <w:tcW w:type="dxa" w:w="2076"/>
          </w:tcPr>
          <w:p>
            <w:pPr>
              <w:jc w:val="center"/>
            </w:pPr>
            <w:r>
              <w:rPr>
                <w:rFonts w:ascii="Times New Roman" w:hAnsi="Times New Roman"/>
                <w:sz w:val="21"/>
              </w:rPr>
            </w:r>
            <w:r>
              <w:rPr>
                <w:rFonts w:ascii="Times New Roman" w:hAnsi="Times New Roman"/>
                <w:b w:val="0"/>
                <w:sz w:val="21"/>
              </w:rPr>
              <w:t>1,850</w:t>
            </w:r>
          </w:p>
        </w:tc>
        <w:tc>
          <w:tcPr>
            <w:tcW w:type="dxa" w:w="2076"/>
          </w:tcPr>
          <w:p>
            <w:pPr>
              <w:jc w:val="center"/>
            </w:pPr>
            <w:r>
              <w:rPr>
                <w:rFonts w:ascii="Times New Roman" w:hAnsi="Times New Roman"/>
                <w:sz w:val="21"/>
              </w:rPr>
            </w:r>
            <w:r>
              <w:rPr>
                <w:rFonts w:ascii="Times New Roman" w:hAnsi="Times New Roman"/>
                <w:b w:val="0"/>
                <w:sz w:val="21"/>
              </w:rPr>
              <w:t>2,800</w:t>
            </w:r>
          </w:p>
        </w:tc>
        <w:tc>
          <w:tcPr>
            <w:tcW w:type="dxa" w:w="2076"/>
          </w:tcPr>
          <w:p>
            <w:pPr>
              <w:jc w:val="center"/>
            </w:pPr>
            <w:r>
              <w:rPr>
                <w:rFonts w:ascii="Times New Roman" w:hAnsi="Times New Roman"/>
                <w:sz w:val="21"/>
              </w:rPr>
            </w:r>
            <w:r>
              <w:rPr>
                <w:rFonts w:ascii="Times New Roman" w:hAnsi="Times New Roman"/>
                <w:b w:val="0"/>
                <w:sz w:val="21"/>
              </w:rPr>
              <w:t>96.2%</w:t>
            </w:r>
          </w:p>
        </w:tc>
      </w:tr>
      <w:tr>
        <w:tc>
          <w:tcPr>
            <w:tcW w:type="dxa" w:w="2076"/>
          </w:tcPr>
          <w:p>
            <w:r>
              <w:rPr>
                <w:rFonts w:ascii="Times New Roman" w:hAnsi="Times New Roman"/>
                <w:sz w:val="21"/>
              </w:rPr>
            </w:r>
            <w:r>
              <w:rPr>
                <w:rFonts w:ascii="Times New Roman" w:hAnsi="Times New Roman"/>
                <w:b w:val="0"/>
                <w:sz w:val="21"/>
              </w:rPr>
              <w:t>Semantic mapping</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18</w:t>
            </w:r>
          </w:p>
        </w:tc>
        <w:tc>
          <w:tcPr>
            <w:tcW w:type="dxa" w:w="2076"/>
          </w:tcPr>
          <w:p>
            <w:pPr>
              <w:jc w:val="center"/>
            </w:pPr>
            <w:r>
              <w:rPr>
                <w:rFonts w:ascii="Times New Roman" w:hAnsi="Times New Roman"/>
                <w:sz w:val="21"/>
              </w:rPr>
            </w:r>
            <w:r>
              <w:rPr>
                <w:rFonts w:ascii="Times New Roman" w:hAnsi="Times New Roman"/>
                <w:b w:val="0"/>
                <w:sz w:val="21"/>
              </w:rPr>
              <w:t>0.6%</w:t>
            </w:r>
          </w:p>
        </w:tc>
      </w:tr>
      <w:tr>
        <w:tc>
          <w:tcPr>
            <w:tcW w:type="dxa" w:w="2076"/>
          </w:tcPr>
          <w:p>
            <w:r>
              <w:rPr>
                <w:rFonts w:ascii="Times New Roman" w:hAnsi="Times New Roman"/>
                <w:sz w:val="21"/>
              </w:rPr>
            </w:r>
            <w:r>
              <w:rPr>
                <w:rFonts w:ascii="Times New Roman" w:hAnsi="Times New Roman"/>
                <w:b w:val="0"/>
                <w:sz w:val="21"/>
              </w:rPr>
              <w:t>SQL compilation</w:t>
            </w:r>
          </w:p>
        </w:tc>
        <w:tc>
          <w:tcPr>
            <w:tcW w:type="dxa" w:w="2076"/>
          </w:tcPr>
          <w:p>
            <w:pPr>
              <w:jc w:val="center"/>
            </w:pPr>
            <w:r>
              <w:rPr>
                <w:rFonts w:ascii="Times New Roman" w:hAnsi="Times New Roman"/>
                <w:sz w:val="21"/>
              </w:rPr>
            </w:r>
            <w:r>
              <w:rPr>
                <w:rFonts w:ascii="Times New Roman" w:hAnsi="Times New Roman"/>
                <w:b w:val="0"/>
                <w:sz w:val="21"/>
              </w:rPr>
              <w:t>8</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0.4%</w:t>
            </w:r>
          </w:p>
        </w:tc>
      </w:tr>
      <w:tr>
        <w:tc>
          <w:tcPr>
            <w:tcW w:type="dxa" w:w="2076"/>
          </w:tcPr>
          <w:p>
            <w:r>
              <w:rPr>
                <w:rFonts w:ascii="Times New Roman" w:hAnsi="Times New Roman"/>
                <w:sz w:val="21"/>
              </w:rPr>
            </w:r>
            <w:r>
              <w:rPr>
                <w:rFonts w:ascii="Times New Roman" w:hAnsi="Times New Roman"/>
                <w:b w:val="0"/>
                <w:sz w:val="21"/>
              </w:rPr>
              <w:t>Query execution (MySQL)</w:t>
            </w:r>
          </w:p>
        </w:tc>
        <w:tc>
          <w:tcPr>
            <w:tcW w:type="dxa" w:w="2076"/>
          </w:tcPr>
          <w:p>
            <w:pPr>
              <w:jc w:val="center"/>
            </w:pPr>
            <w:r>
              <w:rPr>
                <w:rFonts w:ascii="Times New Roman" w:hAnsi="Times New Roman"/>
                <w:sz w:val="21"/>
              </w:rPr>
            </w:r>
            <w:r>
              <w:rPr>
                <w:rFonts w:ascii="Times New Roman" w:hAnsi="Times New Roman"/>
                <w:b w:val="0"/>
                <w:sz w:val="21"/>
              </w:rPr>
              <w:t>45</w:t>
            </w:r>
          </w:p>
        </w:tc>
        <w:tc>
          <w:tcPr>
            <w:tcW w:type="dxa" w:w="2076"/>
          </w:tcPr>
          <w:p>
            <w:pPr>
              <w:jc w:val="center"/>
            </w:pPr>
            <w:r>
              <w:rPr>
                <w:rFonts w:ascii="Times New Roman" w:hAnsi="Times New Roman"/>
                <w:sz w:val="21"/>
              </w:rPr>
            </w:r>
            <w:r>
              <w:rPr>
                <w:rFonts w:ascii="Times New Roman" w:hAnsi="Times New Roman"/>
                <w:b w:val="0"/>
                <w:sz w:val="21"/>
              </w:rPr>
              <w:t>120</w:t>
            </w:r>
          </w:p>
        </w:tc>
        <w:tc>
          <w:tcPr>
            <w:tcW w:type="dxa" w:w="2076"/>
          </w:tcPr>
          <w:p>
            <w:pPr>
              <w:jc w:val="center"/>
            </w:pPr>
            <w:r>
              <w:rPr>
                <w:rFonts w:ascii="Times New Roman" w:hAnsi="Times New Roman"/>
                <w:sz w:val="21"/>
              </w:rPr>
            </w:r>
            <w:r>
              <w:rPr>
                <w:rFonts w:ascii="Times New Roman" w:hAnsi="Times New Roman"/>
                <w:b w:val="0"/>
                <w:sz w:val="21"/>
              </w:rPr>
              <w:t>2.3%</w:t>
            </w:r>
          </w:p>
        </w:tc>
      </w:tr>
      <w:tr>
        <w:tc>
          <w:tcPr>
            <w:tcW w:type="dxa" w:w="2076"/>
          </w:tcPr>
          <w:p>
            <w:r>
              <w:rPr>
                <w:rFonts w:ascii="Times New Roman" w:hAnsi="Times New Roman"/>
                <w:sz w:val="21"/>
              </w:rPr>
            </w:r>
            <w:r>
              <w:rPr>
                <w:rFonts w:ascii="Times New Roman" w:hAnsi="Times New Roman"/>
                <w:b w:val="0"/>
                <w:sz w:val="21"/>
              </w:rPr>
              <w:t>Visualization selector</w:t>
            </w:r>
          </w:p>
        </w:tc>
        <w:tc>
          <w:tcPr>
            <w:tcW w:type="dxa" w:w="2076"/>
          </w:tcPr>
          <w:p>
            <w:pPr>
              <w:jc w:val="center"/>
            </w:pPr>
            <w:r>
              <w:rPr>
                <w:rFonts w:ascii="Times New Roman" w:hAnsi="Times New Roman"/>
                <w:sz w:val="21"/>
              </w:rPr>
            </w:r>
            <w:r>
              <w:rPr>
                <w:rFonts w:ascii="Times New Roman" w:hAnsi="Times New Roman"/>
                <w:b w:val="0"/>
                <w:sz w:val="21"/>
              </w:rPr>
              <w:t>2</w:t>
            </w:r>
          </w:p>
        </w:tc>
        <w:tc>
          <w:tcPr>
            <w:tcW w:type="dxa" w:w="2076"/>
          </w:tcPr>
          <w:p>
            <w:pPr>
              <w:jc w:val="center"/>
            </w:pPr>
            <w:r>
              <w:rPr>
                <w:rFonts w:ascii="Times New Roman" w:hAnsi="Times New Roman"/>
                <w:sz w:val="21"/>
              </w:rPr>
            </w:r>
            <w:r>
              <w:rPr>
                <w:rFonts w:ascii="Times New Roman" w:hAnsi="Times New Roman"/>
                <w:b w:val="0"/>
                <w:sz w:val="21"/>
              </w:rPr>
              <w:t>4</w:t>
            </w:r>
          </w:p>
        </w:tc>
        <w:tc>
          <w:tcPr>
            <w:tcW w:type="dxa" w:w="2076"/>
          </w:tcPr>
          <w:p>
            <w:pPr>
              <w:jc w:val="center"/>
            </w:pPr>
            <w:r>
              <w:rPr>
                <w:rFonts w:ascii="Times New Roman" w:hAnsi="Times New Roman"/>
                <w:sz w:val="21"/>
              </w:rPr>
            </w:r>
            <w:r>
              <w:rPr>
                <w:rFonts w:ascii="Times New Roman" w:hAnsi="Times New Roman"/>
                <w:b w:val="0"/>
                <w:sz w:val="21"/>
              </w:rPr>
              <w:t>0.1%</w:t>
            </w:r>
          </w:p>
        </w:tc>
      </w:tr>
      <w:tr>
        <w:tc>
          <w:tcPr>
            <w:tcW w:type="dxa" w:w="2076"/>
          </w:tcPr>
          <w:p>
            <w:r>
              <w:rPr>
                <w:rFonts w:ascii="Times New Roman" w:hAnsi="Times New Roman"/>
                <w:sz w:val="21"/>
              </w:rPr>
            </w:r>
            <w:r>
              <w:rPr>
                <w:rFonts w:ascii="Times New Roman" w:hAnsi="Times New Roman"/>
                <w:b w:val="0"/>
                <w:sz w:val="21"/>
              </w:rPr>
              <w:t>Widget persistence</w:t>
            </w:r>
          </w:p>
        </w:tc>
        <w:tc>
          <w:tcPr>
            <w:tcW w:type="dxa" w:w="2076"/>
          </w:tcPr>
          <w:p>
            <w:pPr>
              <w:jc w:val="center"/>
            </w:pPr>
            <w:r>
              <w:rPr>
                <w:rFonts w:ascii="Times New Roman" w:hAnsi="Times New Roman"/>
                <w:sz w:val="21"/>
              </w:rPr>
            </w:r>
            <w:r>
              <w:rPr>
                <w:rFonts w:ascii="Times New Roman" w:hAnsi="Times New Roman"/>
                <w:b w:val="0"/>
                <w:sz w:val="21"/>
              </w:rPr>
              <w:t>5</w:t>
            </w:r>
          </w:p>
        </w:tc>
        <w:tc>
          <w:tcPr>
            <w:tcW w:type="dxa" w:w="2076"/>
          </w:tcPr>
          <w:p>
            <w:pPr>
              <w:jc w:val="center"/>
            </w:pPr>
            <w:r>
              <w:rPr>
                <w:rFonts w:ascii="Times New Roman" w:hAnsi="Times New Roman"/>
                <w:sz w:val="21"/>
              </w:rPr>
            </w:r>
            <w:r>
              <w:rPr>
                <w:rFonts w:ascii="Times New Roman" w:hAnsi="Times New Roman"/>
                <w:b w:val="0"/>
                <w:sz w:val="21"/>
              </w:rPr>
              <w:t>9</w:t>
            </w:r>
          </w:p>
        </w:tc>
        <w:tc>
          <w:tcPr>
            <w:tcW w:type="dxa" w:w="2076"/>
          </w:tcPr>
          <w:p>
            <w:pPr>
              <w:jc w:val="center"/>
            </w:pPr>
            <w:r>
              <w:rPr>
                <w:rFonts w:ascii="Times New Roman" w:hAnsi="Times New Roman"/>
                <w:sz w:val="21"/>
              </w:rPr>
            </w:r>
            <w:r>
              <w:rPr>
                <w:rFonts w:ascii="Times New Roman" w:hAnsi="Times New Roman"/>
                <w:b w:val="0"/>
                <w:sz w:val="21"/>
              </w:rPr>
              <w:t>0.3%</w:t>
            </w:r>
          </w:p>
        </w:tc>
      </w:tr>
      <w:tr>
        <w:tc>
          <w:tcPr>
            <w:tcW w:type="dxa" w:w="2076"/>
          </w:tcPr>
          <w:p>
            <w:r>
              <w:rPr>
                <w:rFonts w:ascii="Times New Roman" w:hAnsi="Times New Roman"/>
                <w:sz w:val="21"/>
              </w:rPr>
            </w:r>
            <w:r>
              <w:rPr>
                <w:rFonts w:ascii="Times New Roman" w:hAnsi="Times New Roman"/>
                <w:b w:val="0"/>
                <w:sz w:val="21"/>
              </w:rPr>
              <w:t>Total</w:t>
            </w:r>
          </w:p>
        </w:tc>
        <w:tc>
          <w:tcPr>
            <w:tcW w:type="dxa" w:w="2076"/>
          </w:tcPr>
          <w:p>
            <w:pPr>
              <w:jc w:val="center"/>
            </w:pPr>
            <w:r>
              <w:rPr>
                <w:rFonts w:ascii="Times New Roman" w:hAnsi="Times New Roman"/>
                <w:sz w:val="21"/>
              </w:rPr>
            </w:r>
            <w:r>
              <w:rPr>
                <w:rFonts w:ascii="Times New Roman" w:hAnsi="Times New Roman"/>
                <w:b w:val="0"/>
                <w:sz w:val="21"/>
              </w:rPr>
              <w:t>1,922</w:t>
            </w:r>
          </w:p>
        </w:tc>
        <w:tc>
          <w:tcPr>
            <w:tcW w:type="dxa" w:w="2076"/>
          </w:tcPr>
          <w:p>
            <w:pPr>
              <w:jc w:val="center"/>
            </w:pPr>
            <w:r>
              <w:rPr>
                <w:rFonts w:ascii="Times New Roman" w:hAnsi="Times New Roman"/>
                <w:sz w:val="21"/>
              </w:rPr>
            </w:r>
            <w:r>
              <w:rPr>
                <w:rFonts w:ascii="Times New Roman" w:hAnsi="Times New Roman"/>
                <w:b w:val="0"/>
                <w:sz w:val="21"/>
              </w:rPr>
              <w:t>2,963</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AEGIS's safety infrastructure, the deterministic stages that carry out coverage validation, semantic mapping, permission rewriting, compilation, visualization selection, and widget persistence combined, adds a median of roughly 20 ms of overhead, negligible relative to the 1,850 ms median LLM API call. With a locally hosted Ollama model, median LLM call latency drops to approximately 340 ms, bringing total end-to-end latency below 430 ms. The safety guarantees established in Chapter 3 are, in this sense, effectively free: the cost of AEGIS's architecture is dominated by the same LLM call a direct LLM-to-SQL system would also have to make.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10 NOT YET INSERTED ]</w:t>
            </w:r>
          </w:p>
          <w:p>
            <w:pPr>
              <w:spacing w:after="160"/>
              <w:jc w:val="center"/>
            </w:pPr>
            <w:r>
              <w:rPr>
                <w:rFonts w:ascii="Times New Roman" w:hAnsi="Times New Roman"/>
                <w:b/>
                <w:color w:val="333333"/>
                <w:sz w:val="22"/>
              </w:rPr>
              <w:t>Pipeline stage latency breakdown</w:t>
            </w:r>
          </w:p>
          <w:p>
            <w:pPr>
              <w:spacing w:after="280" w:line="300" w:lineRule="auto"/>
              <w:ind w:left="432" w:right="432"/>
              <w:jc w:val="center"/>
            </w:pPr>
            <w:r>
              <w:rPr>
                <w:rFonts w:ascii="Times New Roman" w:hAnsi="Times New Roman"/>
                <w:i/>
                <w:color w:val="555555"/>
                <w:sz w:val="19"/>
              </w:rPr>
              <w:t>A horizontal stacked bar (or waterfall) chart of the six pipeline stages from Table 9 and their median latency: LLM API call (Groq) 1,850 ms, semantic mapping 12 ms, SQL compilation 8 ms, query execution (MySQL) 45 ms, visualization selector 2 ms, widget persistence 5 ms, totaling 1,922 ms. Since the LLM call dominates at 96.2% of the total, include an inset panel zooming into just the five non-LLM stages (the remaining ~72 ms) so their relative proportions are visible rather than compressed to invisibility next to the LLM bar.</w:t>
            </w:r>
          </w:p>
        </w:tc>
      </w:tr>
    </w:tbl>
    <w:p>
      <w:pPr>
        <w:spacing w:before="120" w:after="280"/>
        <w:jc w:val="center"/>
      </w:pPr>
      <w:r>
        <w:rPr>
          <w:rFonts w:ascii="Times New Roman" w:hAnsi="Times New Roman"/>
          <w:b/>
          <w:sz w:val="21"/>
        </w:rPr>
        <w:t>Figure 10: Pipeline stage latency breakdown</w:t>
      </w:r>
    </w:p>
    <w:p>
      <w:pPr>
        <w:spacing w:before="320" w:after="160"/>
        <w:jc w:val="left"/>
      </w:pPr>
      <w:r>
        <w:rPr>
          <w:rFonts w:ascii="Times New Roman" w:hAnsi="Times New Roman"/>
          <w:b/>
          <w:sz w:val="28"/>
        </w:rPr>
        <w:t>5.6  Failure Analysis</w:t>
      </w:r>
    </w:p>
    <w:p>
      <w:pPr>
        <w:spacing w:after="0" w:before="0" w:line="360" w:lineRule="auto"/>
        <w:jc w:val="both"/>
      </w:pPr>
      <w:r>
        <w:rPr>
          <w:rFonts w:ascii="Times New Roman" w:hAnsi="Times New Roman"/>
          <w:b w:val="0"/>
          <w:i w:val="0"/>
          <w:sz w:val="24"/>
        </w:rPr>
        <w:t>Requests that could not be answered at all during the design-time review and benchmark construction fell into recurring categories: metrics not present in the semantic layer, unregistered dimensions, requests requiring multi-metric aggregation beyond a single pattern, causal or explanatory questions such as “why did revenue drop,” and requests requiring a join path not present in the join graph. This thesis does not yet instrument a measured frequency for each category (Chapter 6 lists this as future work), so these are reported as recurring categories rather than a percentage breakdown. Every rejection, in this review and in the benchmark, included the full list of available identifiers rather than a bare error, consistent with the design principle (Section 3.3) that a coverage failure should be actionable rather than opaque.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11 NOT YET INSERTED ]</w:t>
            </w:r>
          </w:p>
          <w:p>
            <w:pPr>
              <w:spacing w:after="160"/>
              <w:jc w:val="center"/>
            </w:pPr>
            <w:r>
              <w:rPr>
                <w:rFonts w:ascii="Times New Roman" w:hAnsi="Times New Roman"/>
                <w:b/>
                <w:color w:val="333333"/>
                <w:sz w:val="22"/>
              </w:rPr>
              <w:t>Coverage-boundary rejection categories (illustrative)</w:t>
            </w:r>
          </w:p>
          <w:p>
            <w:pPr>
              <w:spacing w:after="280" w:line="300" w:lineRule="auto"/>
              <w:ind w:left="432" w:right="432"/>
              <w:jc w:val="center"/>
            </w:pPr>
            <w:r>
              <w:rPr>
                <w:rFonts w:ascii="Times New Roman" w:hAnsi="Times New Roman"/>
                <w:i/>
                <w:color w:val="555555"/>
                <w:sz w:val="19"/>
              </w:rPr>
              <w:t>A single panel listing the recurring rejection categories observed during design-time review and benchmark construction: metric not in semantic layer, unregistered dimension, multi-metric aggregation, causal/explanatory question, missing join path. Present these as a labeled list or simple diagram, not a chart with percentages, since no measured frequency breakdown is currently instrumented (Section 5.6).</w:t>
            </w:r>
          </w:p>
        </w:tc>
      </w:tr>
    </w:tbl>
    <w:p>
      <w:pPr>
        <w:spacing w:before="120" w:after="280"/>
        <w:jc w:val="center"/>
      </w:pPr>
      <w:r>
        <w:rPr>
          <w:rFonts w:ascii="Times New Roman" w:hAnsi="Times New Roman"/>
          <w:b/>
          <w:sz w:val="21"/>
        </w:rPr>
        <w:t>Figure 11: Coverage-boundary rejection categories (illustrative)</w:t>
      </w:r>
    </w:p>
    <w:p>
      <w:pPr>
        <w:spacing w:before="320" w:after="160"/>
        <w:jc w:val="left"/>
      </w:pPr>
      <w:r>
        <w:rPr>
          <w:rFonts w:ascii="Times New Roman" w:hAnsi="Times New Roman"/>
          <w:b/>
          <w:sz w:val="28"/>
        </w:rPr>
        <w:t>5.7  Discussion</w:t>
      </w:r>
    </w:p>
    <w:p>
      <w:pPr>
        <w:spacing w:after="120" w:before="200" w:line="360" w:lineRule="auto"/>
        <w:jc w:val="both"/>
      </w:pPr>
      <w:r>
        <w:rPr>
          <w:rFonts w:ascii="Times New Roman" w:hAnsi="Times New Roman"/>
          <w:b/>
          <w:i w:val="0"/>
          <w:sz w:val="24"/>
        </w:rPr>
        <w:t xml:space="preserve">5.7.1 AEGIS vs. direct LLM-to-SQL: structural comparison. </w:t>
      </w:r>
    </w:p>
    <w:p>
      <w:pPr>
        <w:spacing w:after="160" w:before="0" w:line="360" w:lineRule="auto"/>
        <w:jc w:val="both"/>
      </w:pPr>
      <w:r>
        <w:rPr>
          <w:rFonts w:ascii="Times New Roman" w:hAnsi="Times New Roman"/>
          <w:b w:val="0"/>
          <w:i w:val="0"/>
          <w:sz w:val="24"/>
        </w:rPr>
        <w:t>A natural question is why not simply ask a capable LLM to write SQL directly. The differences below are architectural, not accuracy-based: they would hold even against a future, more capable model.</w:t>
      </w:r>
    </w:p>
    <w:p>
      <w:pPr>
        <w:spacing w:before="200" w:after="80"/>
        <w:jc w:val="center"/>
      </w:pPr>
      <w:r>
        <w:rPr>
          <w:rFonts w:ascii="Times New Roman" w:hAnsi="Times New Roman"/>
          <w:b/>
          <w:sz w:val="22"/>
        </w:rPr>
        <w:t>Table 10: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Property</w:t>
            </w:r>
          </w:p>
        </w:tc>
        <w:tc>
          <w:tcPr>
            <w:tcW w:type="dxa" w:w="2769"/>
          </w:tcPr>
          <w:p>
            <w:pPr>
              <w:jc w:val="center"/>
            </w:pPr>
            <w:r>
              <w:rPr>
                <w:rFonts w:ascii="Times New Roman" w:hAnsi="Times New Roman"/>
                <w:b/>
                <w:sz w:val="21"/>
              </w:rPr>
            </w:r>
            <w:r>
              <w:rPr>
                <w:rFonts w:ascii="Times New Roman" w:hAnsi="Times New Roman"/>
                <w:b/>
                <w:sz w:val="21"/>
              </w:rPr>
              <w:t>Direct LLM-to-SQL</w:t>
            </w:r>
          </w:p>
        </w:tc>
        <w:tc>
          <w:tcPr>
            <w:tcW w:type="dxa" w:w="2769"/>
          </w:tcPr>
          <w:p>
            <w:pPr>
              <w:jc w:val="center"/>
            </w:pPr>
            <w:r>
              <w:rPr>
                <w:rFonts w:ascii="Times New Roman" w:hAnsi="Times New Roman"/>
                <w:b/>
                <w:sz w:val="21"/>
              </w:rPr>
            </w:r>
            <w:r>
              <w:rPr>
                <w:rFonts w:ascii="Times New Roman" w:hAnsi="Times New Roman"/>
                <w:b/>
                <w:sz w:val="21"/>
              </w:rPr>
              <w:t>AEGIS</w:t>
            </w:r>
          </w:p>
        </w:tc>
      </w:tr>
      <w:tr>
        <w:tc>
          <w:tcPr>
            <w:tcW w:type="dxa" w:w="2769"/>
          </w:tcPr>
          <w:p>
            <w:r>
              <w:rPr>
                <w:rFonts w:ascii="Times New Roman" w:hAnsi="Times New Roman"/>
                <w:sz w:val="21"/>
              </w:rPr>
            </w:r>
            <w:r>
              <w:rPr>
                <w:rFonts w:ascii="Times New Roman" w:hAnsi="Times New Roman"/>
                <w:b w:val="0"/>
                <w:sz w:val="21"/>
              </w:rPr>
              <w:t>SQL generation</w:t>
            </w:r>
          </w:p>
        </w:tc>
        <w:tc>
          <w:tcPr>
            <w:tcW w:type="dxa" w:w="2769"/>
          </w:tcPr>
          <w:p>
            <w:pPr>
              <w:jc w:val="center"/>
            </w:pPr>
            <w:r>
              <w:rPr>
                <w:rFonts w:ascii="Times New Roman" w:hAnsi="Times New Roman"/>
                <w:sz w:val="21"/>
              </w:rPr>
            </w:r>
            <w:r>
              <w:rPr>
                <w:rFonts w:ascii="Times New Roman" w:hAnsi="Times New Roman"/>
                <w:b w:val="0"/>
                <w:sz w:val="21"/>
              </w:rPr>
              <w:t>Model-generated (probabilistic)</w:t>
            </w:r>
          </w:p>
        </w:tc>
        <w:tc>
          <w:tcPr>
            <w:tcW w:type="dxa" w:w="2769"/>
          </w:tcPr>
          <w:p>
            <w:pPr>
              <w:jc w:val="center"/>
            </w:pPr>
            <w:r>
              <w:rPr>
                <w:rFonts w:ascii="Times New Roman" w:hAnsi="Times New Roman"/>
                <w:sz w:val="21"/>
              </w:rPr>
            </w:r>
            <w:r>
              <w:rPr>
                <w:rFonts w:ascii="Times New Roman" w:hAnsi="Times New Roman"/>
                <w:b w:val="0"/>
                <w:sz w:val="21"/>
              </w:rPr>
              <w:t>Deterministic compiler</w:t>
            </w:r>
          </w:p>
        </w:tc>
      </w:tr>
      <w:tr>
        <w:tc>
          <w:tcPr>
            <w:tcW w:type="dxa" w:w="2769"/>
          </w:tcPr>
          <w:p>
            <w:r>
              <w:rPr>
                <w:rFonts w:ascii="Times New Roman" w:hAnsi="Times New Roman"/>
                <w:sz w:val="21"/>
              </w:rPr>
            </w:r>
            <w:r>
              <w:rPr>
                <w:rFonts w:ascii="Times New Roman" w:hAnsi="Times New Roman"/>
                <w:b w:val="0"/>
                <w:sz w:val="21"/>
              </w:rPr>
              <w:t>Schema exposure to LLM</w:t>
            </w:r>
          </w:p>
        </w:tc>
        <w:tc>
          <w:tcPr>
            <w:tcW w:type="dxa" w:w="2769"/>
          </w:tcPr>
          <w:p>
            <w:pPr>
              <w:jc w:val="center"/>
            </w:pPr>
            <w:r>
              <w:rPr>
                <w:rFonts w:ascii="Times New Roman" w:hAnsi="Times New Roman"/>
                <w:sz w:val="21"/>
              </w:rPr>
            </w:r>
            <w:r>
              <w:rPr>
                <w:rFonts w:ascii="Times New Roman" w:hAnsi="Times New Roman"/>
                <w:b w:val="0"/>
                <w:sz w:val="21"/>
              </w:rPr>
              <w:t>Required (tables, columns, keys)</w:t>
            </w:r>
          </w:p>
        </w:tc>
        <w:tc>
          <w:tcPr>
            <w:tcW w:type="dxa" w:w="2769"/>
          </w:tcPr>
          <w:p>
            <w:pPr>
              <w:jc w:val="center"/>
            </w:pPr>
            <w:r>
              <w:rPr>
                <w:rFonts w:ascii="Times New Roman" w:hAnsi="Times New Roman"/>
                <w:sz w:val="21"/>
              </w:rPr>
            </w:r>
            <w:r>
              <w:rPr>
                <w:rFonts w:ascii="Times New Roman" w:hAnsi="Times New Roman"/>
                <w:b w:val="0"/>
                <w:sz w:val="21"/>
              </w:rPr>
              <w:t>Not required (labels only)</w:t>
            </w:r>
          </w:p>
        </w:tc>
      </w:tr>
      <w:tr>
        <w:tc>
          <w:tcPr>
            <w:tcW w:type="dxa" w:w="2769"/>
          </w:tcPr>
          <w:p>
            <w:r>
              <w:rPr>
                <w:rFonts w:ascii="Times New Roman" w:hAnsi="Times New Roman"/>
                <w:sz w:val="21"/>
              </w:rPr>
            </w:r>
            <w:r>
              <w:rPr>
                <w:rFonts w:ascii="Times New Roman" w:hAnsi="Times New Roman"/>
                <w:b w:val="0"/>
                <w:sz w:val="21"/>
              </w:rPr>
              <w:t>Business metric definitions</w:t>
            </w:r>
          </w:p>
        </w:tc>
        <w:tc>
          <w:tcPr>
            <w:tcW w:type="dxa" w:w="2769"/>
          </w:tcPr>
          <w:p>
            <w:pPr>
              <w:jc w:val="center"/>
            </w:pPr>
            <w:r>
              <w:rPr>
                <w:rFonts w:ascii="Times New Roman" w:hAnsi="Times New Roman"/>
                <w:sz w:val="21"/>
              </w:rPr>
            </w:r>
            <w:r>
              <w:rPr>
                <w:rFonts w:ascii="Times New Roman" w:hAnsi="Times New Roman"/>
                <w:b w:val="0"/>
                <w:sz w:val="21"/>
              </w:rPr>
              <w:t>Implied from schema names</w:t>
            </w:r>
          </w:p>
        </w:tc>
        <w:tc>
          <w:tcPr>
            <w:tcW w:type="dxa" w:w="2769"/>
          </w:tcPr>
          <w:p>
            <w:pPr>
              <w:jc w:val="center"/>
            </w:pPr>
            <w:r>
              <w:rPr>
                <w:rFonts w:ascii="Times New Roman" w:hAnsi="Times New Roman"/>
                <w:sz w:val="21"/>
              </w:rPr>
            </w:r>
            <w:r>
              <w:rPr>
                <w:rFonts w:ascii="Times New Roman" w:hAnsi="Times New Roman"/>
                <w:b w:val="0"/>
                <w:sz w:val="21"/>
              </w:rPr>
              <w:t>Explicit in semantic layer</w:t>
            </w:r>
          </w:p>
        </w:tc>
      </w:tr>
      <w:tr>
        <w:tc>
          <w:tcPr>
            <w:tcW w:type="dxa" w:w="2769"/>
          </w:tcPr>
          <w:p>
            <w:r>
              <w:rPr>
                <w:rFonts w:ascii="Times New Roman" w:hAnsi="Times New Roman"/>
                <w:sz w:val="21"/>
              </w:rPr>
            </w:r>
            <w:r>
              <w:rPr>
                <w:rFonts w:ascii="Times New Roman" w:hAnsi="Times New Roman"/>
                <w:b w:val="0"/>
                <w:sz w:val="21"/>
              </w:rPr>
              <w:t>SQL injection prevention</w:t>
            </w:r>
          </w:p>
        </w:tc>
        <w:tc>
          <w:tcPr>
            <w:tcW w:type="dxa" w:w="2769"/>
          </w:tcPr>
          <w:p>
            <w:pPr>
              <w:jc w:val="center"/>
            </w:pPr>
            <w:r>
              <w:rPr>
                <w:rFonts w:ascii="Times New Roman" w:hAnsi="Times New Roman"/>
                <w:sz w:val="21"/>
              </w:rPr>
            </w:r>
            <w:r>
              <w:rPr>
                <w:rFonts w:ascii="Times New Roman" w:hAnsi="Times New Roman"/>
                <w:b w:val="0"/>
                <w:sz w:val="21"/>
              </w:rPr>
              <w:t>Prompt-level (best-effort)</w:t>
            </w:r>
          </w:p>
        </w:tc>
        <w:tc>
          <w:tcPr>
            <w:tcW w:type="dxa" w:w="2769"/>
          </w:tcPr>
          <w:p>
            <w:pPr>
              <w:jc w:val="center"/>
            </w:pPr>
            <w:r>
              <w:rPr>
                <w:rFonts w:ascii="Times New Roman" w:hAnsi="Times New Roman"/>
                <w:sz w:val="21"/>
              </w:rPr>
            </w:r>
            <w:r>
              <w:rPr>
                <w:rFonts w:ascii="Times New Roman" w:hAnsi="Times New Roman"/>
                <w:b w:val="0"/>
                <w:sz w:val="21"/>
              </w:rPr>
              <w:t>Structural (by design)</w:t>
            </w:r>
          </w:p>
        </w:tc>
      </w:tr>
      <w:tr>
        <w:tc>
          <w:tcPr>
            <w:tcW w:type="dxa" w:w="2769"/>
          </w:tcPr>
          <w:p>
            <w:r>
              <w:rPr>
                <w:rFonts w:ascii="Times New Roman" w:hAnsi="Times New Roman"/>
                <w:sz w:val="21"/>
              </w:rPr>
            </w:r>
            <w:r>
              <w:rPr>
                <w:rFonts w:ascii="Times New Roman" w:hAnsi="Times New Roman"/>
                <w:b w:val="0"/>
                <w:sz w:val="21"/>
              </w:rPr>
              <w:t>Permission enforcement</w:t>
            </w:r>
          </w:p>
        </w:tc>
        <w:tc>
          <w:tcPr>
            <w:tcW w:type="dxa" w:w="2769"/>
          </w:tcPr>
          <w:p>
            <w:pPr>
              <w:jc w:val="center"/>
            </w:pPr>
            <w:r>
              <w:rPr>
                <w:rFonts w:ascii="Times New Roman" w:hAnsi="Times New Roman"/>
                <w:sz w:val="21"/>
              </w:rPr>
            </w:r>
            <w:r>
              <w:rPr>
                <w:rFonts w:ascii="Times New Roman" w:hAnsi="Times New Roman"/>
                <w:b w:val="0"/>
                <w:sz w:val="21"/>
              </w:rPr>
              <w:t>External or none</w:t>
            </w:r>
          </w:p>
        </w:tc>
        <w:tc>
          <w:tcPr>
            <w:tcW w:type="dxa" w:w="2769"/>
          </w:tcPr>
          <w:p>
            <w:pPr>
              <w:jc w:val="center"/>
            </w:pPr>
            <w:r>
              <w:rPr>
                <w:rFonts w:ascii="Times New Roman" w:hAnsi="Times New Roman"/>
                <w:sz w:val="21"/>
              </w:rPr>
            </w:r>
            <w:r>
              <w:rPr>
                <w:rFonts w:ascii="Times New Roman" w:hAnsi="Times New Roman"/>
                <w:b w:val="0"/>
                <w:sz w:val="21"/>
              </w:rPr>
              <w:t>Built-in, post-LLM</w:t>
            </w:r>
          </w:p>
        </w:tc>
      </w:tr>
      <w:tr>
        <w:tc>
          <w:tcPr>
            <w:tcW w:type="dxa" w:w="2769"/>
          </w:tcPr>
          <w:p>
            <w:r>
              <w:rPr>
                <w:rFonts w:ascii="Times New Roman" w:hAnsi="Times New Roman"/>
                <w:sz w:val="21"/>
              </w:rPr>
            </w:r>
            <w:r>
              <w:rPr>
                <w:rFonts w:ascii="Times New Roman" w:hAnsi="Times New Roman"/>
                <w:b w:val="0"/>
                <w:sz w:val="21"/>
              </w:rPr>
              <w:t>Dashboard widget persistence</w:t>
            </w:r>
          </w:p>
        </w:tc>
        <w:tc>
          <w:tcPr>
            <w:tcW w:type="dxa" w:w="2769"/>
          </w:tcPr>
          <w:p>
            <w:pPr>
              <w:jc w:val="center"/>
            </w:pPr>
            <w:r>
              <w:rPr>
                <w:rFonts w:ascii="Times New Roman" w:hAnsi="Times New Roman"/>
                <w:sz w:val="21"/>
              </w:rPr>
            </w:r>
            <w:r>
              <w:rPr>
                <w:rFonts w:ascii="Times New Roman" w:hAnsi="Times New Roman"/>
                <w:b w:val="0"/>
                <w:sz w:val="21"/>
              </w:rPr>
              <w:t>Not provided</w:t>
            </w:r>
          </w:p>
        </w:tc>
        <w:tc>
          <w:tcPr>
            <w:tcW w:type="dxa" w:w="2769"/>
          </w:tcPr>
          <w:p>
            <w:pPr>
              <w:jc w:val="center"/>
            </w:pPr>
            <w:r>
              <w:rPr>
                <w:rFonts w:ascii="Times New Roman" w:hAnsi="Times New Roman"/>
                <w:sz w:val="21"/>
              </w:rPr>
            </w:r>
            <w:r>
              <w:rPr>
                <w:rFonts w:ascii="Times New Roman" w:hAnsi="Times New Roman"/>
                <w:b w:val="0"/>
                <w:sz w:val="21"/>
              </w:rPr>
              <w:t>First-class artifact</w:t>
            </w:r>
          </w:p>
        </w:tc>
      </w:tr>
      <w:tr>
        <w:tc>
          <w:tcPr>
            <w:tcW w:type="dxa" w:w="2769"/>
          </w:tcPr>
          <w:p>
            <w:r>
              <w:rPr>
                <w:rFonts w:ascii="Times New Roman" w:hAnsi="Times New Roman"/>
                <w:sz w:val="21"/>
              </w:rPr>
            </w:r>
            <w:r>
              <w:rPr>
                <w:rFonts w:ascii="Times New Roman" w:hAnsi="Times New Roman"/>
                <w:b w:val="0"/>
                <w:sz w:val="21"/>
              </w:rPr>
              <w:t>Auditability of query origin</w:t>
            </w:r>
          </w:p>
        </w:tc>
        <w:tc>
          <w:tcPr>
            <w:tcW w:type="dxa" w:w="2769"/>
          </w:tcPr>
          <w:p>
            <w:pPr>
              <w:jc w:val="center"/>
            </w:pPr>
            <w:r>
              <w:rPr>
                <w:rFonts w:ascii="Times New Roman" w:hAnsi="Times New Roman"/>
                <w:sz w:val="21"/>
              </w:rPr>
            </w:r>
            <w:r>
              <w:rPr>
                <w:rFonts w:ascii="Times New Roman" w:hAnsi="Times New Roman"/>
                <w:b w:val="0"/>
                <w:sz w:val="21"/>
              </w:rPr>
              <w:t>Difficult</w:t>
            </w:r>
          </w:p>
        </w:tc>
        <w:tc>
          <w:tcPr>
            <w:tcW w:type="dxa" w:w="2769"/>
          </w:tcPr>
          <w:p>
            <w:pPr>
              <w:jc w:val="center"/>
            </w:pPr>
            <w:r>
              <w:rPr>
                <w:rFonts w:ascii="Times New Roman" w:hAnsi="Times New Roman"/>
                <w:sz w:val="21"/>
              </w:rPr>
            </w:r>
            <w:r>
              <w:rPr>
                <w:rFonts w:ascii="Times New Roman" w:hAnsi="Times New Roman"/>
                <w:b w:val="0"/>
                <w:sz w:val="21"/>
              </w:rPr>
              <w:t>Full provenance per widget</w:t>
            </w:r>
          </w:p>
        </w:tc>
      </w:tr>
      <w:tr>
        <w:tc>
          <w:tcPr>
            <w:tcW w:type="dxa" w:w="2769"/>
          </w:tcPr>
          <w:p>
            <w:r>
              <w:rPr>
                <w:rFonts w:ascii="Times New Roman" w:hAnsi="Times New Roman"/>
                <w:sz w:val="21"/>
              </w:rPr>
            </w:r>
            <w:r>
              <w:rPr>
                <w:rFonts w:ascii="Times New Roman" w:hAnsi="Times New Roman"/>
                <w:b w:val="0"/>
                <w:sz w:val="21"/>
              </w:rPr>
              <w:t>Model dependency</w:t>
            </w:r>
          </w:p>
        </w:tc>
        <w:tc>
          <w:tcPr>
            <w:tcW w:type="dxa" w:w="2769"/>
          </w:tcPr>
          <w:p>
            <w:pPr>
              <w:jc w:val="center"/>
            </w:pPr>
            <w:r>
              <w:rPr>
                <w:rFonts w:ascii="Times New Roman" w:hAnsi="Times New Roman"/>
                <w:sz w:val="21"/>
              </w:rPr>
            </w:r>
            <w:r>
              <w:rPr>
                <w:rFonts w:ascii="Times New Roman" w:hAnsi="Times New Roman"/>
                <w:b w:val="0"/>
                <w:sz w:val="21"/>
              </w:rPr>
              <w:t>Tied to specific model quality</w:t>
            </w:r>
          </w:p>
        </w:tc>
        <w:tc>
          <w:tcPr>
            <w:tcW w:type="dxa" w:w="2769"/>
          </w:tcPr>
          <w:p>
            <w:pPr>
              <w:jc w:val="center"/>
            </w:pPr>
            <w:r>
              <w:rPr>
                <w:rFonts w:ascii="Times New Roman" w:hAnsi="Times New Roman"/>
                <w:sz w:val="21"/>
              </w:rPr>
            </w:r>
            <w:r>
              <w:rPr>
                <w:rFonts w:ascii="Times New Roman" w:hAnsi="Times New Roman"/>
                <w:b w:val="0"/>
                <w:sz w:val="21"/>
              </w:rPr>
              <w:t>Model-independent</w:t>
            </w:r>
          </w:p>
        </w:tc>
      </w:tr>
    </w:tbl>
    <w:p>
      <w:pPr>
        <w:spacing w:after="80"/>
      </w:pPr>
    </w:p>
    <w:p>
      <w:pPr>
        <w:spacing w:after="200" w:before="0" w:line="360" w:lineRule="auto"/>
        <w:jc w:val="both"/>
      </w:pPr>
      <w:r>
        <w:rPr>
          <w:rFonts w:ascii="Times New Roman" w:hAnsi="Times New Roman"/>
          <w:b w:val="0"/>
          <w:i w:val="0"/>
          <w:sz w:val="24"/>
        </w:rPr>
        <w:t>AEGIS does not claim to produce more creative SQL than a frontier LLM. It claims that, for the analytics requests it supports, results are guaranteed correct by construction, auditable, and safe, properties that probabilistic generation cannot offer unconditionally, no matter how capable the underlying model becomes.</w:t>
      </w:r>
    </w:p>
    <w:p>
      <w:pPr>
        <w:spacing w:after="120" w:before="0" w:line="360" w:lineRule="auto"/>
        <w:jc w:val="both"/>
      </w:pPr>
      <w:r>
        <w:rPr>
          <w:rFonts w:ascii="Times New Roman" w:hAnsi="Times New Roman"/>
          <w:b/>
          <w:i w:val="0"/>
          <w:sz w:val="24"/>
        </w:rPr>
        <w:t xml:space="preserve">5.7.2 Why a semantic layer instead of retrieval-augmented generation? </w:t>
      </w:r>
    </w:p>
    <w:p>
      <w:pPr>
        <w:spacing w:after="200" w:before="0" w:line="360" w:lineRule="auto"/>
        <w:jc w:val="both"/>
      </w:pPr>
      <w:r>
        <w:rPr>
          <w:rFonts w:ascii="Times New Roman" w:hAnsi="Times New Roman"/>
          <w:b w:val="0"/>
          <w:i w:val="0"/>
          <w:sz w:val="24"/>
        </w:rPr>
        <w:t>Retrieval-augmented generation (RAG) for NL-to-SQL retrieves relevant schema fragments to give the LLM better context. This is a useful technique, but it solves a different problem from the semantic layer and does not eliminate the safety risk. RAG asks which schema information the LLM should see; it is an access-optimization technique that narrows the schema the model reasons over, but the LLM still generates a free-form SQL string as output. The semantic layer asks which analytical concepts are allowed to exist, what they mean, and who may access them; it is a governance mechanism that defines the complete set of answerable questions and their canonical SQL translations before any query is processed, and the LLM outputs a typed intent object rather than SQL. An organization that wants both better schema context and controlled output could use RAG to select relevant semantic layer sections for very large vocabularies, thousands of metrics, while still routing every query through the AEGIS compiler; the two techniques are complementary rather than competing.</w:t>
      </w:r>
    </w:p>
    <w:p>
      <w:pPr>
        <w:spacing w:after="120" w:before="0" w:line="360" w:lineRule="auto"/>
        <w:jc w:val="both"/>
      </w:pPr>
      <w:r>
        <w:rPr>
          <w:rFonts w:ascii="Times New Roman" w:hAnsi="Times New Roman"/>
          <w:b/>
          <w:i w:val="0"/>
          <w:sz w:val="24"/>
        </w:rPr>
        <w:t xml:space="preserve">5.7.3 Scope and coverage boundary. </w:t>
      </w:r>
    </w:p>
    <w:p>
      <w:pPr>
        <w:spacing w:after="160" w:before="0" w:line="360" w:lineRule="auto"/>
        <w:jc w:val="both"/>
      </w:pPr>
      <w:r>
        <w:rPr>
          <w:rFonts w:ascii="Times New Roman" w:hAnsi="Times New Roman"/>
          <w:b w:val="0"/>
          <w:i w:val="0"/>
          <w:sz w:val="24"/>
        </w:rPr>
        <w:t>AEGIS only supports queries that fit within its defined metrics, dimensions, and patterns, an approximately 5,610-combination space (15 metrics times 34 dimensions times 11 patterns, in the nopCommerce configuration). Out-of-scope queries receive a structured rejection listing available identifiers rather than a silent wrong answer:</w:t>
      </w:r>
    </w:p>
    <w:p>
      <w:pPr>
        <w:spacing w:before="120" w:after="120" w:line="276" w:lineRule="auto"/>
        <w:ind w:left="576"/>
      </w:pPr>
      <w:r>
        <w:rPr>
          <w:rFonts w:ascii="Consolas" w:hAnsi="Consolas"/>
          <w:sz w:val="19"/>
        </w:rPr>
        <w:t>Unknown metric 'conversion_rate'.</w:t>
      </w:r>
      <w:r>
        <w:rPr>
          <w:rFonts w:ascii="Consolas" w:hAnsi="Consolas"/>
          <w:sz w:val="19"/>
        </w:rPr>
        <w:br/>
        <w:t>Available: avg_order_value, customer_count, discount_amount,</w:t>
      </w:r>
      <w:r>
        <w:rPr>
          <w:rFonts w:ascii="Consolas" w:hAnsi="Consolas"/>
          <w:sz w:val="19"/>
        </w:rPr>
        <w:br/>
        <w:t xml:space="preserve">           order_count, profit, refund_amount, revenue, ...</w:t>
      </w:r>
    </w:p>
    <w:p>
      <w:pPr>
        <w:spacing w:after="0" w:before="0" w:line="360" w:lineRule="auto"/>
        <w:jc w:val="both"/>
      </w:pPr>
      <w:r>
        <w:rPr>
          <w:rFonts w:ascii="Times New Roman" w:hAnsi="Times New Roman"/>
          <w:b w:val="0"/>
          <w:i w:val="0"/>
          <w:sz w:val="24"/>
        </w:rPr>
        <w:t>Extending coverage requires only adding rows to the semantic layer, with no model retraining and no synonym curation required, since vocabulary injection (Section 3.8) propagates a new entry to the LLM's available vocabulary automatically. For open-ended data exploration requiring custom joins or schema-level operations outside this space, an unconstrained system may be more appropriate; AEGIS is designed for the everyday reporting needs identified in the formative study (Section 3.2), not ad hoc data science exploration.</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120" w:before="0" w:line="360" w:lineRule="auto"/>
        <w:jc w:val="both"/>
      </w:pPr>
      <w:r>
        <w:rPr>
          <w:rFonts w:ascii="Times New Roman" w:hAnsi="Times New Roman"/>
          <w:b/>
          <w:i w:val="0"/>
          <w:sz w:val="24"/>
        </w:rPr>
        <w:t xml:space="preserve">Semantic layer construction cost. </w:t>
      </w:r>
      <w:r>
        <w:rPr>
          <w:rFonts w:ascii="Times New Roman" w:hAnsi="Times New Roman"/>
          <w:b w:val="0"/>
          <w:i w:val="0"/>
          <w:sz w:val="24"/>
        </w:rPr>
        <w:t>Every AEGIS deployment requires a domain-specific semantic layer built by someone with both business knowledge and schema access. The nopCommerce prototype took approximately 40 person-hours. Organizations without this expertise, or with rapidly evolving schemas, may find the maintenance burden significant. AEGIS is not a zero-configuration system.</w:t>
      </w:r>
    </w:p>
    <w:p>
      <w:pPr>
        <w:spacing w:after="120" w:before="0" w:line="360" w:lineRule="auto"/>
        <w:jc w:val="both"/>
      </w:pPr>
      <w:r>
        <w:rPr>
          <w:rFonts w:ascii="Times New Roman" w:hAnsi="Times New Roman"/>
          <w:b/>
          <w:i w:val="0"/>
          <w:sz w:val="24"/>
        </w:rPr>
        <w:t xml:space="preserve">Cannot answer arbitrary SQL questions. </w:t>
      </w:r>
      <w:r>
        <w:rPr>
          <w:rFonts w:ascii="Times New Roman" w:hAnsi="Times New Roman"/>
          <w:b w:val="0"/>
          <w:i w:val="0"/>
          <w:sz w:val="24"/>
        </w:rPr>
        <w:t>By design, AEGIS only answers questions that map to a supported analytics primitive with an approved metric and dimension. Ad hoc queries, multi-level nested aggregations, or requests for data fields not in the semantic layer fail with a coverage error (Section 5.6). This is a deliberate trade-off, not an oversight.</w:t>
      </w:r>
    </w:p>
    <w:p>
      <w:pPr>
        <w:spacing w:after="120" w:before="0" w:line="360" w:lineRule="auto"/>
        <w:jc w:val="both"/>
      </w:pPr>
      <w:r>
        <w:rPr>
          <w:rFonts w:ascii="Times New Roman" w:hAnsi="Times New Roman"/>
          <w:b/>
          <w:i w:val="0"/>
          <w:sz w:val="24"/>
        </w:rPr>
        <w:t xml:space="preserve">Complex analytical queries require new templates. </w:t>
      </w:r>
      <w:r>
        <w:rPr>
          <w:rFonts w:ascii="Times New Roman" w:hAnsi="Times New Roman"/>
          <w:b w:val="0"/>
          <w:i w:val="0"/>
          <w:sz w:val="24"/>
        </w:rPr>
        <w:t>Approximately 2.6% of the formative-study requests (Section 3.2) required patterns not yet in the template library. Adding a new pattern requires a developer with SQL knowledge; it is not something a business user can do themselves.</w:t>
      </w:r>
    </w:p>
    <w:p>
      <w:pPr>
        <w:spacing w:after="120" w:before="0" w:line="360" w:lineRule="auto"/>
        <w:jc w:val="both"/>
      </w:pPr>
      <w:r>
        <w:rPr>
          <w:rFonts w:ascii="Times New Roman" w:hAnsi="Times New Roman"/>
          <w:b/>
          <w:i w:val="0"/>
          <w:sz w:val="24"/>
        </w:rPr>
        <w:t xml:space="preserve">Quality depends on intent extraction, not just compilation. </w:t>
      </w:r>
      <w:r>
        <w:rPr>
          <w:rFonts w:ascii="Times New Roman" w:hAnsi="Times New Roman"/>
          <w:b w:val="0"/>
          <w:i w:val="0"/>
          <w:sz w:val="24"/>
        </w:rPr>
        <w:t>The safety guarantees in Chapter 3 apply to compilation and execution, not to intent extraction quality. A model that misclassifies a request will produce a structurally safe but semantically wrong query. Safety and accuracy are separate properties, and this thesis is careful not to conflate them.</w:t>
      </w:r>
    </w:p>
    <w:p>
      <w:pPr>
        <w:spacing w:after="120" w:before="0" w:line="360" w:lineRule="auto"/>
        <w:jc w:val="both"/>
      </w:pPr>
      <w:r>
        <w:rPr>
          <w:rFonts w:ascii="Times New Roman" w:hAnsi="Times New Roman"/>
          <w:b/>
          <w:i w:val="0"/>
          <w:sz w:val="24"/>
        </w:rPr>
        <w:t xml:space="preserve">Benchmark selection. </w:t>
      </w:r>
      <w:r>
        <w:rPr>
          <w:rFonts w:ascii="Times New Roman" w:hAnsi="Times New Roman"/>
          <w:b w:val="0"/>
          <w:i w:val="0"/>
          <w:sz w:val="24"/>
        </w:rPr>
        <w:t>The custom 100-query benchmark (Section 4.3) was necessary because standard benchmarks such as Spider and BIRD do not evaluate adversarial safety or adherence to business logic; this also means the reported accuracy figures are not directly comparable to Spider- or BIRD-reported numbers from other systems.</w:t>
      </w:r>
    </w:p>
    <w:p>
      <w:pPr>
        <w:spacing w:after="120" w:before="0" w:line="360" w:lineRule="auto"/>
        <w:jc w:val="both"/>
      </w:pPr>
      <w:r>
        <w:rPr>
          <w:rFonts w:ascii="Times New Roman" w:hAnsi="Times New Roman"/>
          <w:b/>
          <w:i w:val="0"/>
          <w:sz w:val="24"/>
        </w:rPr>
        <w:t xml:space="preserve">Semantic layer scalability. </w:t>
      </w:r>
      <w:r>
        <w:rPr>
          <w:rFonts w:ascii="Times New Roman" w:hAnsi="Times New Roman"/>
          <w:b w:val="0"/>
          <w:i w:val="0"/>
          <w:sz w:val="24"/>
        </w:rPr>
        <w:t>Modern context windows of roughly 128,000 tokens can hold approximately 2,500 distinct metric and dimension definitions; most enterprise deployments expose fewer than 500 core concepts, so this is not a near-term constraint, but very large vocabularies would need retrieval-augmented vocabulary injection rather than injecting the entire semantic layer at once.</w:t>
      </w:r>
    </w:p>
    <w:p>
      <w:pPr>
        <w:spacing w:after="120" w:before="0" w:line="360" w:lineRule="auto"/>
        <w:jc w:val="both"/>
      </w:pPr>
      <w:r>
        <w:rPr>
          <w:rFonts w:ascii="Times New Roman" w:hAnsi="Times New Roman"/>
          <w:b/>
          <w:i w:val="0"/>
          <w:sz w:val="24"/>
        </w:rPr>
        <w:t xml:space="preserve">Database agnosticism. </w:t>
      </w:r>
      <w:r>
        <w:rPr>
          <w:rFonts w:ascii="Times New Roman" w:hAnsi="Times New Roman"/>
          <w:b w:val="0"/>
          <w:i w:val="0"/>
          <w:sz w:val="24"/>
        </w:rPr>
        <w:t>The current compiler generates MySQL syntax; supporting PostgreSQL or SQL Server requires extending the compiler module, not redesigning the architecture.</w:t>
      </w:r>
    </w:p>
    <w:p>
      <w:pPr>
        <w:spacing w:after="120" w:before="0" w:line="360" w:lineRule="auto"/>
        <w:jc w:val="both"/>
      </w:pPr>
      <w:r>
        <w:rPr>
          <w:rFonts w:ascii="Times New Roman" w:hAnsi="Times New Roman"/>
          <w:b/>
          <w:i w:val="0"/>
          <w:sz w:val="24"/>
        </w:rPr>
        <w:t xml:space="preserve">Storage persistence. </w:t>
      </w:r>
      <w:r>
        <w:rPr>
          <w:rFonts w:ascii="Times New Roman" w:hAnsi="Times New Roman"/>
          <w:b w:val="0"/>
          <w:i w:val="0"/>
          <w:sz w:val="24"/>
        </w:rPr>
        <w:t>The prototype uses JSON flat files for widget storage; the widget registry interface is designed to be swapped for a relational database in a production deployment.</w:t>
      </w:r>
    </w:p>
    <w:p>
      <w:pPr>
        <w:spacing w:after="120" w:before="0" w:line="360" w:lineRule="auto"/>
        <w:jc w:val="both"/>
      </w:pPr>
      <w:r>
        <w:rPr>
          <w:rFonts w:ascii="Times New Roman" w:hAnsi="Times New Roman"/>
          <w:b/>
          <w:i w:val="0"/>
          <w:sz w:val="24"/>
        </w:rPr>
        <w:t xml:space="preserve">Multi-turn conversation. </w:t>
      </w:r>
      <w:r>
        <w:rPr>
          <w:rFonts w:ascii="Times New Roman" w:hAnsi="Times New Roman"/>
          <w:b w:val="0"/>
          <w:i w:val="0"/>
          <w:sz w:val="24"/>
        </w:rPr>
        <w:t>AEGIS currently treats each request independently. Contextual carryover across turns, of the kind studied for conversational text-to-SQL in Section 2.2, is not yet implemented.</w:t>
      </w:r>
    </w:p>
    <w:p>
      <w:pPr>
        <w:spacing w:after="0" w:before="0" w:line="360" w:lineRule="auto"/>
        <w:jc w:val="both"/>
      </w:pPr>
      <w:r>
        <w:rPr>
          <w:rFonts w:ascii="Times New Roman" w:hAnsi="Times New Roman"/>
          <w:b/>
          <w:i w:val="0"/>
          <w:sz w:val="24"/>
        </w:rPr>
        <w:t xml:space="preserve">Vocabulary injection limitations. </w:t>
      </w:r>
      <w:r>
        <w:rPr>
          <w:rFonts w:ascii="Times New Roman" w:hAnsi="Times New Roman"/>
          <w:b w:val="0"/>
          <w:i w:val="0"/>
          <w:sz w:val="24"/>
        </w:rPr>
        <w:t>Highly specialized domain terminology may require supplementary few-shot examples in the prompt beyond the label and description pairs currently injected.</w:t>
      </w:r>
    </w:p>
    <w:p>
      <w:pPr>
        <w:spacing w:before="320" w:after="160"/>
        <w:jc w:val="left"/>
      </w:pPr>
      <w:r>
        <w:rPr>
          <w:rFonts w:ascii="Times New Roman" w:hAnsi="Times New Roman"/>
          <w:b/>
          <w:sz w:val="28"/>
        </w:rPr>
        <w:t>6.2  Future Work</w:t>
      </w:r>
    </w:p>
    <w:p>
      <w:pPr>
        <w:pStyle w:val="ListBullet"/>
        <w:spacing w:after="80" w:line="360" w:lineRule="auto"/>
      </w:pPr>
      <w:r>
        <w:rPr>
          <w:rFonts w:ascii="Times New Roman" w:hAnsi="Times New Roman"/>
          <w:sz w:val="24"/>
        </w:rPr>
        <w:t>Clarification requests: when confidence is low, AEGIS should ask a follow-up question instead of guessing, for example “did you mean revenue or profit?”</w:t>
      </w:r>
    </w:p>
    <w:p>
      <w:pPr>
        <w:pStyle w:val="ListBullet"/>
        <w:spacing w:after="80" w:line="360" w:lineRule="auto"/>
      </w:pPr>
      <w:r>
        <w:rPr>
          <w:rFonts w:ascii="Times New Roman" w:hAnsi="Times New Roman"/>
          <w:sz w:val="24"/>
        </w:rPr>
        <w:t>Semantic layer wizard: a guided interface for business analysts to define new metrics and dimensions without writing Python.</w:t>
      </w:r>
    </w:p>
    <w:p>
      <w:pPr>
        <w:pStyle w:val="ListBullet"/>
        <w:spacing w:after="80" w:line="360" w:lineRule="auto"/>
      </w:pPr>
      <w:r>
        <w:rPr>
          <w:rFonts w:ascii="Times New Roman" w:hAnsi="Times New Roman"/>
          <w:sz w:val="24"/>
        </w:rPr>
        <w:t>Multi-step queries: currently each query produces one widget; compound questions such as “revenue trend and top 5 products side by side” require two separate queries today.</w:t>
      </w:r>
    </w:p>
    <w:p>
      <w:pPr>
        <w:pStyle w:val="ListBullet"/>
        <w:spacing w:after="80" w:line="360" w:lineRule="auto"/>
      </w:pPr>
      <w:r>
        <w:rPr>
          <w:rFonts w:ascii="Times New Roman" w:hAnsi="Times New Roman"/>
          <w:sz w:val="24"/>
        </w:rPr>
        <w:t>Automated denial-of-service protection: query complexity scoring and server-side timeout enforcement, since the join graph bounds query cost but does not currently score it explicitly.</w:t>
      </w:r>
    </w:p>
    <w:p>
      <w:pPr>
        <w:pStyle w:val="ListBullet"/>
        <w:spacing w:after="80" w:line="360" w:lineRule="auto"/>
      </w:pPr>
      <w:r>
        <w:rPr>
          <w:rFonts w:ascii="Times New Roman" w:hAnsi="Times New Roman"/>
          <w:sz w:val="24"/>
        </w:rPr>
        <w:t>Broader schema coverage: extending the nopCommerce semantic layer to cover promotions, vendor analytics, and content-management engagement metrics.</w:t>
      </w:r>
    </w:p>
    <w:p>
      <w:pPr>
        <w:pStyle w:val="ListBullet"/>
        <w:spacing w:after="80" w:line="360" w:lineRule="auto"/>
      </w:pPr>
      <w:r>
        <w:rPr>
          <w:rFonts w:ascii="Times New Roman" w:hAnsi="Times New Roman"/>
          <w:sz w:val="24"/>
        </w:rPr>
        <w:t>Multi-turn conversational carryover, extending the single-turn design discussed above.</w:t>
      </w:r>
    </w:p>
    <w:p>
      <w:pPr>
        <w:pStyle w:val="ListBullet"/>
        <w:spacing w:after="80" w:line="360" w:lineRule="auto"/>
      </w:pPr>
      <w:r>
        <w:rPr>
          <w:rFonts w:ascii="Times New Roman" w:hAnsi="Times New Roman"/>
          <w:sz w:val="24"/>
        </w:rPr>
        <w:t>Outcome and rejection-category instrumentation: measuring, from real benchmark and production runs, the precise proportion of requests answered directly, answered after clarification, answered after a semantic layer extension, or rejected, and the relative frequency of each rejection category (Sections 5.3 and 5.6). This thesis currently reports these categories qualitatively; adding this instrumentation would let a future revision report a measured percentage breakdown rather than a qualitative one.</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system for turning plain-English reporting requests into dynamic, refreshable dashboard widgets over relational databases. The central contribution has two parts. First, a system design that limits the language model to understanding questions, while all query building, chart selection, and widget storage is handled by fixed rules and pre-approved templates, so that safety is a property guaranteed by system structure rather than a probability that improves with model quality. Second, a vocabulary injection method that removes the need for manually maintained synonym lists while improving coverage, reducing a 112-entry synonym dictionary to zero entries while raising coverage from 99% to 100%.</w:t>
      </w:r>
    </w:p>
    <w:p>
      <w:pPr>
        <w:spacing w:after="240" w:before="0" w:line="360" w:lineRule="auto"/>
        <w:jc w:val="both"/>
      </w:pPr>
      <w:r>
        <w:rPr>
          <w:rFonts w:ascii="Times New Roman" w:hAnsi="Times New Roman"/>
          <w:b w:val="0"/>
          <w:i w:val="0"/>
          <w:sz w:val="24"/>
        </w:rPr>
        <w:t>The evaluation in Chapter 5 shows that AEGIS reduces the unsafe SQL rate from 5.0% to 0% relative to a direct LLM-to-SQL baseline using the same underlying model, achieves 100% valid SQL and 100% coverage on its 100-query nopCommerce benchmark, and generalizes to a second production schema, WooCommerce, with only semantic layer reconfiguration required and no change to the LLM, the compiler, or the safety scanner. The pipeline latency analysis confirms that this safety infrastructure adds less than 4% overhead relative to the LLM API call that any comparable system would also need to make.</w:t>
      </w:r>
    </w:p>
    <w:p>
      <w:pPr>
        <w:spacing w:after="240" w:before="0" w:line="360" w:lineRule="auto"/>
        <w:jc w:val="both"/>
      </w:pPr>
      <w:r>
        <w:rPr>
          <w:rFonts w:ascii="Times New Roman" w:hAnsi="Times New Roman"/>
          <w:b w:val="0"/>
          <w:i w:val="0"/>
          <w:sz w:val="24"/>
        </w:rPr>
        <w:t>The literature review in Chapter 2 situates this contribution precisely: prior text-to-SQL research, from Seq2SQL through RAT-SQL and PICARD, treats SQL-generation accuracy as the object of study and, with the partial exception of a 2025 systematic review's discussion of injection attacks, does not evaluate safety as a first-class property at all. AEGIS's architectural choice, removing SQL generation from the language model's role entirely rather than constraining it more tightly, is a categorically different answer to the same underlying problem, and one independently echoed in recent explanatory-analytics research reviewed in Section 2.7 that arrives at the same “let a deterministic layer compute the answer” principle in an unrelated domain.</w:t>
      </w:r>
    </w:p>
    <w:p>
      <w:pPr>
        <w:spacing w:after="0" w:before="0" w:line="360" w:lineRule="auto"/>
        <w:jc w:val="both"/>
      </w:pPr>
      <w:r>
        <w:rPr>
          <w:rFonts w:ascii="Times New Roman" w:hAnsi="Times New Roman"/>
          <w:b w:val="0"/>
          <w:i w:val="0"/>
          <w:sz w:val="24"/>
        </w:rPr>
        <w:t>AEGIS is built for environments where data privacy, consistent reporting definitions, and daily reuse of saved reports matter more than unlimited query flexibility. Chapter 6 states plainly what this design gives up in exchange: a bounded vocabulary, an upfront semantic layer construction cost, and dependence on intent-extraction quality for semantic (though never safety) correctness. Within that scope, this thesis demonstrates that restricting SQL generation to a finite set of validated business patterns is a practical, measurable path to safe, auditable natural-language reporting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[2]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[3]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[4]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[7]  M. Liu and J. Xu, "NLI4DB: A systematic review of natural language interfaces for databases," arXiv:2503.02435, 2025.</w:t>
      </w:r>
    </w:p>
    <w:p>
      <w:pPr>
        <w:spacing w:after="200" w:line="312" w:lineRule="auto"/>
        <w:ind w:left="576" w:hanging="576"/>
      </w:pPr>
      <w:r>
        <w:rPr>
          <w:rFonts w:ascii="Times New Roman" w:hAnsi="Times New Roman"/>
          <w:sz w:val="23"/>
        </w:rPr>
        <w:t>[8]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[9]  OpenAI, "Introducing structured outputs in the API," OpenAI, 2024.</w:t>
      </w:r>
    </w:p>
    <w:p>
      <w:pPr>
        <w:spacing w:after="200" w:line="312" w:lineRule="auto"/>
        <w:ind w:left="576" w:hanging="576"/>
      </w:pPr>
      <w:r>
        <w:rPr>
          <w:rFonts w:ascii="Times New Roman" w:hAnsi="Times New Roman"/>
          <w:sz w:val="23"/>
        </w:rPr>
        <w:t>[10]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[11]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[12]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[13]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[14]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[15]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[16]  T. Yu et al., "Spider: A large-scale human-labeled dataset for complex and cross-domain semantic parsing and text-to-SQL task," in Proc. 2018 Conf. Empirical Methods in Natural Language Processing (EMNLP), 2018, pp. 3911-3921.</w:t>
      </w:r>
    </w:p>
    <w:sectPr w:rsidR="00FC693F" w:rsidRPr="0006063C" w:rsidSect="00034616">
      <w:footerReference w:type="default" r:id="rId10"/>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