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List of Figures</w:t>
        <w:tab/>
        <w:t>vii</w:t>
      </w:r>
    </w:p>
    <w:p>
      <w:pPr>
        <w:spacing w:after="160" w:before="80" w:line="360" w:lineRule="auto"/>
        <w:ind w:left="0"/>
        <w:jc w:val="both"/>
        <w:tabs>
          <w:tab w:val="right" w:leader="dot" w:pos="8640"/>
        </w:tabs>
      </w:pPr>
      <w:r>
        <w:rPr>
          <w:rFonts w:ascii="Times New Roman" w:hAnsi="Times New Roman"/>
          <w:b/>
          <w:sz w:val="24"/>
        </w:rPr>
        <w:t>List of Tables</w:t>
        <w:tab/>
        <w:t>viii</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80" w:before="0" w:line="360" w:lineRule="auto"/>
        <w:ind w:left="432"/>
        <w:jc w:val="both"/>
        <w:tabs>
          <w:tab w:val="right" w:leader="dot" w:pos="8640"/>
        </w:tabs>
      </w:pPr>
      <w:r>
        <w:rPr>
          <w:rFonts w:ascii="Times New Roman" w:hAnsi="Times New Roman"/>
          <w:b w:val="0"/>
          <w:sz w:val="23"/>
        </w:rPr>
        <w:t>1.5 Organization of the Thesis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5</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5</w:t>
      </w:r>
    </w:p>
    <w:p>
      <w:pPr>
        <w:spacing w:after="80" w:before="0" w:line="360" w:lineRule="auto"/>
        <w:ind w:left="432"/>
        <w:jc w:val="both"/>
        <w:tabs>
          <w:tab w:val="right" w:leader="dot" w:pos="8640"/>
        </w:tabs>
      </w:pPr>
      <w:r>
        <w:rPr>
          <w:rFonts w:ascii="Times New Roman" w:hAnsi="Times New Roman"/>
          <w:b w:val="0"/>
          <w:sz w:val="23"/>
        </w:rPr>
        <w:t>2.2 Neural and LLM-Based Text-to-SQL</w:t>
        <w:tab/>
        <w:t>5</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6</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7</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13</w:t>
      </w:r>
    </w:p>
    <w:p>
      <w:pPr>
        <w:spacing w:after="80" w:before="0" w:line="360" w:lineRule="auto"/>
        <w:ind w:left="432"/>
        <w:jc w:val="both"/>
        <w:tabs>
          <w:tab w:val="right" w:leader="dot" w:pos="8640"/>
        </w:tabs>
      </w:pPr>
      <w:r>
        <w:rPr>
          <w:rFonts w:ascii="Times New Roman" w:hAnsi="Times New Roman"/>
          <w:b w:val="0"/>
          <w:sz w:val="23"/>
        </w:rPr>
        <w:t>3.4 Formal Model</w:t>
        <w:tab/>
        <w:t>13</w:t>
      </w:r>
    </w:p>
    <w:p>
      <w:pPr>
        <w:spacing w:after="80" w:before="0" w:line="360" w:lineRule="auto"/>
        <w:ind w:left="432"/>
        <w:jc w:val="both"/>
        <w:tabs>
          <w:tab w:val="right" w:leader="dot" w:pos="8640"/>
        </w:tabs>
      </w:pPr>
      <w:r>
        <w:rPr>
          <w:rFonts w:ascii="Times New Roman" w:hAnsi="Times New Roman"/>
          <w:b w:val="0"/>
          <w:sz w:val="23"/>
        </w:rPr>
        <w:t>3.5 Threat Model</w:t>
        <w:tab/>
        <w:t>14</w:t>
      </w:r>
    </w:p>
    <w:p>
      <w:pPr>
        <w:spacing w:after="80" w:before="0" w:line="360" w:lineRule="auto"/>
        <w:ind w:left="432"/>
        <w:jc w:val="both"/>
        <w:tabs>
          <w:tab w:val="right" w:leader="dot" w:pos="8640"/>
        </w:tabs>
      </w:pPr>
      <w:r>
        <w:rPr>
          <w:rFonts w:ascii="Times New Roman" w:hAnsi="Times New Roman"/>
          <w:b w:val="0"/>
          <w:sz w:val="23"/>
        </w:rPr>
        <w:t>3.6 System Architecture</w:t>
        <w:tab/>
        <w:t>17</w:t>
      </w:r>
    </w:p>
    <w:p>
      <w:pPr>
        <w:spacing w:after="80" w:before="0" w:line="360" w:lineRule="auto"/>
        <w:ind w:left="432"/>
        <w:jc w:val="both"/>
        <w:tabs>
          <w:tab w:val="right" w:leader="dot" w:pos="8640"/>
        </w:tabs>
      </w:pPr>
      <w:r>
        <w:rPr>
          <w:rFonts w:ascii="Times New Roman" w:hAnsi="Times New Roman"/>
          <w:b w:val="0"/>
          <w:sz w:val="23"/>
        </w:rPr>
        <w:t>3.7 Semantic Layer Design</w:t>
        <w:tab/>
        <w:t>18</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19</w:t>
      </w:r>
    </w:p>
    <w:p>
      <w:pPr>
        <w:spacing w:after="80" w:before="0" w:line="360" w:lineRule="auto"/>
        <w:ind w:left="432"/>
        <w:jc w:val="both"/>
        <w:tabs>
          <w:tab w:val="right" w:leader="dot" w:pos="8640"/>
        </w:tabs>
      </w:pPr>
      <w:r>
        <w:rPr>
          <w:rFonts w:ascii="Times New Roman" w:hAnsi="Times New Roman"/>
          <w:b w:val="0"/>
          <w:sz w:val="23"/>
        </w:rPr>
        <w:t>3.9 Safe Query Compiler</w:t>
        <w:tab/>
        <w:t>21</w:t>
      </w:r>
    </w:p>
    <w:p>
      <w:pPr>
        <w:spacing w:after="80" w:before="0" w:line="360" w:lineRule="auto"/>
        <w:ind w:left="432"/>
        <w:jc w:val="both"/>
        <w:tabs>
          <w:tab w:val="right" w:leader="dot" w:pos="8640"/>
        </w:tabs>
      </w:pPr>
      <w:r>
        <w:rPr>
          <w:rFonts w:ascii="Times New Roman" w:hAnsi="Times New Roman"/>
          <w:b w:val="0"/>
          <w:sz w:val="23"/>
        </w:rPr>
        <w:t>3.10 Visualization Selector</w:t>
        <w:tab/>
        <w:t>22</w:t>
      </w:r>
    </w:p>
    <w:p>
      <w:pPr>
        <w:spacing w:after="80" w:before="0" w:line="360" w:lineRule="auto"/>
        <w:ind w:left="432"/>
        <w:jc w:val="both"/>
        <w:tabs>
          <w:tab w:val="right" w:leader="dot" w:pos="8640"/>
        </w:tabs>
      </w:pPr>
      <w:r>
        <w:rPr>
          <w:rFonts w:ascii="Times New Roman" w:hAnsi="Times New Roman"/>
          <w:b w:val="0"/>
          <w:sz w:val="23"/>
        </w:rPr>
        <w:t>3.11 Widget Persistence and Reuse</w:t>
        <w:tab/>
        <w:t>23</w:t>
      </w:r>
    </w:p>
    <w:p>
      <w:pPr>
        <w:spacing w:after="160" w:before="80" w:line="360" w:lineRule="auto"/>
        <w:ind w:left="0"/>
        <w:jc w:val="both"/>
        <w:tabs>
          <w:tab w:val="right" w:leader="dot" w:pos="8640"/>
        </w:tabs>
      </w:pPr>
      <w:r>
        <w:rPr>
          <w:rFonts w:ascii="Times New Roman" w:hAnsi="Times New Roman"/>
          <w:b/>
          <w:sz w:val="24"/>
        </w:rPr>
        <w:t>Chapter 4: Experimental Work</w:t>
        <w:tab/>
        <w:t>24</w:t>
      </w:r>
    </w:p>
    <w:p>
      <w:pPr>
        <w:spacing w:after="80" w:before="0" w:line="360" w:lineRule="auto"/>
        <w:ind w:left="432"/>
        <w:jc w:val="both"/>
        <w:tabs>
          <w:tab w:val="right" w:leader="dot" w:pos="8640"/>
        </w:tabs>
      </w:pPr>
      <w:r>
        <w:rPr>
          <w:rFonts w:ascii="Times New Roman" w:hAnsi="Times New Roman"/>
          <w:b w:val="0"/>
          <w:sz w:val="23"/>
        </w:rPr>
        <w:t>4.1 Implementation</w:t>
        <w:tab/>
        <w:t>24</w:t>
      </w:r>
    </w:p>
    <w:p>
      <w:pPr>
        <w:spacing w:after="80" w:before="0" w:line="360" w:lineRule="auto"/>
        <w:ind w:left="432"/>
        <w:jc w:val="both"/>
        <w:tabs>
          <w:tab w:val="right" w:leader="dot" w:pos="8640"/>
        </w:tabs>
      </w:pPr>
      <w:r>
        <w:rPr>
          <w:rFonts w:ascii="Times New Roman" w:hAnsi="Times New Roman"/>
          <w:b w:val="0"/>
          <w:sz w:val="23"/>
        </w:rPr>
        <w:t>4.2 Experimental Environment</w:t>
        <w:tab/>
        <w:t>24</w:t>
      </w:r>
    </w:p>
    <w:p>
      <w:pPr>
        <w:spacing w:after="80" w:before="0" w:line="360" w:lineRule="auto"/>
        <w:ind w:left="432"/>
        <w:jc w:val="both"/>
        <w:tabs>
          <w:tab w:val="right" w:leader="dot" w:pos="8640"/>
        </w:tabs>
      </w:pPr>
      <w:r>
        <w:rPr>
          <w:rFonts w:ascii="Times New Roman" w:hAnsi="Times New Roman"/>
          <w:b w:val="0"/>
          <w:sz w:val="23"/>
        </w:rPr>
        <w:t>4.3 Benchmark Dataset Construction</w:t>
        <w:tab/>
        <w:t>25</w:t>
      </w:r>
    </w:p>
    <w:p>
      <w:pPr>
        <w:spacing w:after="80" w:before="0" w:line="360" w:lineRule="auto"/>
        <w:ind w:left="432"/>
        <w:jc w:val="both"/>
        <w:tabs>
          <w:tab w:val="right" w:leader="dot" w:pos="8640"/>
        </w:tabs>
      </w:pPr>
      <w:r>
        <w:rPr>
          <w:rFonts w:ascii="Times New Roman" w:hAnsi="Times New Roman"/>
          <w:b w:val="0"/>
          <w:sz w:val="23"/>
        </w:rPr>
        <w:t>4.4 Baseline Systems</w:t>
        <w:tab/>
        <w:t>26</w:t>
      </w:r>
    </w:p>
    <w:p>
      <w:pPr>
        <w:spacing w:after="80" w:before="0" w:line="360" w:lineRule="auto"/>
        <w:ind w:left="432"/>
        <w:jc w:val="both"/>
        <w:tabs>
          <w:tab w:val="right" w:leader="dot" w:pos="8640"/>
        </w:tabs>
      </w:pPr>
      <w:r>
        <w:rPr>
          <w:rFonts w:ascii="Times New Roman" w:hAnsi="Times New Roman"/>
          <w:b w:val="0"/>
          <w:sz w:val="23"/>
        </w:rPr>
        <w:t>4.5 Evaluation Procedure</w:t>
        <w:tab/>
        <w:t>26</w:t>
      </w:r>
    </w:p>
    <w:p>
      <w:pPr>
        <w:spacing w:after="160" w:before="80" w:line="360" w:lineRule="auto"/>
        <w:ind w:left="0"/>
        <w:jc w:val="both"/>
        <w:tabs>
          <w:tab w:val="right" w:leader="dot" w:pos="8640"/>
        </w:tabs>
      </w:pPr>
      <w:r>
        <w:rPr>
          <w:rFonts w:ascii="Times New Roman" w:hAnsi="Times New Roman"/>
          <w:b/>
          <w:sz w:val="24"/>
        </w:rPr>
        <w:t>Chapter 5: Results and Discussion</w:t>
        <w:tab/>
        <w:t>28</w:t>
      </w:r>
    </w:p>
    <w:p>
      <w:pPr>
        <w:spacing w:after="80" w:before="0" w:line="360" w:lineRule="auto"/>
        <w:ind w:left="432"/>
        <w:jc w:val="both"/>
        <w:tabs>
          <w:tab w:val="right" w:leader="dot" w:pos="8640"/>
        </w:tabs>
      </w:pPr>
      <w:r>
        <w:rPr>
          <w:rFonts w:ascii="Times New Roman" w:hAnsi="Times New Roman"/>
          <w:b w:val="0"/>
          <w:sz w:val="23"/>
        </w:rPr>
        <w:t>5.1 Benchmark Run and Verified Metrics</w:t>
        <w:tab/>
        <w:t>28</w:t>
      </w:r>
    </w:p>
    <w:p>
      <w:pPr>
        <w:spacing w:after="80" w:before="0" w:line="360" w:lineRule="auto"/>
        <w:ind w:left="432"/>
        <w:jc w:val="both"/>
        <w:tabs>
          <w:tab w:val="right" w:leader="dot" w:pos="8640"/>
        </w:tabs>
      </w:pPr>
      <w:r>
        <w:rPr>
          <w:rFonts w:ascii="Times New Roman" w:hAnsi="Times New Roman"/>
          <w:b w:val="0"/>
          <w:sz w:val="23"/>
        </w:rPr>
        <w:t>5.2 SQL Safety and True Database Execution Validity</w:t>
        <w:tab/>
        <w:t>29</w:t>
      </w:r>
    </w:p>
    <w:p>
      <w:pPr>
        <w:spacing w:after="80" w:before="0" w:line="360" w:lineRule="auto"/>
        <w:ind w:left="432"/>
        <w:jc w:val="both"/>
        <w:tabs>
          <w:tab w:val="right" w:leader="dot" w:pos="8640"/>
        </w:tabs>
      </w:pPr>
      <w:r>
        <w:rPr>
          <w:rFonts w:ascii="Times New Roman" w:hAnsi="Times New Roman"/>
          <w:b w:val="0"/>
          <w:sz w:val="23"/>
        </w:rPr>
        <w:t>5.3 Execution Failure Analysis</w:t>
        <w:tab/>
        <w:t>30</w:t>
      </w:r>
    </w:p>
    <w:p>
      <w:pPr>
        <w:spacing w:after="80" w:before="0" w:line="360" w:lineRule="auto"/>
        <w:ind w:left="432"/>
        <w:jc w:val="both"/>
        <w:tabs>
          <w:tab w:val="right" w:leader="dot" w:pos="8640"/>
        </w:tabs>
      </w:pPr>
      <w:r>
        <w:rPr>
          <w:rFonts w:ascii="Times New Roman" w:hAnsi="Times New Roman"/>
          <w:b w:val="0"/>
          <w:sz w:val="23"/>
        </w:rPr>
        <w:t>5.4 Semantic Correctness and Accuracy</w:t>
        <w:tab/>
        <w:t>31</w:t>
      </w:r>
    </w:p>
    <w:p>
      <w:pPr>
        <w:spacing w:after="80" w:before="0" w:line="360" w:lineRule="auto"/>
        <w:ind w:left="432"/>
        <w:jc w:val="both"/>
        <w:tabs>
          <w:tab w:val="right" w:leader="dot" w:pos="8640"/>
        </w:tabs>
      </w:pPr>
      <w:r>
        <w:rPr>
          <w:rFonts w:ascii="Times New Roman" w:hAnsi="Times New Roman"/>
          <w:b w:val="0"/>
          <w:sz w:val="23"/>
        </w:rPr>
        <w:t>5.5 B3 Template-Only Baseline</w:t>
        <w:tab/>
        <w:t>32</w:t>
      </w:r>
    </w:p>
    <w:p>
      <w:pPr>
        <w:spacing w:after="80" w:before="0" w:line="360" w:lineRule="auto"/>
        <w:ind w:left="432"/>
        <w:jc w:val="both"/>
        <w:tabs>
          <w:tab w:val="right" w:leader="dot" w:pos="8640"/>
        </w:tabs>
      </w:pPr>
      <w:r>
        <w:rPr>
          <w:rFonts w:ascii="Times New Roman" w:hAnsi="Times New Roman"/>
          <w:b w:val="0"/>
          <w:sz w:val="23"/>
        </w:rPr>
        <w:t>5.6 Discussion</w:t>
        <w:tab/>
        <w:t>32</w:t>
      </w:r>
    </w:p>
    <w:p>
      <w:pPr>
        <w:spacing w:after="160" w:before="80" w:line="360" w:lineRule="auto"/>
        <w:ind w:left="0"/>
        <w:jc w:val="both"/>
        <w:tabs>
          <w:tab w:val="right" w:leader="dot" w:pos="8640"/>
        </w:tabs>
      </w:pPr>
      <w:r>
        <w:rPr>
          <w:rFonts w:ascii="Times New Roman" w:hAnsi="Times New Roman"/>
          <w:b/>
          <w:sz w:val="24"/>
        </w:rPr>
        <w:t>Chapter 6: Limitations and Future Work</w:t>
        <w:tab/>
        <w:t>34</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39</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Pattern classification of the answerable analytical benchmark subset</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Verified safety and execution-validity comparison</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Verified benchmark status</w:t>
      </w:r>
    </w:p>
    <w:p>
      <w:pPr>
        <w:spacing w:after="160" w:before="0" w:line="360" w:lineRule="auto"/>
        <w:jc w:val="both"/>
      </w:pPr>
      <w:r>
        <w:rPr>
          <w:rFonts w:ascii="Times New Roman" w:hAnsi="Times New Roman"/>
          <w:b w:val="0"/>
          <w:i w:val="0"/>
          <w:sz w:val="24"/>
        </w:rPr>
        <w:t>Table 6: SQL safety and true execution validity on the 107-query benchmark</w:t>
      </w:r>
    </w:p>
    <w:p>
      <w:pPr>
        <w:spacing w:after="160" w:before="0" w:line="360" w:lineRule="auto"/>
        <w:jc w:val="both"/>
      </w:pPr>
      <w:r>
        <w:rPr>
          <w:rFonts w:ascii="Times New Roman" w:hAnsi="Times New Roman"/>
          <w:b w:val="0"/>
          <w:i w:val="0"/>
          <w:sz w:val="24"/>
        </w:rPr>
        <w:t>Table 7: AEGIS true-execution failures diagnosed from MySQL execution</w:t>
      </w:r>
    </w:p>
    <w:p>
      <w:pPr>
        <w:spacing w:after="160" w:before="0" w:line="360" w:lineRule="auto"/>
        <w:jc w:val="both"/>
      </w:pPr>
      <w:r>
        <w:rPr>
          <w:rFonts w:ascii="Times New Roman" w:hAnsi="Times New Roman"/>
          <w:b w:val="0"/>
          <w:i w:val="0"/>
          <w:sz w:val="24"/>
        </w:rPr>
        <w:t>Table 8: Distinguishing the evaluation metrics</w:t>
      </w:r>
    </w:p>
    <w:p>
      <w:pPr>
        <w:spacing w:after="160" w:before="0" w:line="360" w:lineRule="auto"/>
        <w:jc w:val="both"/>
      </w:pPr>
      <w:r>
        <w:rPr>
          <w:rFonts w:ascii="Times New Roman" w:hAnsi="Times New Roman"/>
          <w:b w:val="0"/>
          <w:i w:val="0"/>
          <w:sz w:val="24"/>
        </w:rPr>
        <w:t>Table 9: B3 execution-validity summary</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â€œwhich categories have the highest refund rates this month?â€ and get a correct, visual answer without writing SQL. Researchers have made good progress here. Neural text-to-SQL systems now exceed 90% accuracy on the Spider benchmark [1], and large language models can produce reasonable-looking SQL with minimal setup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institutional access-control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(â€œrefund rateâ€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observation that reporting requests are often recurring rather than one-off.</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checked against the published benchmark questions.</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moves from related work and research gaps to methodology, experimental setup, evaluation, limitations, future work, and conclusion. The structure first establishes the prior research context, then explains the AEGIS design and implementation, then reports the verified benchmark results and discusses their implications.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sources most directly comparable to AEGIS, grouped by theme: natural language interfaces to databases, neural and LLM-based text-to-SQL, natural language for visualization and dashboards, and applied conversational business intelligence. Closely related sources are discussed together rather than one at a time where they make the same architectural point. Sources only loosely adjacent to AEGIS's technical contribution (general business-adoption surveys, dashboard policy literature, evaluation-methodology papers unrelated to safety) are outside this review's scope.</w:t>
      </w:r>
    </w:p>
    <w:p>
      <w:pPr>
        <w:spacing w:before="320" w:after="160"/>
        <w:jc w:val="left"/>
      </w:pPr>
      <w:r>
        <w:rPr>
          <w:rFonts w:ascii="Times New Roman" w:hAnsi="Times New Roman"/>
          <w:b/>
          <w:sz w:val="28"/>
        </w:rPr>
        <w:t>2.1  Natural Language Interfaces to Databases</w:t>
      </w:r>
    </w:p>
    <w:p>
      <w:pPr>
        <w:spacing w:after="160" w:before="0" w:line="360" w:lineRule="auto"/>
        <w:jc w:val="both"/>
      </w:pPr>
      <w:r>
        <w:rPr>
          <w:rFonts w:ascii="Times New Roman" w:hAnsi="Times New Roman"/>
          <w:b w:val="0"/>
          <w:i w:val="0"/>
          <w:sz w:val="24"/>
        </w:rPr>
        <w:t>Two systematic surveys frame this literature [3]. The earlier survey benchmarks 24 NLIDBs against ten questions of increasing complexity across four architectural classes (keyword, pattern, parsing, grammar-based); grammar-based systems achieve the broadest coverage but require users to learn a constrained vocabulary [4]. The more recent review is the only one to name SQL-injection risk directly, discussing TrojanSQL, a backdoor injection attack the authors report is difficult to defend against, yet its only recommended mitigation is generic (additional layers of security or filtering), with no architectural defense proposed. Neither survey finds a system that treats safety as a structural property.</w:t>
      </w:r>
    </w:p>
    <w:p>
      <w:pPr>
        <w:spacing w:after="0" w:before="0" w:line="360" w:lineRule="auto"/>
        <w:jc w:val="both"/>
      </w:pPr>
      <w:r>
        <w:rPr>
          <w:rFonts w:ascii="Times New Roman" w:hAnsi="Times New Roman"/>
          <w:b w:val="0"/>
          <w:i w:val="0"/>
          <w:sz w:val="24"/>
        </w:rPr>
        <w:t>NaLIR and Veezoo are the closest prior systems to AEGIS's use of a curated vocabulary [5, 6]. The first parses a query into a grammar-constrained intermediate query tree and surfaces ambiguity to the user through a short multiple-choice interaction rather than guessing, correctly completing 88 of 98 tasks versus 56 of 98 without this step. The second constrains matching with an editable Knowledge Graph structurally analogous to a semantic layer, needing a median of two clarification attempts to reach a correct answer in a controlled study. Both, however, still compile into open-ended SQL and depend on user-facing dialogue to recover from a wrong query rather than preventing an unsafe one up front, and both produce one-off answers with no persistence.</w:t>
      </w:r>
    </w:p>
    <w:p>
      <w:pPr>
        <w:spacing w:before="320" w:after="160"/>
        <w:jc w:val="left"/>
      </w:pPr>
      <w:r>
        <w:rPr>
          <w:rFonts w:ascii="Times New Roman" w:hAnsi="Times New Roman"/>
          <w:b/>
          <w:sz w:val="28"/>
        </w:rPr>
        <w:t>2.2  Neural and LLM-Based Text-to-SQL</w:t>
      </w:r>
    </w:p>
    <w:p>
      <w:pPr>
        <w:spacing w:after="160" w:before="0" w:line="360" w:lineRule="auto"/>
        <w:jc w:val="both"/>
      </w:pPr>
      <w:r>
        <w:rPr>
          <w:rFonts w:ascii="Times New Roman" w:hAnsi="Times New Roman"/>
          <w:b w:val="0"/>
          <w:i w:val="0"/>
          <w:sz w:val="24"/>
        </w:rPr>
        <w:t>Spider and BIRD provide the clearest evidence that free-form generation is unreliable at scale [1, 2]. The first benchmark's strict cross-domain train/test split found the best contemporary baseline reached only 12.4% exact-match accuracy on unseen schemas. The second went further, testing 95 real, large databases with expert-annotated domain knowledge: even GPT-4 combined with DIN-SQL prompting reached only 55.9% execution accuracy against a 92.96% human-expert ceiling, with wrong schema linking (41.6%) and misunderstood database values (40.8%) as the dominant failure modes.</w:t>
      </w:r>
    </w:p>
    <w:p>
      <w:pPr>
        <w:spacing w:after="160" w:before="0" w:line="360" w:lineRule="auto"/>
        <w:jc w:val="both"/>
      </w:pPr>
      <w:r>
        <w:rPr>
          <w:rFonts w:ascii="Times New Roman" w:hAnsi="Times New Roman"/>
          <w:b w:val="0"/>
          <w:i w:val="0"/>
          <w:sz w:val="24"/>
        </w:rPr>
        <w:t>RAT-SQL and PICARD each constrain the same underlying generation approach without changing who authors the SQL [7, 8]. The former encodes the schema as a relational graph via relation-aware self-attention, reaching 57.2% exact-match on Spider, yet oracle analysis attributes 72-81% of its remaining errors to wrong column or table selection. The latter instead constrains decoding at the token level, cutting invalid SQL on Spider from roughly 12% to 2% â€” but the LLM still writes every character of the SQL string, so a semantic bug invisible to the grammar check (a wrong join, or wrong business definition) can still pass through as syntactically valid SQL.</w:t>
      </w:r>
    </w:p>
    <w:p>
      <w:pPr>
        <w:spacing w:after="0" w:before="0" w:line="360" w:lineRule="auto"/>
        <w:jc w:val="both"/>
      </w:pPr>
      <w:r>
        <w:rPr>
          <w:rFonts w:ascii="Times New Roman" w:hAnsi="Times New Roman"/>
          <w:b w:val="0"/>
          <w:i w:val="0"/>
          <w:sz w:val="24"/>
        </w:rPr>
        <w:t>G-SQL and TriSQL sit at opposite ends of the same spectrum and are the two closest points of comparison for AEGIS [9, 10]. G-SQL is rule-based and template-driven over a curated schema representation, deliberately avoiding a neural component that writes SQL directly; it reaches 100% execution accuracy on easy queries but falls to 45-55% on extra-hard ones. TriSQL is, at the time of writing, the state of the art: a three-stage LLM pipeline (schema selection, skeleton-first generation, complexity-aware refinement) reaching 82.2% execution accuracy on Spider. It is the sharpest possible contrast to AEGIS, precisely because it is state of the art and still has the LLM produce the final executable SQL directly, with no semantic layer and no reported safety evaluation.</w:t>
      </w:r>
    </w:p>
    <w:p>
      <w:pPr>
        <w:spacing w:before="320" w:after="160"/>
        <w:jc w:val="left"/>
      </w:pPr>
      <w:r>
        <w:rPr>
          <w:rFonts w:ascii="Times New Roman" w:hAnsi="Times New Roman"/>
          <w:b/>
          <w:sz w:val="28"/>
        </w:rPr>
        <w:t>2.3  Natural Language for Visualization and Dashboards</w:t>
      </w:r>
    </w:p>
    <w:p>
      <w:pPr>
        <w:spacing w:after="160" w:before="0" w:line="360" w:lineRule="auto"/>
        <w:jc w:val="both"/>
      </w:pPr>
      <w:r>
        <w:rPr>
          <w:rFonts w:ascii="Times New Roman" w:hAnsi="Times New Roman"/>
          <w:b w:val="0"/>
          <w:i w:val="0"/>
          <w:sz w:val="24"/>
        </w:rPr>
        <w:t>nl4dv and DataTone are the closest visualization-side precedents [11, 12]. The first maps natural language to a small, fixed set of five analytic tasks via a rule-based mapping table, closely analogous to AEGIS's bounded-vocabulary design, but has no SQL-safety or permission layer at all since it operates only on an in-memory dataset, and produces a one-off specification with no persistence. The second instead surfaces ambiguity through interactive widgets rather than resolving it silently, significantly outperforming IBM Watson Analytics in a comparative study (5.43 vs. 2.00 correct facts, p &lt; 0.01), but is limited to single-table data with no persistence mechanism.</w:t>
      </w:r>
    </w:p>
    <w:p>
      <w:pPr>
        <w:spacing w:after="0" w:before="0" w:line="360" w:lineRule="auto"/>
        <w:jc w:val="both"/>
      </w:pPr>
      <w:r>
        <w:rPr>
          <w:rFonts w:ascii="Times New Roman" w:hAnsi="Times New Roman"/>
          <w:b w:val="0"/>
          <w:i w:val="0"/>
          <w:sz w:val="24"/>
        </w:rPr>
        <w:t>DashBot composes multi-chart dashboards with deep reinforcement learning guided by design rules drawn from a study of 90 real dashboards [13]. It has no natural-language input at all, and because it never generates SQL from user language, it never encounters the safety problem AEGIS is built to solve.</w:t>
      </w:r>
    </w:p>
    <w:p>
      <w:pPr>
        <w:spacing w:before="320" w:after="160"/>
        <w:jc w:val="left"/>
      </w:pPr>
      <w:r>
        <w:rPr>
          <w:rFonts w:ascii="Times New Roman" w:hAnsi="Times New Roman"/>
          <w:b/>
          <w:sz w:val="28"/>
        </w:rPr>
        <w:t>2.4  Applied Conversational Business Intelligence</w:t>
      </w:r>
    </w:p>
    <w:p>
      <w:pPr>
        <w:spacing w:after="0" w:before="0" w:line="360" w:lineRule="auto"/>
        <w:jc w:val="both"/>
      </w:pPr>
      <w:r>
        <w:rPr>
          <w:rFonts w:ascii="Times New Roman" w:hAnsi="Times New Roman"/>
          <w:b w:val="0"/>
          <w:i w:val="0"/>
          <w:sz w:val="24"/>
        </w:rPr>
        <w:t>Two recent applied studies bookend AEGIS's design choice [14]. One describes a deployed Groq/LangChain assistant that gives an LLM direct SQL-execution tools and a self-correction retry loop â€” a live, working example of exactly the attack surface AEGIS's threat model is designed to close, with no reported adversarial evaluation [15]. The other, by contrast, independently arrives at AEGIS's central design principle in an unrelated domain: a deterministic, non-AI formalism computes a business explanation, and an LLM is used only to narrate the already-correct result. A pre-study in the same thesis found that ten commercial AI-BI products could all answer simple descriptive queries but none could correctly answer explanatory ones without manual reconfiguration â€” direct evidence that unconstrained LLM reasoning fails at exactly the class of task AEGIS targets.</w:t>
      </w:r>
    </w:p>
    <w:p>
      <w:pPr>
        <w:spacing w:before="320" w:after="160"/>
        <w:jc w:val="left"/>
      </w:pPr>
      <w:r>
        <w:rPr>
          <w:rFonts w:ascii="Times New Roman" w:hAnsi="Times New Roman"/>
          <w:b/>
          <w:sz w:val="28"/>
        </w:rPr>
        <w:t>2.5  Comparative Summary</w:t>
      </w:r>
    </w:p>
    <w:p>
      <w:pPr>
        <w:spacing w:before="200" w:after="80"/>
        <w:jc w:val="center"/>
      </w:pPr>
      <w:r>
        <w:rPr>
          <w:rFonts w:ascii="Times New Roman" w:hAnsi="Times New Roman"/>
          <w:b/>
          <w:sz w:val="22"/>
        </w:rPr>
        <w:t>Table 4: Comparative summary of the most closely related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28"/>
        <w:gridCol w:w="1128"/>
        <w:gridCol w:w="1128"/>
        <w:gridCol w:w="1128"/>
        <w:gridCol w:w="1128"/>
        <w:gridCol w:w="1128"/>
        <w:gridCol w:w="1128"/>
        <w:gridCol w:w="1128"/>
      </w:tblGrid>
      <w:tr>
        <w:tc>
          <w:tcPr>
            <w:tcW w:type="dxa" w:w="1128"/>
          </w:tcPr>
          <w:p>
            <w:pPr>
              <w:jc w:val="center"/>
            </w:pPr>
            <w:r>
              <w:rPr>
                <w:rFonts w:ascii="Times New Roman" w:hAnsi="Times New Roman"/>
                <w:b/>
                <w:sz w:val="21"/>
              </w:rPr>
            </w:r>
            <w:r>
              <w:rPr>
                <w:rFonts w:ascii="Times New Roman" w:hAnsi="Times New Roman"/>
                <w:b/>
                <w:sz w:val="21"/>
              </w:rPr>
              <w:t>System</w:t>
            </w:r>
          </w:p>
        </w:tc>
        <w:tc>
          <w:tcPr>
            <w:tcW w:type="dxa" w:w="1128"/>
          </w:tcPr>
          <w:p>
            <w:pPr>
              <w:jc w:val="center"/>
            </w:pPr>
            <w:r>
              <w:rPr>
                <w:rFonts w:ascii="Times New Roman" w:hAnsi="Times New Roman"/>
                <w:b/>
                <w:sz w:val="21"/>
              </w:rPr>
            </w:r>
            <w:r>
              <w:rPr>
                <w:rFonts w:ascii="Times New Roman" w:hAnsi="Times New Roman"/>
                <w:b/>
                <w:sz w:val="21"/>
              </w:rPr>
              <w:t>NL Parsing</w:t>
            </w:r>
          </w:p>
        </w:tc>
        <w:tc>
          <w:tcPr>
            <w:tcW w:type="dxa" w:w="1128"/>
          </w:tcPr>
          <w:p>
            <w:pPr>
              <w:jc w:val="center"/>
            </w:pPr>
            <w:r>
              <w:rPr>
                <w:rFonts w:ascii="Times New Roman" w:hAnsi="Times New Roman"/>
                <w:b/>
                <w:sz w:val="21"/>
              </w:rPr>
            </w:r>
            <w:r>
              <w:rPr>
                <w:rFonts w:ascii="Times New Roman" w:hAnsi="Times New Roman"/>
                <w:b/>
                <w:sz w:val="21"/>
              </w:rPr>
              <w:t>Semantic Layer</w:t>
            </w:r>
          </w:p>
        </w:tc>
        <w:tc>
          <w:tcPr>
            <w:tcW w:type="dxa" w:w="1128"/>
          </w:tcPr>
          <w:p>
            <w:pPr>
              <w:jc w:val="center"/>
            </w:pPr>
            <w:r>
              <w:rPr>
                <w:rFonts w:ascii="Times New Roman" w:hAnsi="Times New Roman"/>
                <w:b/>
                <w:sz w:val="21"/>
              </w:rPr>
            </w:r>
            <w:r>
              <w:rPr>
                <w:rFonts w:ascii="Times New Roman" w:hAnsi="Times New Roman"/>
                <w:b/>
                <w:sz w:val="21"/>
              </w:rPr>
              <w:t>Safe SQL</w:t>
            </w:r>
          </w:p>
        </w:tc>
        <w:tc>
          <w:tcPr>
            <w:tcW w:type="dxa" w:w="1128"/>
          </w:tcPr>
          <w:p>
            <w:pPr>
              <w:jc w:val="center"/>
            </w:pPr>
            <w:r>
              <w:rPr>
                <w:rFonts w:ascii="Times New Roman" w:hAnsi="Times New Roman"/>
                <w:b/>
                <w:sz w:val="21"/>
              </w:rPr>
            </w:r>
            <w:r>
              <w:rPr>
                <w:rFonts w:ascii="Times New Roman" w:hAnsi="Times New Roman"/>
                <w:b/>
                <w:sz w:val="21"/>
              </w:rPr>
              <w:t>Visualization</w:t>
            </w:r>
          </w:p>
        </w:tc>
        <w:tc>
          <w:tcPr>
            <w:tcW w:type="dxa" w:w="1128"/>
          </w:tcPr>
          <w:p>
            <w:pPr>
              <w:jc w:val="center"/>
            </w:pPr>
            <w:r>
              <w:rPr>
                <w:rFonts w:ascii="Times New Roman" w:hAnsi="Times New Roman"/>
                <w:b/>
                <w:sz w:val="21"/>
              </w:rPr>
            </w:r>
            <w:r>
              <w:rPr>
                <w:rFonts w:ascii="Times New Roman" w:hAnsi="Times New Roman"/>
                <w:b/>
                <w:sz w:val="21"/>
              </w:rPr>
              <w:t>Widget Persistence</w:t>
            </w:r>
          </w:p>
        </w:tc>
        <w:tc>
          <w:tcPr>
            <w:tcW w:type="dxa" w:w="1128"/>
          </w:tcPr>
          <w:p>
            <w:pPr>
              <w:jc w:val="center"/>
            </w:pPr>
            <w:r>
              <w:rPr>
                <w:rFonts w:ascii="Times New Roman" w:hAnsi="Times New Roman"/>
                <w:b/>
                <w:sz w:val="21"/>
              </w:rPr>
            </w:r>
            <w:r>
              <w:rPr>
                <w:rFonts w:ascii="Times New Roman" w:hAnsi="Times New Roman"/>
                <w:b/>
                <w:sz w:val="21"/>
              </w:rPr>
              <w:t>Coverage Validation</w:t>
            </w:r>
          </w:p>
        </w:tc>
        <w:tc>
          <w:tcPr>
            <w:tcW w:type="dxa" w:w="1128"/>
          </w:tcPr>
          <w:p>
            <w:pPr>
              <w:jc w:val="center"/>
            </w:pPr>
            <w:r>
              <w:rPr>
                <w:rFonts w:ascii="Times New Roman" w:hAnsi="Times New Roman"/>
                <w:b/>
                <w:sz w:val="21"/>
              </w:rPr>
            </w:r>
            <w:r>
              <w:rPr>
                <w:rFonts w:ascii="Times New Roman" w:hAnsi="Times New Roman"/>
                <w:b/>
                <w:sz w:val="21"/>
              </w:rPr>
              <w:t>Evaluation</w:t>
            </w:r>
          </w:p>
        </w:tc>
      </w:tr>
      <w:tr>
        <w:tc>
          <w:tcPr>
            <w:tcW w:type="dxa" w:w="1128"/>
          </w:tcPr>
          <w:p>
            <w:r>
              <w:rPr>
                <w:rFonts w:ascii="Times New Roman" w:hAnsi="Times New Roman"/>
                <w:sz w:val="21"/>
              </w:rPr>
            </w:r>
            <w:r>
              <w:rPr>
                <w:rFonts w:ascii="Times New Roman" w:hAnsi="Times New Roman"/>
                <w:b w:val="0"/>
                <w:sz w:val="21"/>
              </w:rPr>
              <w:t>Spider / BIRD</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Benchmark only</w:t>
            </w:r>
          </w:p>
        </w:tc>
      </w:tr>
      <w:tr>
        <w:tc>
          <w:tcPr>
            <w:tcW w:type="dxa" w:w="1128"/>
          </w:tcPr>
          <w:p>
            <w:r>
              <w:rPr>
                <w:rFonts w:ascii="Times New Roman" w:hAnsi="Times New Roman"/>
                <w:sz w:val="21"/>
              </w:rPr>
            </w:r>
            <w:r>
              <w:rPr>
                <w:rFonts w:ascii="Times New Roman" w:hAnsi="Times New Roman"/>
                <w:b w:val="0"/>
                <w:sz w:val="21"/>
              </w:rPr>
              <w:t>RAT-SQL / PICARD</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Benchmark only</w:t>
            </w:r>
          </w:p>
        </w:tc>
      </w:tr>
      <w:tr>
        <w:tc>
          <w:tcPr>
            <w:tcW w:type="dxa" w:w="1128"/>
          </w:tcPr>
          <w:p>
            <w:r>
              <w:rPr>
                <w:rFonts w:ascii="Times New Roman" w:hAnsi="Times New Roman"/>
                <w:sz w:val="21"/>
              </w:rPr>
            </w:r>
            <w:r>
              <w:rPr>
                <w:rFonts w:ascii="Times New Roman" w:hAnsi="Times New Roman"/>
                <w:b w:val="0"/>
                <w:sz w:val="21"/>
              </w:rPr>
              <w:t>G-SQL / TriSQL</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Benchmark only</w:t>
            </w:r>
          </w:p>
        </w:tc>
      </w:tr>
      <w:tr>
        <w:tc>
          <w:tcPr>
            <w:tcW w:type="dxa" w:w="1128"/>
          </w:tcPr>
          <w:p>
            <w:r>
              <w:rPr>
                <w:rFonts w:ascii="Times New Roman" w:hAnsi="Times New Roman"/>
                <w:sz w:val="21"/>
              </w:rPr>
            </w:r>
            <w:r>
              <w:rPr>
                <w:rFonts w:ascii="Times New Roman" w:hAnsi="Times New Roman"/>
                <w:b w:val="0"/>
                <w:sz w:val="21"/>
              </w:rPr>
              <w:t>NaLIR</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User study</w:t>
            </w:r>
          </w:p>
        </w:tc>
      </w:tr>
      <w:tr>
        <w:tc>
          <w:tcPr>
            <w:tcW w:type="dxa" w:w="1128"/>
          </w:tcPr>
          <w:p>
            <w:r>
              <w:rPr>
                <w:rFonts w:ascii="Times New Roman" w:hAnsi="Times New Roman"/>
                <w:sz w:val="21"/>
              </w:rPr>
            </w:r>
            <w:r>
              <w:rPr>
                <w:rFonts w:ascii="Times New Roman" w:hAnsi="Times New Roman"/>
                <w:b w:val="0"/>
                <w:sz w:val="21"/>
              </w:rPr>
              <w:t>Veezoo (Lehmann et al.)</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User study</w:t>
            </w:r>
          </w:p>
        </w:tc>
      </w:tr>
      <w:tr>
        <w:tc>
          <w:tcPr>
            <w:tcW w:type="dxa" w:w="1128"/>
          </w:tcPr>
          <w:p>
            <w:r>
              <w:rPr>
                <w:rFonts w:ascii="Times New Roman" w:hAnsi="Times New Roman"/>
                <w:sz w:val="21"/>
              </w:rPr>
            </w:r>
            <w:r>
              <w:rPr>
                <w:rFonts w:ascii="Times New Roman" w:hAnsi="Times New Roman"/>
                <w:b w:val="0"/>
                <w:sz w:val="21"/>
              </w:rPr>
              <w:t>nl4dv / DataTone</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In-memory / user study</w:t>
            </w:r>
          </w:p>
        </w:tc>
      </w:tr>
      <w:tr>
        <w:tc>
          <w:tcPr>
            <w:tcW w:type="dxa" w:w="1128"/>
          </w:tcPr>
          <w:p>
            <w:r>
              <w:rPr>
                <w:rFonts w:ascii="Times New Roman" w:hAnsi="Times New Roman"/>
                <w:sz w:val="21"/>
              </w:rPr>
            </w:r>
            <w:r>
              <w:rPr>
                <w:rFonts w:ascii="Times New Roman" w:hAnsi="Times New Roman"/>
                <w:b w:val="0"/>
                <w:sz w:val="21"/>
              </w:rPr>
              <w:t>DashBot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Synthetic study</w:t>
            </w:r>
          </w:p>
        </w:tc>
      </w:tr>
      <w:tr>
        <w:tc>
          <w:tcPr>
            <w:tcW w:type="dxa" w:w="1128"/>
          </w:tcPr>
          <w:p>
            <w:r>
              <w:rPr>
                <w:rFonts w:ascii="Times New Roman" w:hAnsi="Times New Roman"/>
                <w:sz w:val="21"/>
              </w:rPr>
            </w:r>
            <w:r>
              <w:rPr>
                <w:rFonts w:ascii="Times New Roman" w:hAnsi="Times New Roman"/>
                <w:b w:val="0"/>
                <w:sz w:val="21"/>
              </w:rPr>
              <w:t>Conversational BI Assistant</w:t>
              <w:br/>
              <w:t>(Shailesh et al.)</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Prototype demo</w:t>
            </w:r>
          </w:p>
        </w:tc>
      </w:tr>
      <w:tr>
        <w:tc>
          <w:tcPr>
            <w:tcW w:type="dxa" w:w="1128"/>
          </w:tcPr>
          <w:p>
            <w:r>
              <w:rPr>
                <w:rFonts w:ascii="Times New Roman" w:hAnsi="Times New Roman"/>
                <w:sz w:val="21"/>
              </w:rPr>
            </w:r>
            <w:r>
              <w:rPr>
                <w:rFonts w:ascii="Times New Roman" w:hAnsi="Times New Roman"/>
                <w:b w:val="0"/>
                <w:sz w:val="21"/>
              </w:rPr>
              <w:t>AEGIS (this thesis)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2.6  Research Gap Analysis</w:t>
      </w:r>
    </w:p>
    <w:p>
      <w:pPr>
        <w:spacing w:after="200" w:before="0" w:line="360" w:lineRule="auto"/>
        <w:jc w:val="both"/>
      </w:pPr>
      <w:r>
        <w:rPr>
          <w:rFonts w:ascii="Times New Roman" w:hAnsi="Times New Roman"/>
          <w:b w:val="0"/>
          <w:i w:val="0"/>
          <w:sz w:val="24"/>
        </w:rPr>
        <w:t>Two gaps recur across every source reviewed above, including the state of the art. First, no system treats SQL-generation safety as a structural property rather than an accuracy metric: Spider, BIRD, RAT-SQL, PICARD, G-SQL, and TriSQL are all evaluated purely on exact-match or execution accuracy, and Shailesh et al.'s deployed assistant reports no adversarial evaluation at all despite giving an LLM direct database access. AEGIS closes this gap by removing SQL generation from the LLM's output space entirely and evaluating an explicit unsafe-SQL rate against a direct LLM-to-SQL baseline, rather than relying on accuracy as a proxy for safety.</w:t>
      </w:r>
    </w:p>
    <w:p>
      <w:pPr>
        <w:spacing w:after="0" w:before="0" w:line="360" w:lineRule="auto"/>
        <w:jc w:val="both"/>
      </w:pPr>
      <w:r>
        <w:rPr>
          <w:rFonts w:ascii="Times New Roman" w:hAnsi="Times New Roman"/>
          <w:b w:val="0"/>
          <w:i w:val="0"/>
          <w:sz w:val="24"/>
        </w:rPr>
        <w:t>Second, no system combines a governed semantic vocabulary with persistent, refreshable output: NaLIR and Veezoo produce one-off answers, nl4dv and DataTone produce one-off visualizations, and DashBot has no natural-language input at all. AEGIS's widget engine closes this gap, motivated by the design-time observation that real reporting requests are often recurring rather than one-off . Valkenburgh's independent arrival at AEGIS's â€œlet a deterministic layer compute the answerâ€ principle, in an unrelated domain, is the strongest external corroboration that this design decision reflects a pattern discovered wherever LLM reliability is treated as an engineering constraint rather than an accuracy target.</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a formative study that analyzes real reporting behavior rather than assuming a problem exists. Design rigor is established through the formal model and threat model, which state precisely what safety property the architecture guarantees and under what boundary that guarantee holds. Evaluation uses a benchmark dataset constructed for this domain and true database execution checks that separate SQL safety from execution validity and semantic correctness.</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expanded the evaluation harness used for the thesis benchmark.</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(formative study) below reports a pattern classification of the answerable analytical portion of the published benchmark (evaluation_dataset/questions.json): every one of those benchmark questions was individually classified into one of the eleven patterns by the author. This classification is itself a single-annotator judgment, not independently cross-checked by a second annotator, so it should not be read as a validated inter-rater statistic; unlike the withdrawn figures, however, it is reproducible and independently checkable, since the classification of each question is published alongside the questions themselves in evaluation_dataset/pattern_classification.json.</w:t>
      </w:r>
    </w:p>
    <w:p>
      <w:pPr>
        <w:spacing w:before="200" w:after="80"/>
        <w:jc w:val="center"/>
      </w:pPr>
      <w:r>
        <w:rPr>
          <w:rFonts w:ascii="Times New Roman" w:hAnsi="Times New Roman"/>
          <w:b/>
          <w:sz w:val="22"/>
        </w:rPr>
        <w:t>Table (formative study): Pattern classification of the answerable analytical benchmark subset, sorted by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c>
          <w:tcPr>
            <w:tcW w:type="dxa" w:w="2256"/>
          </w:tcPr>
          <w:p>
            <w:pPr>
              <w:jc w:val="center"/>
            </w:pPr>
            <w:r>
              <w:rPr>
                <w:rFonts w:ascii="Times New Roman" w:hAnsi="Times New Roman"/>
                <w:b/>
                <w:sz w:val="21"/>
              </w:rPr>
            </w:r>
            <w:r>
              <w:rPr>
                <w:rFonts w:ascii="Times New Roman" w:hAnsi="Times New Roman"/>
                <w:b/>
                <w:sz w:val="21"/>
              </w:rPr>
              <w:t>Pattern</w:t>
            </w:r>
          </w:p>
        </w:tc>
        <w:tc>
          <w:tcPr>
            <w:tcW w:type="dxa" w:w="2256"/>
          </w:tcPr>
          <w:p>
            <w:pPr>
              <w:jc w:val="center"/>
            </w:pPr>
            <w:r>
              <w:rPr>
                <w:rFonts w:ascii="Times New Roman" w:hAnsi="Times New Roman"/>
                <w:b/>
                <w:sz w:val="21"/>
              </w:rPr>
            </w:r>
            <w:r>
              <w:rPr>
                <w:rFonts w:ascii="Times New Roman" w:hAnsi="Times New Roman"/>
                <w:b/>
                <w:sz w:val="21"/>
              </w:rPr>
              <w:t>Count (of 100)</w:t>
            </w:r>
          </w:p>
        </w:tc>
        <w:tc>
          <w:tcPr>
            <w:tcW w:type="dxa" w:w="2256"/>
          </w:tcPr>
          <w:p>
            <w:pPr>
              <w:jc w:val="center"/>
            </w:pPr>
            <w:r>
              <w:rPr>
                <w:rFonts w:ascii="Times New Roman" w:hAnsi="Times New Roman"/>
                <w:b/>
                <w:sz w:val="21"/>
              </w:rPr>
            </w:r>
            <w:r>
              <w:rPr>
                <w:rFonts w:ascii="Times New Roman" w:hAnsi="Times New Roman"/>
                <w:b/>
                <w:sz w:val="21"/>
              </w:rPr>
              <w:t>Share</w:t>
            </w:r>
          </w:p>
        </w:tc>
        <w:tc>
          <w:tcPr>
            <w:tcW w:type="dxa" w:w="2256"/>
          </w:tcPr>
          <w:p>
            <w:pPr>
              <w:jc w:val="center"/>
            </w:pPr>
            <w:r>
              <w:rPr>
                <w:rFonts w:ascii="Times New Roman" w:hAnsi="Times New Roman"/>
                <w:b/>
                <w:sz w:val="21"/>
              </w:rPr>
            </w:r>
            <w:r>
              <w:rPr>
                <w:rFonts w:ascii="Times New Roman" w:hAnsi="Times New Roman"/>
                <w:b/>
                <w:sz w:val="21"/>
              </w:rPr>
              <w:t>Example</w:t>
            </w:r>
          </w:p>
        </w:tc>
      </w:tr>
      <w:tr>
        <w:tc>
          <w:tcPr>
            <w:tcW w:type="dxa" w:w="2256"/>
          </w:tcPr>
          <w:p>
            <w:r>
              <w:rPr>
                <w:rFonts w:ascii="Times New Roman" w:hAnsi="Times New Roman"/>
                <w:sz w:val="21"/>
              </w:rPr>
            </w:r>
            <w:r>
              <w:rPr>
                <w:rFonts w:ascii="Times New Roman" w:hAnsi="Times New Roman"/>
                <w:b w:val="0"/>
                <w:sz w:val="21"/>
              </w:rPr>
              <w:t>KPI / Aggregate</w:t>
            </w:r>
          </w:p>
        </w:tc>
        <w:tc>
          <w:tcPr>
            <w:tcW w:type="dxa" w:w="2256"/>
          </w:tcPr>
          <w:p>
            <w:pPr>
              <w:jc w:val="center"/>
            </w:pPr>
            <w:r>
              <w:rPr>
                <w:rFonts w:ascii="Times New Roman" w:hAnsi="Times New Roman"/>
                <w:sz w:val="21"/>
              </w:rPr>
            </w:r>
            <w:r>
              <w:rPr>
                <w:rFonts w:ascii="Times New Roman" w:hAnsi="Times New Roman"/>
                <w:b w:val="0"/>
                <w:sz w:val="21"/>
              </w:rPr>
              <w:t>28</w:t>
            </w:r>
          </w:p>
        </w:tc>
        <w:tc>
          <w:tcPr>
            <w:tcW w:type="dxa" w:w="2256"/>
          </w:tcPr>
          <w:p>
            <w:pPr>
              <w:jc w:val="center"/>
            </w:pPr>
            <w:r>
              <w:rPr>
                <w:rFonts w:ascii="Times New Roman" w:hAnsi="Times New Roman"/>
                <w:sz w:val="21"/>
              </w:rPr>
            </w:r>
            <w:r>
              <w:rPr>
                <w:rFonts w:ascii="Times New Roman" w:hAnsi="Times New Roman"/>
                <w:b w:val="0"/>
                <w:sz w:val="21"/>
              </w:rPr>
              <w:t>28%</w:t>
            </w:r>
          </w:p>
        </w:tc>
        <w:tc>
          <w:tcPr>
            <w:tcW w:type="dxa" w:w="2256"/>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256"/>
          </w:tcPr>
          <w:p>
            <w:r>
              <w:rPr>
                <w:rFonts w:ascii="Times New Roman" w:hAnsi="Times New Roman"/>
                <w:sz w:val="21"/>
              </w:rPr>
            </w:r>
            <w:r>
              <w:rPr>
                <w:rFonts w:ascii="Times New Roman" w:hAnsi="Times New Roman"/>
                <w:b w:val="0"/>
                <w:sz w:val="21"/>
              </w:rPr>
              <w:t>Ranking</w:t>
            </w:r>
          </w:p>
        </w:tc>
        <w:tc>
          <w:tcPr>
            <w:tcW w:type="dxa" w:w="2256"/>
          </w:tcPr>
          <w:p>
            <w:pPr>
              <w:jc w:val="center"/>
            </w:pPr>
            <w:r>
              <w:rPr>
                <w:rFonts w:ascii="Times New Roman" w:hAnsi="Times New Roman"/>
                <w:sz w:val="21"/>
              </w:rPr>
            </w:r>
            <w:r>
              <w:rPr>
                <w:rFonts w:ascii="Times New Roman" w:hAnsi="Times New Roman"/>
                <w:b w:val="0"/>
                <w:sz w:val="21"/>
              </w:rPr>
              <w:t>21</w:t>
            </w:r>
          </w:p>
        </w:tc>
        <w:tc>
          <w:tcPr>
            <w:tcW w:type="dxa" w:w="2256"/>
          </w:tcPr>
          <w:p>
            <w:pPr>
              <w:jc w:val="center"/>
            </w:pPr>
            <w:r>
              <w:rPr>
                <w:rFonts w:ascii="Times New Roman" w:hAnsi="Times New Roman"/>
                <w:sz w:val="21"/>
              </w:rPr>
            </w:r>
            <w:r>
              <w:rPr>
                <w:rFonts w:ascii="Times New Roman" w:hAnsi="Times New Roman"/>
                <w:b w:val="0"/>
                <w:sz w:val="21"/>
              </w:rPr>
              <w:t>21%</w:t>
            </w:r>
          </w:p>
        </w:tc>
        <w:tc>
          <w:tcPr>
            <w:tcW w:type="dxa" w:w="2256"/>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256"/>
          </w:tcPr>
          <w:p>
            <w:r>
              <w:rPr>
                <w:rFonts w:ascii="Times New Roman" w:hAnsi="Times New Roman"/>
                <w:sz w:val="21"/>
              </w:rPr>
            </w:r>
            <w:r>
              <w:rPr>
                <w:rFonts w:ascii="Times New Roman" w:hAnsi="Times New Roman"/>
                <w:b w:val="0"/>
                <w:sz w:val="21"/>
              </w:rPr>
              <w:t>Exception / Filter</w:t>
            </w:r>
          </w:p>
        </w:tc>
        <w:tc>
          <w:tcPr>
            <w:tcW w:type="dxa" w:w="2256"/>
          </w:tcPr>
          <w:p>
            <w:pPr>
              <w:jc w:val="center"/>
            </w:pPr>
            <w:r>
              <w:rPr>
                <w:rFonts w:ascii="Times New Roman" w:hAnsi="Times New Roman"/>
                <w:sz w:val="21"/>
              </w:rPr>
            </w:r>
            <w:r>
              <w:rPr>
                <w:rFonts w:ascii="Times New Roman" w:hAnsi="Times New Roman"/>
                <w:b w:val="0"/>
                <w:sz w:val="21"/>
              </w:rPr>
              <w:t>18</w:t>
            </w:r>
          </w:p>
        </w:tc>
        <w:tc>
          <w:tcPr>
            <w:tcW w:type="dxa" w:w="2256"/>
          </w:tcPr>
          <w:p>
            <w:pPr>
              <w:jc w:val="center"/>
            </w:pPr>
            <w:r>
              <w:rPr>
                <w:rFonts w:ascii="Times New Roman" w:hAnsi="Times New Roman"/>
                <w:sz w:val="21"/>
              </w:rPr>
            </w:r>
            <w:r>
              <w:rPr>
                <w:rFonts w:ascii="Times New Roman" w:hAnsi="Times New Roman"/>
                <w:b w:val="0"/>
                <w:sz w:val="21"/>
              </w:rPr>
              <w:t>18%</w:t>
            </w:r>
          </w:p>
        </w:tc>
        <w:tc>
          <w:tcPr>
            <w:tcW w:type="dxa" w:w="2256"/>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256"/>
          </w:tcPr>
          <w:p>
            <w:r>
              <w:rPr>
                <w:rFonts w:ascii="Times New Roman" w:hAnsi="Times New Roman"/>
                <w:sz w:val="21"/>
              </w:rPr>
            </w:r>
            <w:r>
              <w:rPr>
                <w:rFonts w:ascii="Times New Roman" w:hAnsi="Times New Roman"/>
                <w:b w:val="0"/>
                <w:sz w:val="21"/>
              </w:rPr>
              <w:t>Trend Analysis</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256"/>
          </w:tcPr>
          <w:p>
            <w:r>
              <w:rPr>
                <w:rFonts w:ascii="Times New Roman" w:hAnsi="Times New Roman"/>
                <w:sz w:val="21"/>
              </w:rPr>
            </w:r>
            <w:r>
              <w:rPr>
                <w:rFonts w:ascii="Times New Roman" w:hAnsi="Times New Roman"/>
                <w:b w:val="0"/>
                <w:sz w:val="21"/>
              </w:rPr>
              <w:t>Comparison</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256"/>
          </w:tcPr>
          <w:p>
            <w:r>
              <w:rPr>
                <w:rFonts w:ascii="Times New Roman" w:hAnsi="Times New Roman"/>
                <w:sz w:val="21"/>
              </w:rPr>
            </w:r>
            <w:r>
              <w:rPr>
                <w:rFonts w:ascii="Times New Roman" w:hAnsi="Times New Roman"/>
                <w:b w:val="0"/>
                <w:sz w:val="21"/>
              </w:rPr>
              <w:t>Summary / Group</w:t>
            </w:r>
          </w:p>
        </w:tc>
        <w:tc>
          <w:tcPr>
            <w:tcW w:type="dxa" w:w="2256"/>
          </w:tcPr>
          <w:p>
            <w:pPr>
              <w:jc w:val="center"/>
            </w:pPr>
            <w:r>
              <w:rPr>
                <w:rFonts w:ascii="Times New Roman" w:hAnsi="Times New Roman"/>
                <w:sz w:val="21"/>
              </w:rPr>
            </w:r>
            <w:r>
              <w:rPr>
                <w:rFonts w:ascii="Times New Roman" w:hAnsi="Times New Roman"/>
                <w:b w:val="0"/>
                <w:sz w:val="21"/>
              </w:rPr>
              <w:t>9</w:t>
            </w:r>
          </w:p>
        </w:tc>
        <w:tc>
          <w:tcPr>
            <w:tcW w:type="dxa" w:w="2256"/>
          </w:tcPr>
          <w:p>
            <w:pPr>
              <w:jc w:val="center"/>
            </w:pPr>
            <w:r>
              <w:rPr>
                <w:rFonts w:ascii="Times New Roman" w:hAnsi="Times New Roman"/>
                <w:sz w:val="21"/>
              </w:rPr>
            </w:r>
            <w:r>
              <w:rPr>
                <w:rFonts w:ascii="Times New Roman" w:hAnsi="Times New Roman"/>
                <w:b w:val="0"/>
                <w:sz w:val="21"/>
              </w:rPr>
              <w:t>9%</w:t>
            </w:r>
          </w:p>
        </w:tc>
        <w:tc>
          <w:tcPr>
            <w:tcW w:type="dxa" w:w="2256"/>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256"/>
          </w:tcPr>
          <w:p>
            <w:r>
              <w:rPr>
                <w:rFonts w:ascii="Times New Roman" w:hAnsi="Times New Roman"/>
                <w:sz w:val="21"/>
              </w:rPr>
            </w:r>
            <w:r>
              <w:rPr>
                <w:rFonts w:ascii="Times New Roman" w:hAnsi="Times New Roman"/>
                <w:b w:val="0"/>
                <w:sz w:val="21"/>
              </w:rPr>
              <w:t>Cohort</w:t>
            </w:r>
          </w:p>
        </w:tc>
        <w:tc>
          <w:tcPr>
            <w:tcW w:type="dxa" w:w="2256"/>
          </w:tcPr>
          <w:p>
            <w:pPr>
              <w:jc w:val="center"/>
            </w:pPr>
            <w:r>
              <w:rPr>
                <w:rFonts w:ascii="Times New Roman" w:hAnsi="Times New Roman"/>
                <w:sz w:val="21"/>
              </w:rPr>
            </w:r>
            <w:r>
              <w:rPr>
                <w:rFonts w:ascii="Times New Roman" w:hAnsi="Times New Roman"/>
                <w:b w:val="0"/>
                <w:sz w:val="21"/>
              </w:rPr>
              <w:t>2</w:t>
            </w:r>
          </w:p>
        </w:tc>
        <w:tc>
          <w:tcPr>
            <w:tcW w:type="dxa" w:w="2256"/>
          </w:tcPr>
          <w:p>
            <w:pPr>
              <w:jc w:val="center"/>
            </w:pPr>
            <w:r>
              <w:rPr>
                <w:rFonts w:ascii="Times New Roman" w:hAnsi="Times New Roman"/>
                <w:sz w:val="21"/>
              </w:rPr>
            </w:r>
            <w:r>
              <w:rPr>
                <w:rFonts w:ascii="Times New Roman" w:hAnsi="Times New Roman"/>
                <w:b w:val="0"/>
                <w:sz w:val="21"/>
              </w:rPr>
              <w:t>2%</w:t>
            </w:r>
          </w:p>
        </w:tc>
        <w:tc>
          <w:tcPr>
            <w:tcW w:type="dxa" w:w="2256"/>
          </w:tcPr>
          <w:p>
            <w:pPr>
              <w:jc w:val="center"/>
            </w:pPr>
            <w:r>
              <w:rPr>
                <w:rFonts w:ascii="Times New Roman" w:hAnsi="Times New Roman"/>
                <w:sz w:val="21"/>
              </w:rPr>
            </w:r>
            <w:r>
              <w:rPr>
                <w:rFonts w:ascii="Times New Roman" w:hAnsi="Times New Roman"/>
                <w:b w:val="0"/>
                <w:sz w:val="21"/>
              </w:rPr>
              <w:t>First-time buyers vs. returning customers.</w:t>
            </w:r>
          </w:p>
        </w:tc>
      </w:tr>
      <w:tr>
        <w:tc>
          <w:tcPr>
            <w:tcW w:type="dxa" w:w="2256"/>
          </w:tcPr>
          <w:p>
            <w:r>
              <w:rPr>
                <w:rFonts w:ascii="Times New Roman" w:hAnsi="Times New Roman"/>
                <w:sz w:val="21"/>
              </w:rPr>
            </w:r>
            <w:r>
              <w:rPr>
                <w:rFonts w:ascii="Times New Roman" w:hAnsi="Times New Roman"/>
                <w:b w:val="0"/>
                <w:sz w:val="21"/>
              </w:rPr>
              <w:t>Funnel</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Cart-to-purchase abandonment after seeing shipping costs.</w:t>
            </w:r>
          </w:p>
        </w:tc>
      </w:tr>
      <w:tr>
        <w:tc>
          <w:tcPr>
            <w:tcW w:type="dxa" w:w="2256"/>
          </w:tcPr>
          <w:p>
            <w:r>
              <w:rPr>
                <w:rFonts w:ascii="Times New Roman" w:hAnsi="Times New Roman"/>
                <w:sz w:val="21"/>
              </w:rPr>
            </w:r>
            <w:r>
              <w:rPr>
                <w:rFonts w:ascii="Times New Roman" w:hAnsi="Times New Roman"/>
                <w:b w:val="0"/>
                <w:sz w:val="21"/>
              </w:rPr>
              <w:t>Correlate</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Which attributes correlate with higher margins?</w:t>
            </w:r>
          </w:p>
        </w:tc>
      </w:tr>
      <w:tr>
        <w:tc>
          <w:tcPr>
            <w:tcW w:type="dxa" w:w="2256"/>
          </w:tcPr>
          <w:p>
            <w:r>
              <w:rPr>
                <w:rFonts w:ascii="Times New Roman" w:hAnsi="Times New Roman"/>
                <w:sz w:val="21"/>
              </w:rPr>
            </w:r>
            <w:r>
              <w:rPr>
                <w:rFonts w:ascii="Times New Roman" w:hAnsi="Times New Roman"/>
                <w:b w:val="0"/>
                <w:sz w:val="21"/>
              </w:rPr>
              <w:t>Segment</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Not exercised by this particular 100-question sample.</w:t>
            </w:r>
          </w:p>
        </w:tc>
      </w:tr>
      <w:tr>
        <w:tc>
          <w:tcPr>
            <w:tcW w:type="dxa" w:w="2256"/>
          </w:tcPr>
          <w:p>
            <w:r>
              <w:rPr>
                <w:rFonts w:ascii="Times New Roman" w:hAnsi="Times New Roman"/>
                <w:sz w:val="21"/>
              </w:rPr>
            </w:r>
            <w:r>
              <w:rPr>
                <w:rFonts w:ascii="Times New Roman" w:hAnsi="Times New Roman"/>
                <w:b w:val="0"/>
                <w:sz w:val="21"/>
              </w:rPr>
              <w:t>Tabular</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Not exercised by this particular 100-question sample.</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Pattern classification of the answerable analytical benchmark subset</w:t>
            </w:r>
          </w:p>
          <w:p>
            <w:pPr>
              <w:spacing w:after="280" w:line="300" w:lineRule="auto"/>
              <w:ind w:left="432" w:right="432"/>
              <w:jc w:val="center"/>
            </w:pPr>
            <w:r>
              <w:rPr>
                <w:rFonts w:ascii="Times New Roman" w:hAnsi="Times New Roman"/>
                <w:i/>
                <w:color w:val="555555"/>
                <w:sz w:val="19"/>
              </w:rPr>
              <w:t>A bar chart (sorted descending) showing the real share of the answerable analytical benchmark subset accounted for by each of the eleven patterns: KPI/Aggregate 28%, Ranking 21%, Exception/Filter 18%, Trend Analysis 10%, Comparison 10%, Summary/Group 9%, Cohort 2%, Funnel 1%, Correlate 1%, Segment 0%, Tabular 0%. Highlight the top three bars (KPI, Ranking, Exception/Filter) in an accent color, since together they account for 67% of the benchmark. Caption note: classified by the author against evaluation_dataset/questions.json; see evaluation_dataset/pattern_classification.json for the per-question labels.</w:t>
            </w:r>
          </w:p>
        </w:tc>
      </w:tr>
    </w:tbl>
    <w:p>
      <w:pPr>
        <w:spacing w:before="120" w:after="280"/>
        <w:jc w:val="center"/>
      </w:pPr>
      <w:r>
        <w:rPr>
          <w:rFonts w:ascii="Times New Roman" w:hAnsi="Times New Roman"/>
          <w:b/>
          <w:sz w:val="21"/>
        </w:rPr>
        <w:t>Figure 5: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on this benchmark, the top three patterns (KPI, Ranking, and Exception/Filter) already account for 67% of all questions, and all eleven patterns together account for 100%, supporting a fixed template library rather than an open-ended query language. Segment and Tabular happen not to be exercised by this particular 100-question sample, which is a property of this benchmark rather than evidence that those two patterns are unnecessary; the compiler supports both regardless. Second, business vocabulary differs systematically from database column names: reviewed requests used phrases like â€œtotal refund rate,â€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200" w:before="0" w:line="360" w:lineRule="auto"/>
        <w:jc w:val="both"/>
      </w:pPr>
      <w:r>
        <w:rPr>
          <w:rFonts w:ascii="Times New Roman" w:hAnsi="Times New Roman"/>
          <w:b w:val="0"/>
          <w:i w:val="0"/>
          <w:sz w:val="24"/>
        </w:rPr>
        <w:t>The formal idea behind AEGIS can be stated without mathematical notation. Classical text-to-SQL gives the language model a request and a database schema, then asks the model to produce SQL directly. AEGIS splits that responsibility into checked stages. The model reads the user's language and produces only a typed intent object. The semantic layer checks whether the requested metric, dimension, time rule, and pattern are approved. The compiler then builds read-only SQL from templates, the visualization selector chooses a chart or table, and the widget engine persists the result as a reusable artifact.</w:t>
      </w:r>
    </w:p>
    <w:p>
      <w:pPr>
        <w:spacing w:before="200" w:after="80"/>
        <w:jc w:val="center"/>
      </w:pPr>
      <w:r>
        <w:rPr>
          <w:rFonts w:ascii="Times New Roman" w:hAnsi="Times New Roman"/>
          <w:b/>
          <w:sz w:val="22"/>
        </w:rPr>
        <w:t>Table: Plain-language AEGIS formal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Component</w:t>
            </w:r>
          </w:p>
        </w:tc>
        <w:tc>
          <w:tcPr>
            <w:tcW w:type="dxa" w:w="3009"/>
          </w:tcPr>
          <w:p>
            <w:pPr>
              <w:jc w:val="center"/>
            </w:pPr>
            <w:r>
              <w:rPr>
                <w:rFonts w:ascii="Times New Roman" w:hAnsi="Times New Roman"/>
                <w:b/>
                <w:sz w:val="21"/>
              </w:rPr>
            </w:r>
            <w:r>
              <w:rPr>
                <w:rFonts w:ascii="Times New Roman" w:hAnsi="Times New Roman"/>
                <w:b/>
                <w:sz w:val="21"/>
              </w:rPr>
              <w:t>Meaning in AEGIS</w:t>
            </w:r>
          </w:p>
        </w:tc>
        <w:tc>
          <w:tcPr>
            <w:tcW w:type="dxa" w:w="3009"/>
          </w:tcPr>
          <w:p>
            <w:pPr>
              <w:jc w:val="center"/>
            </w:pPr>
            <w:r>
              <w:rPr>
                <w:rFonts w:ascii="Times New Roman" w:hAnsi="Times New Roman"/>
                <w:b/>
                <w:sz w:val="21"/>
              </w:rPr>
            </w:r>
            <w:r>
              <w:rPr>
                <w:rFonts w:ascii="Times New Roman" w:hAnsi="Times New Roman"/>
                <w:b/>
                <w:sz w:val="21"/>
              </w:rPr>
              <w:t>Safety role</w:t>
            </w:r>
          </w:p>
        </w:tc>
      </w:tr>
      <w:tr>
        <w:tc>
          <w:tcPr>
            <w:tcW w:type="dxa" w:w="3009"/>
          </w:tcPr>
          <w:p>
            <w:r>
              <w:rPr>
                <w:rFonts w:ascii="Times New Roman" w:hAnsi="Times New Roman"/>
                <w:sz w:val="21"/>
              </w:rPr>
            </w:r>
            <w:r>
              <w:rPr>
                <w:rFonts w:ascii="Times New Roman" w:hAnsi="Times New Roman"/>
                <w:b w:val="0"/>
                <w:sz w:val="21"/>
              </w:rPr>
              <w:t>User request</w:t>
            </w:r>
          </w:p>
        </w:tc>
        <w:tc>
          <w:tcPr>
            <w:tcW w:type="dxa" w:w="3009"/>
          </w:tcPr>
          <w:p>
            <w:pPr>
              <w:jc w:val="center"/>
            </w:pPr>
            <w:r>
              <w:rPr>
                <w:rFonts w:ascii="Times New Roman" w:hAnsi="Times New Roman"/>
                <w:sz w:val="21"/>
              </w:rPr>
            </w:r>
            <w:r>
              <w:rPr>
                <w:rFonts w:ascii="Times New Roman" w:hAnsi="Times New Roman"/>
                <w:b w:val="0"/>
                <w:sz w:val="21"/>
              </w:rPr>
              <w:t>The original natural-language reporting question</w:t>
            </w:r>
          </w:p>
        </w:tc>
        <w:tc>
          <w:tcPr>
            <w:tcW w:type="dxa" w:w="3009"/>
          </w:tcPr>
          <w:p>
            <w:pPr>
              <w:jc w:val="center"/>
            </w:pPr>
            <w:r>
              <w:rPr>
                <w:rFonts w:ascii="Times New Roman" w:hAnsi="Times New Roman"/>
                <w:sz w:val="21"/>
              </w:rPr>
            </w:r>
            <w:r>
              <w:rPr>
                <w:rFonts w:ascii="Times New Roman" w:hAnsi="Times New Roman"/>
                <w:b w:val="0"/>
                <w:sz w:val="21"/>
              </w:rPr>
              <w:t>Never becomes SQL directly</w:t>
            </w:r>
          </w:p>
        </w:tc>
      </w:tr>
      <w:tr>
        <w:tc>
          <w:tcPr>
            <w:tcW w:type="dxa" w:w="3009"/>
          </w:tcPr>
          <w:p>
            <w:r>
              <w:rPr>
                <w:rFonts w:ascii="Times New Roman" w:hAnsi="Times New Roman"/>
                <w:sz w:val="21"/>
              </w:rPr>
            </w:r>
            <w:r>
              <w:rPr>
                <w:rFonts w:ascii="Times New Roman" w:hAnsi="Times New Roman"/>
                <w:b w:val="0"/>
                <w:sz w:val="21"/>
              </w:rPr>
              <w:t>Intent object</w:t>
            </w:r>
          </w:p>
        </w:tc>
        <w:tc>
          <w:tcPr>
            <w:tcW w:type="dxa" w:w="3009"/>
          </w:tcPr>
          <w:p>
            <w:pPr>
              <w:jc w:val="center"/>
            </w:pPr>
            <w:r>
              <w:rPr>
                <w:rFonts w:ascii="Times New Roman" w:hAnsi="Times New Roman"/>
                <w:sz w:val="21"/>
              </w:rPr>
            </w:r>
            <w:r>
              <w:rPr>
                <w:rFonts w:ascii="Times New Roman" w:hAnsi="Times New Roman"/>
                <w:b w:val="0"/>
                <w:sz w:val="21"/>
              </w:rPr>
              <w:t>Typed summary of metric, dimension, pattern, filter, time range, and limit</w:t>
            </w:r>
          </w:p>
        </w:tc>
        <w:tc>
          <w:tcPr>
            <w:tcW w:type="dxa" w:w="3009"/>
          </w:tcPr>
          <w:p>
            <w:pPr>
              <w:jc w:val="center"/>
            </w:pPr>
            <w:r>
              <w:rPr>
                <w:rFonts w:ascii="Times New Roman" w:hAnsi="Times New Roman"/>
                <w:sz w:val="21"/>
              </w:rPr>
            </w:r>
            <w:r>
              <w:rPr>
                <w:rFonts w:ascii="Times New Roman" w:hAnsi="Times New Roman"/>
                <w:b w:val="0"/>
                <w:sz w:val="21"/>
              </w:rPr>
              <w:t>Rejects fields outside the schema of allowed intent keys</w:t>
            </w:r>
          </w:p>
        </w:tc>
      </w:tr>
      <w:tr>
        <w:tc>
          <w:tcPr>
            <w:tcW w:type="dxa" w:w="3009"/>
          </w:tcPr>
          <w:p>
            <w:r>
              <w:rPr>
                <w:rFonts w:ascii="Times New Roman" w:hAnsi="Times New Roman"/>
                <w:sz w:val="21"/>
              </w:rPr>
            </w:r>
            <w:r>
              <w:rPr>
                <w:rFonts w:ascii="Times New Roman" w:hAnsi="Times New Roman"/>
                <w:b w:val="0"/>
                <w:sz w:val="21"/>
              </w:rPr>
              <w:t>Semantic layer</w:t>
            </w:r>
          </w:p>
        </w:tc>
        <w:tc>
          <w:tcPr>
            <w:tcW w:type="dxa" w:w="3009"/>
          </w:tcPr>
          <w:p>
            <w:pPr>
              <w:jc w:val="center"/>
            </w:pPr>
            <w:r>
              <w:rPr>
                <w:rFonts w:ascii="Times New Roman" w:hAnsi="Times New Roman"/>
                <w:sz w:val="21"/>
              </w:rPr>
            </w:r>
            <w:r>
              <w:rPr>
                <w:rFonts w:ascii="Times New Roman" w:hAnsi="Times New Roman"/>
                <w:b w:val="0"/>
                <w:sz w:val="21"/>
              </w:rPr>
              <w:t>Approved metrics, dimensions, join paths, patterns, visualization rules, and permissions</w:t>
            </w:r>
          </w:p>
        </w:tc>
        <w:tc>
          <w:tcPr>
            <w:tcW w:type="dxa" w:w="3009"/>
          </w:tcPr>
          <w:p>
            <w:pPr>
              <w:jc w:val="center"/>
            </w:pPr>
            <w:r>
              <w:rPr>
                <w:rFonts w:ascii="Times New Roman" w:hAnsi="Times New Roman"/>
                <w:sz w:val="21"/>
              </w:rPr>
            </w:r>
            <w:r>
              <w:rPr>
                <w:rFonts w:ascii="Times New Roman" w:hAnsi="Times New Roman"/>
                <w:b w:val="0"/>
                <w:sz w:val="21"/>
              </w:rPr>
              <w:t>Defines what the system is allowed to answer</w:t>
            </w:r>
          </w:p>
        </w:tc>
      </w:tr>
      <w:tr>
        <w:tc>
          <w:tcPr>
            <w:tcW w:type="dxa" w:w="3009"/>
          </w:tcPr>
          <w:p>
            <w:r>
              <w:rPr>
                <w:rFonts w:ascii="Times New Roman" w:hAnsi="Times New Roman"/>
                <w:sz w:val="21"/>
              </w:rPr>
            </w:r>
            <w:r>
              <w:rPr>
                <w:rFonts w:ascii="Times New Roman" w:hAnsi="Times New Roman"/>
                <w:b w:val="0"/>
                <w:sz w:val="21"/>
              </w:rPr>
              <w:t>Compiler</w:t>
            </w:r>
          </w:p>
        </w:tc>
        <w:tc>
          <w:tcPr>
            <w:tcW w:type="dxa" w:w="3009"/>
          </w:tcPr>
          <w:p>
            <w:pPr>
              <w:jc w:val="center"/>
            </w:pPr>
            <w:r>
              <w:rPr>
                <w:rFonts w:ascii="Times New Roman" w:hAnsi="Times New Roman"/>
                <w:sz w:val="21"/>
              </w:rPr>
            </w:r>
            <w:r>
              <w:rPr>
                <w:rFonts w:ascii="Times New Roman" w:hAnsi="Times New Roman"/>
                <w:b w:val="0"/>
                <w:sz w:val="21"/>
              </w:rPr>
              <w:t>Deterministic SQL builder using parameterized templates</w:t>
            </w:r>
          </w:p>
        </w:tc>
        <w:tc>
          <w:tcPr>
            <w:tcW w:type="dxa" w:w="3009"/>
          </w:tcPr>
          <w:p>
            <w:pPr>
              <w:jc w:val="center"/>
            </w:pPr>
            <w:r>
              <w:rPr>
                <w:rFonts w:ascii="Times New Roman" w:hAnsi="Times New Roman"/>
                <w:sz w:val="21"/>
              </w:rPr>
            </w:r>
            <w:r>
              <w:rPr>
                <w:rFonts w:ascii="Times New Roman" w:hAnsi="Times New Roman"/>
                <w:b w:val="0"/>
                <w:sz w:val="21"/>
              </w:rPr>
              <w:t>Produces read-only SQL from approved bindings only</w:t>
            </w:r>
          </w:p>
        </w:tc>
      </w:tr>
      <w:tr>
        <w:tc>
          <w:tcPr>
            <w:tcW w:type="dxa" w:w="3009"/>
          </w:tcPr>
          <w:p>
            <w:r>
              <w:rPr>
                <w:rFonts w:ascii="Times New Roman" w:hAnsi="Times New Roman"/>
                <w:sz w:val="21"/>
              </w:rPr>
            </w:r>
            <w:r>
              <w:rPr>
                <w:rFonts w:ascii="Times New Roman" w:hAnsi="Times New Roman"/>
                <w:b w:val="0"/>
                <w:sz w:val="21"/>
              </w:rPr>
              <w:t>Validator</w:t>
            </w:r>
          </w:p>
        </w:tc>
        <w:tc>
          <w:tcPr>
            <w:tcW w:type="dxa" w:w="3009"/>
          </w:tcPr>
          <w:p>
            <w:pPr>
              <w:jc w:val="center"/>
            </w:pPr>
            <w:r>
              <w:rPr>
                <w:rFonts w:ascii="Times New Roman" w:hAnsi="Times New Roman"/>
                <w:sz w:val="21"/>
              </w:rPr>
            </w:r>
            <w:r>
              <w:rPr>
                <w:rFonts w:ascii="Times New Roman" w:hAnsi="Times New Roman"/>
                <w:b w:val="0"/>
                <w:sz w:val="21"/>
              </w:rPr>
              <w:t>Post-compilation SQL safety scanner</w:t>
            </w:r>
          </w:p>
        </w:tc>
        <w:tc>
          <w:tcPr>
            <w:tcW w:type="dxa" w:w="3009"/>
          </w:tcPr>
          <w:p>
            <w:pPr>
              <w:jc w:val="center"/>
            </w:pPr>
            <w:r>
              <w:rPr>
                <w:rFonts w:ascii="Times New Roman" w:hAnsi="Times New Roman"/>
                <w:sz w:val="21"/>
              </w:rPr>
            </w:r>
            <w:r>
              <w:rPr>
                <w:rFonts w:ascii="Times New Roman" w:hAnsi="Times New Roman"/>
                <w:b w:val="0"/>
                <w:sz w:val="21"/>
              </w:rPr>
              <w:t>Blocks non-SELECT statements as defense in depth</w:t>
            </w:r>
          </w:p>
        </w:tc>
      </w:tr>
      <w:tr>
        <w:tc>
          <w:tcPr>
            <w:tcW w:type="dxa" w:w="3009"/>
          </w:tcPr>
          <w:p>
            <w:r>
              <w:rPr>
                <w:rFonts w:ascii="Times New Roman" w:hAnsi="Times New Roman"/>
                <w:sz w:val="21"/>
              </w:rPr>
            </w:r>
            <w:r>
              <w:rPr>
                <w:rFonts w:ascii="Times New Roman" w:hAnsi="Times New Roman"/>
                <w:b w:val="0"/>
                <w:sz w:val="21"/>
              </w:rPr>
              <w:t>Widget artifact</w:t>
            </w:r>
          </w:p>
        </w:tc>
        <w:tc>
          <w:tcPr>
            <w:tcW w:type="dxa" w:w="3009"/>
          </w:tcPr>
          <w:p>
            <w:pPr>
              <w:jc w:val="center"/>
            </w:pPr>
            <w:r>
              <w:rPr>
                <w:rFonts w:ascii="Times New Roman" w:hAnsi="Times New Roman"/>
                <w:sz w:val="21"/>
              </w:rPr>
            </w:r>
            <w:r>
              <w:rPr>
                <w:rFonts w:ascii="Times New Roman" w:hAnsi="Times New Roman"/>
                <w:b w:val="0"/>
                <w:sz w:val="21"/>
              </w:rPr>
              <w:t>Saved visualization and refresh plan</w:t>
            </w:r>
          </w:p>
        </w:tc>
        <w:tc>
          <w:tcPr>
            <w:tcW w:type="dxa" w:w="3009"/>
          </w:tcPr>
          <w:p>
            <w:pPr>
              <w:jc w:val="center"/>
            </w:pPr>
            <w:r>
              <w:rPr>
                <w:rFonts w:ascii="Times New Roman" w:hAnsi="Times New Roman"/>
                <w:sz w:val="21"/>
              </w:rPr>
            </w:r>
            <w:r>
              <w:rPr>
                <w:rFonts w:ascii="Times New Roman" w:hAnsi="Times New Roman"/>
                <w:b w:val="0"/>
                <w:sz w:val="21"/>
              </w:rPr>
              <w:t>Keeps a reusable audit trail of what was generated</w:t>
            </w:r>
          </w:p>
        </w:tc>
      </w:tr>
    </w:tbl>
    <w:p>
      <w:pPr>
        <w:spacing w:after="80"/>
      </w:pPr>
    </w:p>
    <w:p>
      <w:pPr>
        <w:spacing w:after="200" w:before="0" w:line="360" w:lineRule="auto"/>
        <w:jc w:val="both"/>
      </w:pPr>
      <w:r>
        <w:rPr>
          <w:rFonts w:ascii="Times New Roman" w:hAnsi="Times New Roman"/>
          <w:b w:val="0"/>
          <w:i w:val="0"/>
          <w:sz w:val="24"/>
        </w:rPr>
        <w:t>The safety claim is therefore simple: if the semantic layer and compiler templates are trusted, then untrusted user language cannot introduce a table, column, join, or write operation that the semantic layer did not approve. The LLM never receives authority to write executable SQL.</w:t>
      </w:r>
    </w:p>
    <w:p>
      <w:pPr>
        <w:spacing w:after="200" w:before="0" w:line="360" w:lineRule="auto"/>
        <w:jc w:val="both"/>
      </w:pPr>
      <w:r>
        <w:rPr>
          <w:rFonts w:ascii="Times New Roman" w:hAnsi="Times New Roman"/>
          <w:b/>
          <w:i w:val="0"/>
          <w:sz w:val="24"/>
        </w:rPr>
        <w:t xml:space="preserve">Safety proposition. </w:t>
      </w:r>
      <w:r>
        <w:rPr>
          <w:rFonts w:ascii="Times New Roman" w:hAnsi="Times New Roman"/>
          <w:b w:val="0"/>
          <w:i/>
          <w:sz w:val="24"/>
        </w:rPr>
        <w:t>No generated query can reference a table, column, or row that is not represented in the approved semantic layer for the user's role. All SQL identifiers are drawn from closed semantic bindings, and literal values are passed through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â€œabandonedâ€ maps to a specific OrderStatusId), and relative time expressions such as â€œthis monthâ€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p>
            <w:pPr>
              <w:spacing w:after="280" w:line="300" w:lineRule="auto"/>
              <w:ind w:left="432" w:right="432"/>
              <w:jc w:val="center"/>
            </w:pPr>
            <w:r>
              <w:rPr>
                <w:rFonts w:ascii="Times New Roman" w:hAnsi="Times New Roman"/>
                <w:i/>
                <w:color w:val="555555"/>
                <w:sz w:val="19"/>
              </w:rPr>
              <w:t>A left-to-right flowchart of the seven stages in sequence: User Request, LLM Intent Parser, Coverage Validator, Semantic Mapper, Permission Rewriter, Safe Query Compiler, Query Executor, Visualization Selector, Widget Engine, and Dashboard. Color-code by responsibility: blue for the single AI/LLM stage, purple for semantic mapping, red for the two safety-enforcement stages (Permission Rewriter, Safe Query Compiler), green for execution/output stages. Add small orange branch arrows from Coverage Validator and Safe Query Compiler pointing to a 'Structured Clarification / Rejection Message' box, showing that invalid requests exit early with an actionable error rather than a silent failure.</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p>
            <w:pPr>
              <w:spacing w:after="280" w:line="300" w:lineRule="auto"/>
              <w:ind w:left="432" w:right="432"/>
              <w:jc w:val="center"/>
            </w:pPr>
            <w:r>
              <w:rPr>
                <w:rFonts w:ascii="Times New Roman" w:hAnsi="Times New Roman"/>
                <w:i/>
                <w:color w:val="555555"/>
                <w:sz w:val="19"/>
              </w:rPr>
              <w:t>A split-panel comparison. LEFT panel, labeled 'AEGIS': a small set of labeled building blocks (Metric, Dimension, Filter, Join Path, Pattern) shown snapping together into two or three example complete query shapes, like LEGO bricks combining into a finished model. RIGHT panel, labeled 'Direct LLM-to-SQL': an unbounded free-form SQL string with a warning icon. The visual point is that AEGIS composes from a bounded set of safe parts while direct generation is unbounded and can take an unsafe shape.</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Object</w:t>
            </w:r>
          </w:p>
        </w:tc>
        <w:tc>
          <w:tcPr>
            <w:tcW w:type="dxa" w:w="3009"/>
          </w:tcPr>
          <w:p>
            <w:pPr>
              <w:jc w:val="center"/>
            </w:pPr>
            <w:r>
              <w:rPr>
                <w:rFonts w:ascii="Times New Roman" w:hAnsi="Times New Roman"/>
                <w:b/>
                <w:sz w:val="21"/>
              </w:rPr>
            </w:r>
            <w:r>
              <w:rPr>
                <w:rFonts w:ascii="Times New Roman" w:hAnsi="Times New Roman"/>
                <w:b/>
                <w:sz w:val="21"/>
              </w:rPr>
              <w:t>Field</w:t>
            </w:r>
          </w:p>
        </w:tc>
        <w:tc>
          <w:tcPr>
            <w:tcW w:type="dxa" w:w="3009"/>
          </w:tcPr>
          <w:p>
            <w:pPr>
              <w:jc w:val="center"/>
            </w:pPr>
            <w:r>
              <w:rPr>
                <w:rFonts w:ascii="Times New Roman" w:hAnsi="Times New Roman"/>
                <w:b/>
                <w:sz w:val="21"/>
              </w:rPr>
            </w:r>
            <w:r>
              <w:rPr>
                <w:rFonts w:ascii="Times New Roman" w:hAnsi="Times New Roman"/>
                <w:b/>
                <w:sz w:val="21"/>
              </w:rPr>
              <w:t>Example</w:t>
            </w:r>
          </w:p>
        </w:tc>
      </w:tr>
      <w:tr>
        <w:tc>
          <w:tcPr>
            <w:tcW w:type="dxa" w:w="3009"/>
          </w:tcPr>
          <w:p>
            <w:r>
              <w:rPr>
                <w:rFonts w:ascii="Times New Roman" w:hAnsi="Times New Roman"/>
                <w:sz w:val="21"/>
              </w:rPr>
            </w:r>
            <w:r>
              <w:rPr>
                <w:rFonts w:ascii="Times New Roman" w:hAnsi="Times New Roman"/>
                <w:b w:val="0"/>
                <w:sz w:val="21"/>
              </w:rPr>
              <w:t>Metric</w:t>
            </w:r>
          </w:p>
        </w:tc>
        <w:tc>
          <w:tcPr>
            <w:tcW w:type="dxa" w:w="300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3009"/>
          </w:tcPr>
          <w:p>
            <w:r>
              <w:rPr>
                <w:rFonts w:ascii="Times New Roman" w:hAnsi="Times New Roman"/>
                <w:sz w:val="21"/>
              </w:rPr>
            </w:r>
            <w:r>
              <w:rPr>
                <w:rFonts w:ascii="Times New Roman" w:hAnsi="Times New Roman"/>
                <w:b w:val="0"/>
                <w:sz w:val="21"/>
              </w:rPr>
              <w:t>Dimension</w:t>
            </w:r>
          </w:p>
        </w:tc>
        <w:tc>
          <w:tcPr>
            <w:tcW w:type="dxa" w:w="300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3009"/>
          </w:tcPr>
          <w:p>
            <w:pPr>
              <w:jc w:val="center"/>
            </w:pPr>
            <w:r>
              <w:rPr>
                <w:rFonts w:ascii="Times New Roman" w:hAnsi="Times New Roman"/>
                <w:sz w:val="21"/>
              </w:rPr>
            </w:r>
            <w:r>
              <w:rPr>
                <w:rFonts w:ascii="Times New Roman" w:hAnsi="Times New Roman"/>
                <w:b w:val="0"/>
                <w:sz w:val="21"/>
              </w:rPr>
              <w:t>category = c.Name from Category</w:t>
            </w:r>
          </w:p>
        </w:tc>
      </w:tr>
      <w:tr>
        <w:tc>
          <w:tcPr>
            <w:tcW w:type="dxa" w:w="3009"/>
          </w:tcPr>
          <w:p>
            <w:r>
              <w:rPr>
                <w:rFonts w:ascii="Times New Roman" w:hAnsi="Times New Roman"/>
                <w:sz w:val="21"/>
              </w:rPr>
            </w:r>
            <w:r>
              <w:rPr>
                <w:rFonts w:ascii="Times New Roman" w:hAnsi="Times New Roman"/>
                <w:b w:val="0"/>
                <w:sz w:val="21"/>
              </w:rPr>
              <w:t>Filter</w:t>
            </w:r>
          </w:p>
        </w:tc>
        <w:tc>
          <w:tcPr>
            <w:tcW w:type="dxa" w:w="3009"/>
          </w:tcPr>
          <w:p>
            <w:pPr>
              <w:jc w:val="center"/>
            </w:pPr>
            <w:r>
              <w:rPr>
                <w:rFonts w:ascii="Times New Roman" w:hAnsi="Times New Roman"/>
                <w:sz w:val="21"/>
              </w:rPr>
            </w:r>
            <w:r>
              <w:rPr>
                <w:rFonts w:ascii="Times New Roman" w:hAnsi="Times New Roman"/>
                <w:b w:val="0"/>
                <w:sz w:val="21"/>
              </w:rPr>
              <w:t>label, SQL predicate, datatype</w:t>
            </w:r>
          </w:p>
        </w:tc>
        <w:tc>
          <w:tcPr>
            <w:tcW w:type="dxa" w:w="300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3009"/>
          </w:tcPr>
          <w:p>
            <w:r>
              <w:rPr>
                <w:rFonts w:ascii="Times New Roman" w:hAnsi="Times New Roman"/>
                <w:sz w:val="21"/>
              </w:rPr>
            </w:r>
            <w:r>
              <w:rPr>
                <w:rFonts w:ascii="Times New Roman" w:hAnsi="Times New Roman"/>
                <w:b w:val="0"/>
                <w:sz w:val="21"/>
              </w:rPr>
              <w:t>Time rule</w:t>
            </w:r>
          </w:p>
        </w:tc>
        <w:tc>
          <w:tcPr>
            <w:tcW w:type="dxa" w:w="3009"/>
          </w:tcPr>
          <w:p>
            <w:pPr>
              <w:jc w:val="center"/>
            </w:pPr>
            <w:r>
              <w:rPr>
                <w:rFonts w:ascii="Times New Roman" w:hAnsi="Times New Roman"/>
                <w:sz w:val="21"/>
              </w:rPr>
            </w:r>
            <w:r>
              <w:rPr>
                <w:rFonts w:ascii="Times New Roman" w:hAnsi="Times New Roman"/>
                <w:b w:val="0"/>
                <w:sz w:val="21"/>
              </w:rPr>
              <w:t>label, SQL predicate, granularity</w:t>
            </w:r>
          </w:p>
        </w:tc>
        <w:tc>
          <w:tcPr>
            <w:tcW w:type="dxa" w:w="3009"/>
          </w:tcPr>
          <w:p>
            <w:pPr>
              <w:jc w:val="center"/>
            </w:pPr>
            <w:r>
              <w:rPr>
                <w:rFonts w:ascii="Times New Roman" w:hAnsi="Times New Roman"/>
                <w:sz w:val="21"/>
              </w:rPr>
            </w:r>
            <w:r>
              <w:rPr>
                <w:rFonts w:ascii="Times New Roman" w:hAnsi="Times New Roman"/>
                <w:b w:val="0"/>
                <w:sz w:val="21"/>
              </w:rPr>
              <w:t>current_week : DATEADD(week, ...)</w:t>
            </w:r>
          </w:p>
        </w:tc>
      </w:tr>
      <w:tr>
        <w:tc>
          <w:tcPr>
            <w:tcW w:type="dxa" w:w="3009"/>
          </w:tcPr>
          <w:p>
            <w:r>
              <w:rPr>
                <w:rFonts w:ascii="Times New Roman" w:hAnsi="Times New Roman"/>
                <w:sz w:val="21"/>
              </w:rPr>
            </w:r>
            <w:r>
              <w:rPr>
                <w:rFonts w:ascii="Times New Roman" w:hAnsi="Times New Roman"/>
                <w:b w:val="0"/>
                <w:sz w:val="21"/>
              </w:rPr>
              <w:t>Join path</w:t>
            </w:r>
          </w:p>
        </w:tc>
        <w:tc>
          <w:tcPr>
            <w:tcW w:type="dxa" w:w="3009"/>
          </w:tcPr>
          <w:p>
            <w:pPr>
              <w:jc w:val="center"/>
            </w:pPr>
            <w:r>
              <w:rPr>
                <w:rFonts w:ascii="Times New Roman" w:hAnsi="Times New Roman"/>
                <w:sz w:val="21"/>
              </w:rPr>
            </w:r>
            <w:r>
              <w:rPr>
                <w:rFonts w:ascii="Times New Roman" w:hAnsi="Times New Roman"/>
                <w:b w:val="0"/>
                <w:sz w:val="21"/>
              </w:rPr>
              <w:t>source, target, ON clause</w:t>
            </w:r>
          </w:p>
        </w:tc>
        <w:tc>
          <w:tcPr>
            <w:tcW w:type="dxa" w:w="3009"/>
          </w:tcPr>
          <w:p>
            <w:pPr>
              <w:jc w:val="center"/>
            </w:pPr>
            <w:r>
              <w:rPr>
                <w:rFonts w:ascii="Times New Roman" w:hAnsi="Times New Roman"/>
                <w:sz w:val="21"/>
              </w:rPr>
            </w:r>
            <w:r>
              <w:rPr>
                <w:rFonts w:ascii="Times New Roman" w:hAnsi="Times New Roman"/>
                <w:b w:val="0"/>
                <w:sz w:val="21"/>
              </w:rPr>
              <w:t>Order to OrderItem to Product to Category</w:t>
            </w:r>
          </w:p>
        </w:tc>
      </w:tr>
      <w:tr>
        <w:tc>
          <w:tcPr>
            <w:tcW w:type="dxa" w:w="3009"/>
          </w:tcPr>
          <w:p>
            <w:r>
              <w:rPr>
                <w:rFonts w:ascii="Times New Roman" w:hAnsi="Times New Roman"/>
                <w:sz w:val="21"/>
              </w:rPr>
            </w:r>
            <w:r>
              <w:rPr>
                <w:rFonts w:ascii="Times New Roman" w:hAnsi="Times New Roman"/>
                <w:b w:val="0"/>
                <w:sz w:val="21"/>
              </w:rPr>
              <w:t>Pattern</w:t>
            </w:r>
          </w:p>
        </w:tc>
        <w:tc>
          <w:tcPr>
            <w:tcW w:type="dxa" w:w="300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jc w:val="center"/>
            </w:pPr>
            <w:r>
              <w:rPr>
                <w:rFonts w:ascii="Times New Roman" w:hAnsi="Times New Roman"/>
                <w:sz w:val="21"/>
              </w:rPr>
            </w:r>
            <w:r>
              <w:rPr>
                <w:rFonts w:ascii="Times New Roman" w:hAnsi="Times New Roman"/>
                <w:b w:val="0"/>
                <w:sz w:val="21"/>
              </w:rPr>
              <w:t>ranking: metric plus dimension maps to a bar chart</w:t>
            </w:r>
          </w:p>
        </w:tc>
      </w:tr>
      <w:tr>
        <w:tc>
          <w:tcPr>
            <w:tcW w:type="dxa" w:w="3009"/>
          </w:tcPr>
          <w:p>
            <w:r>
              <w:rPr>
                <w:rFonts w:ascii="Times New Roman" w:hAnsi="Times New Roman"/>
                <w:sz w:val="21"/>
              </w:rPr>
            </w:r>
            <w:r>
              <w:rPr>
                <w:rFonts w:ascii="Times New Roman" w:hAnsi="Times New Roman"/>
                <w:b w:val="0"/>
                <w:sz w:val="21"/>
              </w:rPr>
              <w:t>Permission</w:t>
            </w:r>
          </w:p>
        </w:tc>
        <w:tc>
          <w:tcPr>
            <w:tcW w:type="dxa" w:w="3009"/>
          </w:tcPr>
          <w:p>
            <w:pPr>
              <w:jc w:val="center"/>
            </w:pPr>
            <w:r>
              <w:rPr>
                <w:rFonts w:ascii="Times New Roman" w:hAnsi="Times New Roman"/>
                <w:sz w:val="21"/>
              </w:rPr>
            </w:r>
            <w:r>
              <w:rPr>
                <w:rFonts w:ascii="Times New Roman" w:hAnsi="Times New Roman"/>
                <w:b w:val="0"/>
                <w:sz w:val="21"/>
              </w:rPr>
              <w:t>rule</w:t>
            </w:r>
          </w:p>
        </w:tc>
        <w:tc>
          <w:tcPr>
            <w:tcW w:type="dxa" w:w="3009"/>
          </w:tcPr>
          <w:p>
            <w:pPr>
              <w:jc w:val="center"/>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â€œshow me revenue by ScheduleTask,â€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p>
            <w:pPr>
              <w:spacing w:after="280" w:line="300" w:lineRule="auto"/>
              <w:ind w:left="432" w:right="432"/>
              <w:jc w:val="center"/>
            </w:pPr>
            <w:r>
              <w:rPr>
                <w:rFonts w:ascii="Times New Roman" w:hAnsi="Times New Roman"/>
                <w:i/>
                <w:color w:val="555555"/>
                <w:sz w:val="19"/>
              </w:rPr>
              <w:t>A three-lane sequence diagram: 'Semantic Layer (semantic_layer.py)', 'System Prompt Builder', and 'LLM'. Show the Semantic Layer box listing a few example metric/dimension entries with plain-English descriptions; an arrow labeled 'serializes into ~1,100 tokens' into the System Prompt Builder; then into the LLM, whose output arrow produces an example IntentObject such as {metric_term: 'revenue', dimension_term: 'category'}. Annotate with a small callout showing the user phrase 'earnings' mapping to the approved ID 'revenue' even though 'earnings' appears in no synonym list.</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p>
            <w:pPr>
              <w:spacing w:after="280" w:line="300" w:lineRule="auto"/>
              <w:ind w:left="432" w:right="432"/>
              <w:jc w:val="center"/>
            </w:pPr>
            <w:r>
              <w:rPr>
                <w:rFonts w:ascii="Times New Roman" w:hAnsi="Times New Roman"/>
                <w:i/>
                <w:color w:val="555555"/>
                <w:sz w:val="19"/>
              </w:rPr>
              <w:t>A tree or grid diagram with 'Eleven Analytical Patterns' at the top branching into eleven labeled leaves: KPI, Ranking, Trend, Comparison, Exception, Summary, Segment, Funnel, Cohort, Correlate, Tabular. Under each leaf, show a small icon of its default visualization (matching Table 2/3): card, bar chart, line chart, grouped bar, table, card grid, pie chart, funnel chart, grouped bar, scatter plot, table. Caption note: '~5,610 valid combinations across 15 metrics x 34 dimensions x 11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c>
          <w:tcPr>
            <w:tcW w:type="dxa" w:w="2256"/>
          </w:tcPr>
          <w:p>
            <w:pPr>
              <w:jc w:val="center"/>
            </w:pPr>
            <w:r>
              <w:rPr>
                <w:rFonts w:ascii="Times New Roman" w:hAnsi="Times New Roman"/>
                <w:b/>
                <w:sz w:val="21"/>
              </w:rPr>
            </w:r>
            <w:r>
              <w:rPr>
                <w:rFonts w:ascii="Times New Roman" w:hAnsi="Times New Roman"/>
                <w:b/>
                <w:sz w:val="21"/>
              </w:rPr>
              <w:t>Pattern</w:t>
            </w:r>
          </w:p>
        </w:tc>
        <w:tc>
          <w:tcPr>
            <w:tcW w:type="dxa" w:w="2256"/>
          </w:tcPr>
          <w:p>
            <w:pPr>
              <w:jc w:val="center"/>
            </w:pPr>
            <w:r>
              <w:rPr>
                <w:rFonts w:ascii="Times New Roman" w:hAnsi="Times New Roman"/>
                <w:b/>
                <w:sz w:val="21"/>
              </w:rPr>
            </w:r>
            <w:r>
              <w:rPr>
                <w:rFonts w:ascii="Times New Roman" w:hAnsi="Times New Roman"/>
                <w:b/>
                <w:sz w:val="21"/>
              </w:rPr>
              <w:t>Required slots</w:t>
            </w:r>
          </w:p>
        </w:tc>
        <w:tc>
          <w:tcPr>
            <w:tcW w:type="dxa" w:w="2256"/>
          </w:tcPr>
          <w:p>
            <w:pPr>
              <w:jc w:val="center"/>
            </w:pPr>
            <w:r>
              <w:rPr>
                <w:rFonts w:ascii="Times New Roman" w:hAnsi="Times New Roman"/>
                <w:b/>
                <w:sz w:val="21"/>
              </w:rPr>
            </w:r>
            <w:r>
              <w:rPr>
                <w:rFonts w:ascii="Times New Roman" w:hAnsi="Times New Roman"/>
                <w:b/>
                <w:sz w:val="21"/>
              </w:rPr>
              <w:t>Optional slots</w:t>
            </w:r>
          </w:p>
        </w:tc>
        <w:tc>
          <w:tcPr>
            <w:tcW w:type="dxa" w:w="2256"/>
          </w:tcPr>
          <w:p>
            <w:pPr>
              <w:jc w:val="center"/>
            </w:pPr>
            <w:r>
              <w:rPr>
                <w:rFonts w:ascii="Times New Roman" w:hAnsi="Times New Roman"/>
                <w:b/>
                <w:sz w:val="21"/>
              </w:rPr>
            </w:r>
            <w:r>
              <w:rPr>
                <w:rFonts w:ascii="Times New Roman" w:hAnsi="Times New Roman"/>
                <w:b/>
                <w:sz w:val="21"/>
              </w:rPr>
              <w:t>Default visual</w:t>
            </w:r>
          </w:p>
        </w:tc>
      </w:tr>
      <w:tr>
        <w:tc>
          <w:tcPr>
            <w:tcW w:type="dxa" w:w="2256"/>
          </w:tcPr>
          <w:p>
            <w:r>
              <w:rPr>
                <w:rFonts w:ascii="Times New Roman" w:hAnsi="Times New Roman"/>
                <w:sz w:val="21"/>
              </w:rPr>
            </w:r>
            <w:r>
              <w:rPr>
                <w:rFonts w:ascii="Times New Roman" w:hAnsi="Times New Roman"/>
                <w:b w:val="0"/>
                <w:sz w:val="21"/>
              </w:rPr>
              <w:t>KPI (Aggregate)</w:t>
            </w:r>
          </w:p>
        </w:tc>
        <w:tc>
          <w:tcPr>
            <w:tcW w:type="dxa" w:w="2256"/>
          </w:tcPr>
          <w:p>
            <w:pPr>
              <w:jc w:val="center"/>
            </w:pPr>
            <w:r>
              <w:rPr>
                <w:rFonts w:ascii="Times New Roman" w:hAnsi="Times New Roman"/>
                <w:sz w:val="21"/>
              </w:rPr>
            </w:r>
            <w:r>
              <w:rPr>
                <w:rFonts w:ascii="Times New Roman" w:hAnsi="Times New Roman"/>
                <w:b w:val="0"/>
                <w:sz w:val="21"/>
              </w:rPr>
              <w:t>metric</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kpi_card</w:t>
            </w:r>
          </w:p>
        </w:tc>
      </w:tr>
      <w:tr>
        <w:tc>
          <w:tcPr>
            <w:tcW w:type="dxa" w:w="2256"/>
          </w:tcPr>
          <w:p>
            <w:r>
              <w:rPr>
                <w:rFonts w:ascii="Times New Roman" w:hAnsi="Times New Roman"/>
                <w:sz w:val="21"/>
              </w:rPr>
            </w:r>
            <w:r>
              <w:rPr>
                <w:rFonts w:ascii="Times New Roman" w:hAnsi="Times New Roman"/>
                <w:b w:val="0"/>
                <w:sz w:val="21"/>
              </w:rPr>
              <w:t>Ranking</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 limit</w:t>
            </w:r>
          </w:p>
        </w:tc>
        <w:tc>
          <w:tcPr>
            <w:tcW w:type="dxa" w:w="2256"/>
          </w:tcPr>
          <w:p>
            <w:pPr>
              <w:jc w:val="center"/>
            </w:pPr>
            <w:r>
              <w:rPr>
                <w:rFonts w:ascii="Times New Roman" w:hAnsi="Times New Roman"/>
                <w:sz w:val="21"/>
              </w:rPr>
            </w:r>
            <w:r>
              <w:rPr>
                <w:rFonts w:ascii="Times New Roman" w:hAnsi="Times New Roman"/>
                <w:b w:val="0"/>
                <w:sz w:val="21"/>
              </w:rPr>
              <w:t>bar_chart</w:t>
            </w:r>
          </w:p>
        </w:tc>
      </w:tr>
      <w:tr>
        <w:tc>
          <w:tcPr>
            <w:tcW w:type="dxa" w:w="2256"/>
          </w:tcPr>
          <w:p>
            <w:r>
              <w:rPr>
                <w:rFonts w:ascii="Times New Roman" w:hAnsi="Times New Roman"/>
                <w:sz w:val="21"/>
              </w:rPr>
            </w:r>
            <w:r>
              <w:rPr>
                <w:rFonts w:ascii="Times New Roman" w:hAnsi="Times New Roman"/>
                <w:b w:val="0"/>
                <w:sz w:val="21"/>
              </w:rPr>
              <w:t>Trend</w:t>
            </w:r>
          </w:p>
        </w:tc>
        <w:tc>
          <w:tcPr>
            <w:tcW w:type="dxa" w:w="2256"/>
          </w:tcPr>
          <w:p>
            <w:pPr>
              <w:jc w:val="center"/>
            </w:pPr>
            <w:r>
              <w:rPr>
                <w:rFonts w:ascii="Times New Roman" w:hAnsi="Times New Roman"/>
                <w:sz w:val="21"/>
              </w:rPr>
            </w:r>
            <w:r>
              <w:rPr>
                <w:rFonts w:ascii="Times New Roman" w:hAnsi="Times New Roman"/>
                <w:b w:val="0"/>
                <w:sz w:val="21"/>
              </w:rPr>
              <w:t>metric, time_grain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line_chart</w:t>
            </w:r>
          </w:p>
        </w:tc>
      </w:tr>
      <w:tr>
        <w:tc>
          <w:tcPr>
            <w:tcW w:type="dxa" w:w="2256"/>
          </w:tcPr>
          <w:p>
            <w:r>
              <w:rPr>
                <w:rFonts w:ascii="Times New Roman" w:hAnsi="Times New Roman"/>
                <w:sz w:val="21"/>
              </w:rPr>
            </w:r>
            <w:r>
              <w:rPr>
                <w:rFonts w:ascii="Times New Roman" w:hAnsi="Times New Roman"/>
                <w:b w:val="0"/>
                <w:sz w:val="21"/>
              </w:rPr>
              <w:t>Comparison</w:t>
            </w:r>
          </w:p>
        </w:tc>
        <w:tc>
          <w:tcPr>
            <w:tcW w:type="dxa" w:w="2256"/>
          </w:tcPr>
          <w:p>
            <w:pPr>
              <w:jc w:val="center"/>
            </w:pPr>
            <w:r>
              <w:rPr>
                <w:rFonts w:ascii="Times New Roman" w:hAnsi="Times New Roman"/>
                <w:sz w:val="21"/>
              </w:rPr>
            </w:r>
            <w:r>
              <w:rPr>
                <w:rFonts w:ascii="Times New Roman" w:hAnsi="Times New Roman"/>
                <w:b w:val="0"/>
                <w:sz w:val="21"/>
              </w:rPr>
              <w:t>metric, segment</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grouped_bar</w:t>
            </w:r>
          </w:p>
        </w:tc>
      </w:tr>
      <w:tr>
        <w:tc>
          <w:tcPr>
            <w:tcW w:type="dxa" w:w="2256"/>
          </w:tcPr>
          <w:p>
            <w:r>
              <w:rPr>
                <w:rFonts w:ascii="Times New Roman" w:hAnsi="Times New Roman"/>
                <w:sz w:val="21"/>
              </w:rPr>
            </w:r>
            <w:r>
              <w:rPr>
                <w:rFonts w:ascii="Times New Roman" w:hAnsi="Times New Roman"/>
                <w:b w:val="0"/>
                <w:sz w:val="21"/>
              </w:rPr>
              <w:t>Exception</w:t>
            </w:r>
          </w:p>
        </w:tc>
        <w:tc>
          <w:tcPr>
            <w:tcW w:type="dxa" w:w="2256"/>
          </w:tcPr>
          <w:p>
            <w:pPr>
              <w:jc w:val="center"/>
            </w:pPr>
            <w:r>
              <w:rPr>
                <w:rFonts w:ascii="Times New Roman" w:hAnsi="Times New Roman"/>
                <w:sz w:val="21"/>
              </w:rPr>
            </w:r>
            <w:r>
              <w:rPr>
                <w:rFonts w:ascii="Times New Roman" w:hAnsi="Times New Roman"/>
                <w:b w:val="0"/>
                <w:sz w:val="21"/>
              </w:rPr>
              <w:t>metric, threshold</w:t>
            </w:r>
          </w:p>
        </w:tc>
        <w:tc>
          <w:tcPr>
            <w:tcW w:type="dxa" w:w="2256"/>
          </w:tcPr>
          <w:p>
            <w:pPr>
              <w:jc w:val="center"/>
            </w:pPr>
            <w:r>
              <w:rPr>
                <w:rFonts w:ascii="Times New Roman" w:hAnsi="Times New Roman"/>
                <w:sz w:val="21"/>
              </w:rPr>
            </w:r>
            <w:r>
              <w:rPr>
                <w:rFonts w:ascii="Times New Roman" w:hAnsi="Times New Roman"/>
                <w:b w:val="0"/>
                <w:sz w:val="21"/>
              </w:rPr>
              <w:t>dimension, time_rule</w:t>
            </w:r>
          </w:p>
        </w:tc>
        <w:tc>
          <w:tcPr>
            <w:tcW w:type="dxa" w:w="2256"/>
          </w:tcPr>
          <w:p>
            <w:pPr>
              <w:jc w:val="center"/>
            </w:pPr>
            <w:r>
              <w:rPr>
                <w:rFonts w:ascii="Times New Roman" w:hAnsi="Times New Roman"/>
                <w:sz w:val="21"/>
              </w:rPr>
            </w:r>
            <w:r>
              <w:rPr>
                <w:rFonts w:ascii="Times New Roman" w:hAnsi="Times New Roman"/>
                <w:b w:val="0"/>
                <w:sz w:val="21"/>
              </w:rPr>
              <w:t>table</w:t>
            </w:r>
          </w:p>
        </w:tc>
      </w:tr>
      <w:tr>
        <w:tc>
          <w:tcPr>
            <w:tcW w:type="dxa" w:w="2256"/>
          </w:tcPr>
          <w:p>
            <w:r>
              <w:rPr>
                <w:rFonts w:ascii="Times New Roman" w:hAnsi="Times New Roman"/>
                <w:sz w:val="21"/>
              </w:rPr>
            </w:r>
            <w:r>
              <w:rPr>
                <w:rFonts w:ascii="Times New Roman" w:hAnsi="Times New Roman"/>
                <w:b w:val="0"/>
                <w:sz w:val="21"/>
              </w:rPr>
              <w:t>Summary</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multi_card</w:t>
            </w:r>
          </w:p>
        </w:tc>
      </w:tr>
      <w:tr>
        <w:tc>
          <w:tcPr>
            <w:tcW w:type="dxa" w:w="2256"/>
          </w:tcPr>
          <w:p>
            <w:r>
              <w:rPr>
                <w:rFonts w:ascii="Times New Roman" w:hAnsi="Times New Roman"/>
                <w:sz w:val="21"/>
              </w:rPr>
            </w:r>
            <w:r>
              <w:rPr>
                <w:rFonts w:ascii="Times New Roman" w:hAnsi="Times New Roman"/>
                <w:b w:val="0"/>
                <w:sz w:val="21"/>
              </w:rPr>
              <w:t>Segment</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pie_chart</w:t>
            </w:r>
          </w:p>
        </w:tc>
      </w:tr>
      <w:tr>
        <w:tc>
          <w:tcPr>
            <w:tcW w:type="dxa" w:w="2256"/>
          </w:tcPr>
          <w:p>
            <w:r>
              <w:rPr>
                <w:rFonts w:ascii="Times New Roman" w:hAnsi="Times New Roman"/>
                <w:sz w:val="21"/>
              </w:rPr>
            </w:r>
            <w:r>
              <w:rPr>
                <w:rFonts w:ascii="Times New Roman" w:hAnsi="Times New Roman"/>
                <w:b w:val="0"/>
                <w:sz w:val="21"/>
              </w:rPr>
              <w:t>Funnel</w:t>
            </w:r>
          </w:p>
        </w:tc>
        <w:tc>
          <w:tcPr>
            <w:tcW w:type="dxa" w:w="2256"/>
          </w:tcPr>
          <w:p>
            <w:pPr>
              <w:jc w:val="center"/>
            </w:pPr>
            <w:r>
              <w:rPr>
                <w:rFonts w:ascii="Times New Roman" w:hAnsi="Times New Roman"/>
                <w:sz w:val="21"/>
              </w:rPr>
            </w:r>
            <w:r>
              <w:rPr>
                <w:rFonts w:ascii="Times New Roman" w:hAnsi="Times New Roman"/>
                <w:b w:val="0"/>
                <w:sz w:val="21"/>
              </w:rPr>
              <w:t>metric, stages</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funnel_chart</w:t>
            </w:r>
          </w:p>
        </w:tc>
      </w:tr>
      <w:tr>
        <w:tc>
          <w:tcPr>
            <w:tcW w:type="dxa" w:w="2256"/>
          </w:tcPr>
          <w:p>
            <w:r>
              <w:rPr>
                <w:rFonts w:ascii="Times New Roman" w:hAnsi="Times New Roman"/>
                <w:sz w:val="21"/>
              </w:rPr>
            </w:r>
            <w:r>
              <w:rPr>
                <w:rFonts w:ascii="Times New Roman" w:hAnsi="Times New Roman"/>
                <w:b w:val="0"/>
                <w:sz w:val="21"/>
              </w:rPr>
              <w:t>Cohort</w:t>
            </w:r>
          </w:p>
        </w:tc>
        <w:tc>
          <w:tcPr>
            <w:tcW w:type="dxa" w:w="2256"/>
          </w:tcPr>
          <w:p>
            <w:pPr>
              <w:jc w:val="center"/>
            </w:pPr>
            <w:r>
              <w:rPr>
                <w:rFonts w:ascii="Times New Roman" w:hAnsi="Times New Roman"/>
                <w:sz w:val="21"/>
              </w:rPr>
            </w:r>
            <w:r>
              <w:rPr>
                <w:rFonts w:ascii="Times New Roman" w:hAnsi="Times New Roman"/>
                <w:b w:val="0"/>
                <w:sz w:val="21"/>
              </w:rPr>
              <w:t>metric, group_def</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grouped_bar</w:t>
            </w:r>
          </w:p>
        </w:tc>
      </w:tr>
      <w:tr>
        <w:tc>
          <w:tcPr>
            <w:tcW w:type="dxa" w:w="2256"/>
          </w:tcPr>
          <w:p>
            <w:r>
              <w:rPr>
                <w:rFonts w:ascii="Times New Roman" w:hAnsi="Times New Roman"/>
                <w:sz w:val="21"/>
              </w:rPr>
            </w:r>
            <w:r>
              <w:rPr>
                <w:rFonts w:ascii="Times New Roman" w:hAnsi="Times New Roman"/>
                <w:b w:val="0"/>
                <w:sz w:val="21"/>
              </w:rPr>
              <w:t>Correlate</w:t>
            </w:r>
          </w:p>
        </w:tc>
        <w:tc>
          <w:tcPr>
            <w:tcW w:type="dxa" w:w="2256"/>
          </w:tcPr>
          <w:p>
            <w:pPr>
              <w:jc w:val="center"/>
            </w:pPr>
            <w:r>
              <w:rPr>
                <w:rFonts w:ascii="Times New Roman" w:hAnsi="Times New Roman"/>
                <w:sz w:val="21"/>
              </w:rPr>
            </w:r>
            <w:r>
              <w:rPr>
                <w:rFonts w:ascii="Times New Roman" w:hAnsi="Times New Roman"/>
                <w:b w:val="0"/>
                <w:sz w:val="21"/>
              </w:rPr>
              <w:t>metric, attribute</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scatter_plot</w:t>
            </w:r>
          </w:p>
        </w:tc>
      </w:tr>
      <w:tr>
        <w:tc>
          <w:tcPr>
            <w:tcW w:type="dxa" w:w="2256"/>
          </w:tcPr>
          <w:p>
            <w:r>
              <w:rPr>
                <w:rFonts w:ascii="Times New Roman" w:hAnsi="Times New Roman"/>
                <w:sz w:val="21"/>
              </w:rPr>
            </w:r>
            <w:r>
              <w:rPr>
                <w:rFonts w:ascii="Times New Roman" w:hAnsi="Times New Roman"/>
                <w:b w:val="0"/>
                <w:sz w:val="21"/>
              </w:rPr>
              <w:t>Tabular</w:t>
            </w:r>
          </w:p>
        </w:tc>
        <w:tc>
          <w:tcPr>
            <w:tcW w:type="dxa" w:w="2256"/>
          </w:tcPr>
          <w:p>
            <w:pPr>
              <w:jc w:val="center"/>
            </w:pPr>
            <w:r>
              <w:rPr>
                <w:rFonts w:ascii="Times New Roman" w:hAnsi="Times New Roman"/>
                <w:sz w:val="21"/>
              </w:rPr>
            </w:r>
            <w:r>
              <w:rPr>
                <w:rFonts w:ascii="Times New Roman" w:hAnsi="Times New Roman"/>
                <w:b w:val="0"/>
                <w:sz w:val="21"/>
              </w:rPr>
              <w:t>dimension</w:t>
            </w:r>
          </w:p>
        </w:tc>
        <w:tc>
          <w:tcPr>
            <w:tcW w:type="dxa" w:w="2256"/>
          </w:tcPr>
          <w:p>
            <w:pPr>
              <w:jc w:val="center"/>
            </w:pPr>
            <w:r>
              <w:rPr>
                <w:rFonts w:ascii="Times New Roman" w:hAnsi="Times New Roman"/>
                <w:sz w:val="21"/>
              </w:rPr>
            </w:r>
            <w:r>
              <w:rPr>
                <w:rFonts w:ascii="Times New Roman" w:hAnsi="Times New Roman"/>
                <w:b w:val="0"/>
                <w:sz w:val="21"/>
              </w:rPr>
              <w:t>filters, time_rule</w:t>
            </w:r>
          </w:p>
        </w:tc>
        <w:tc>
          <w:tcPr>
            <w:tcW w:type="dxa" w:w="225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p>
            <w:pPr>
              <w:spacing w:after="280" w:line="300" w:lineRule="auto"/>
              <w:ind w:left="432" w:right="432"/>
              <w:jc w:val="center"/>
            </w:pPr>
            <w:r>
              <w:rPr>
                <w:rFonts w:ascii="Times New Roman" w:hAnsi="Times New Roman"/>
                <w:i/>
                <w:color w:val="555555"/>
                <w:sz w:val="19"/>
              </w:rPr>
              <w:t>A vertical two-stage flowchart. A crafted/adversarial input enters at the top with a warning icon. Layer 1 box: 'Parameterized Query Engine â€” user text never enters the SQL string; only IDs and bound values appear.' Arrow down to Layer 2 box: 'Post-Compilation Safety Scanner â€” rejects non-SELECT statements, UNION/EXCEPT/INTERSECT, EXEC, and system-table references (16 forbidden patterns checked).' Below, split into two outcomes: a green 'Safe SQL Executed' box for a legitimate query, and a red 'SecurityError Raised' box for a rejected one, showing the attack is caught before it can reach the database regardless of which layer catches it.</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Intent</w:t>
            </w:r>
          </w:p>
        </w:tc>
        <w:tc>
          <w:tcPr>
            <w:tcW w:type="dxa" w:w="3009"/>
          </w:tcPr>
          <w:p>
            <w:pPr>
              <w:jc w:val="center"/>
            </w:pPr>
            <w:r>
              <w:rPr>
                <w:rFonts w:ascii="Times New Roman" w:hAnsi="Times New Roman"/>
                <w:b/>
                <w:sz w:val="21"/>
              </w:rPr>
            </w:r>
            <w:r>
              <w:rPr>
                <w:rFonts w:ascii="Times New Roman" w:hAnsi="Times New Roman"/>
                <w:b/>
                <w:sz w:val="21"/>
              </w:rPr>
              <w:t>Result shape</w:t>
            </w:r>
          </w:p>
        </w:tc>
        <w:tc>
          <w:tcPr>
            <w:tcW w:type="dxa" w:w="3009"/>
          </w:tcPr>
          <w:p>
            <w:pPr>
              <w:jc w:val="center"/>
            </w:pPr>
            <w:r>
              <w:rPr>
                <w:rFonts w:ascii="Times New Roman" w:hAnsi="Times New Roman"/>
                <w:b/>
                <w:sz w:val="21"/>
              </w:rPr>
            </w:r>
            <w:r>
              <w:rPr>
                <w:rFonts w:ascii="Times New Roman" w:hAnsi="Times New Roman"/>
                <w:b/>
                <w:sz w:val="21"/>
              </w:rPr>
              <w:t>Selected visualization</w:t>
            </w:r>
          </w:p>
        </w:tc>
      </w:tr>
      <w:tr>
        <w:tc>
          <w:tcPr>
            <w:tcW w:type="dxa" w:w="3009"/>
          </w:tcPr>
          <w:p>
            <w:r>
              <w:rPr>
                <w:rFonts w:ascii="Times New Roman" w:hAnsi="Times New Roman"/>
                <w:sz w:val="21"/>
              </w:rPr>
            </w:r>
            <w:r>
              <w:rPr>
                <w:rFonts w:ascii="Times New Roman" w:hAnsi="Times New Roman"/>
                <w:b w:val="0"/>
                <w:sz w:val="21"/>
              </w:rPr>
              <w:t>KPI</w:t>
            </w:r>
          </w:p>
        </w:tc>
        <w:tc>
          <w:tcPr>
            <w:tcW w:type="dxa" w:w="3009"/>
          </w:tcPr>
          <w:p>
            <w:pPr>
              <w:jc w:val="center"/>
            </w:pPr>
            <w:r>
              <w:rPr>
                <w:rFonts w:ascii="Times New Roman" w:hAnsi="Times New Roman"/>
                <w:sz w:val="21"/>
              </w:rPr>
            </w:r>
            <w:r>
              <w:rPr>
                <w:rFonts w:ascii="Times New Roman" w:hAnsi="Times New Roman"/>
                <w:b w:val="0"/>
                <w:sz w:val="21"/>
              </w:rPr>
              <w:t>scalar</w:t>
            </w:r>
          </w:p>
        </w:tc>
        <w:tc>
          <w:tcPr>
            <w:tcW w:type="dxa" w:w="3009"/>
          </w:tcPr>
          <w:p>
            <w:pPr>
              <w:jc w:val="center"/>
            </w:pPr>
            <w:r>
              <w:rPr>
                <w:rFonts w:ascii="Times New Roman" w:hAnsi="Times New Roman"/>
                <w:sz w:val="21"/>
              </w:rPr>
            </w:r>
            <w:r>
              <w:rPr>
                <w:rFonts w:ascii="Times New Roman" w:hAnsi="Times New Roman"/>
                <w:b w:val="0"/>
                <w:sz w:val="21"/>
              </w:rPr>
              <w:t>KPI card</w:t>
            </w:r>
          </w:p>
        </w:tc>
      </w:tr>
      <w:tr>
        <w:tc>
          <w:tcPr>
            <w:tcW w:type="dxa" w:w="3009"/>
          </w:tcPr>
          <w:p>
            <w:r>
              <w:rPr>
                <w:rFonts w:ascii="Times New Roman" w:hAnsi="Times New Roman"/>
                <w:sz w:val="21"/>
              </w:rPr>
            </w:r>
            <w:r>
              <w:rPr>
                <w:rFonts w:ascii="Times New Roman" w:hAnsi="Times New Roman"/>
                <w:b w:val="0"/>
                <w:sz w:val="21"/>
              </w:rPr>
              <w:t>Ranking</w:t>
            </w:r>
          </w:p>
        </w:tc>
        <w:tc>
          <w:tcPr>
            <w:tcW w:type="dxa" w:w="3009"/>
          </w:tcPr>
          <w:p>
            <w:pPr>
              <w:jc w:val="center"/>
            </w:pPr>
            <w:r>
              <w:rPr>
                <w:rFonts w:ascii="Times New Roman" w:hAnsi="Times New Roman"/>
                <w:sz w:val="21"/>
              </w:rPr>
            </w:r>
            <w:r>
              <w:rPr>
                <w:rFonts w:ascii="Times New Roman" w:hAnsi="Times New Roman"/>
                <w:b w:val="0"/>
                <w:sz w:val="21"/>
              </w:rPr>
              <w:t>1 measure, up to 20 categories</w:t>
            </w:r>
          </w:p>
        </w:tc>
        <w:tc>
          <w:tcPr>
            <w:tcW w:type="dxa" w:w="3009"/>
          </w:tcPr>
          <w:p>
            <w:pPr>
              <w:jc w:val="center"/>
            </w:pPr>
            <w:r>
              <w:rPr>
                <w:rFonts w:ascii="Times New Roman" w:hAnsi="Times New Roman"/>
                <w:sz w:val="21"/>
              </w:rPr>
            </w:r>
            <w:r>
              <w:rPr>
                <w:rFonts w:ascii="Times New Roman" w:hAnsi="Times New Roman"/>
                <w:b w:val="0"/>
                <w:sz w:val="21"/>
              </w:rPr>
              <w:t>Horizontal bar chart</w:t>
            </w:r>
          </w:p>
        </w:tc>
      </w:tr>
      <w:tr>
        <w:tc>
          <w:tcPr>
            <w:tcW w:type="dxa" w:w="3009"/>
          </w:tcPr>
          <w:p>
            <w:r>
              <w:rPr>
                <w:rFonts w:ascii="Times New Roman" w:hAnsi="Times New Roman"/>
                <w:sz w:val="21"/>
              </w:rPr>
            </w:r>
            <w:r>
              <w:rPr>
                <w:rFonts w:ascii="Times New Roman" w:hAnsi="Times New Roman"/>
                <w:b w:val="0"/>
                <w:sz w:val="21"/>
              </w:rPr>
              <w:t>Trend</w:t>
            </w:r>
          </w:p>
        </w:tc>
        <w:tc>
          <w:tcPr>
            <w:tcW w:type="dxa" w:w="3009"/>
          </w:tcPr>
          <w:p>
            <w:pPr>
              <w:jc w:val="center"/>
            </w:pPr>
            <w:r>
              <w:rPr>
                <w:rFonts w:ascii="Times New Roman" w:hAnsi="Times New Roman"/>
                <w:sz w:val="21"/>
              </w:rPr>
            </w:r>
            <w:r>
              <w:rPr>
                <w:rFonts w:ascii="Times New Roman" w:hAnsi="Times New Roman"/>
                <w:b w:val="0"/>
                <w:sz w:val="21"/>
              </w:rPr>
              <w:t>1 measure, time series</w:t>
            </w:r>
          </w:p>
        </w:tc>
        <w:tc>
          <w:tcPr>
            <w:tcW w:type="dxa" w:w="3009"/>
          </w:tcPr>
          <w:p>
            <w:pPr>
              <w:jc w:val="center"/>
            </w:pPr>
            <w:r>
              <w:rPr>
                <w:rFonts w:ascii="Times New Roman" w:hAnsi="Times New Roman"/>
                <w:sz w:val="21"/>
              </w:rPr>
            </w:r>
            <w:r>
              <w:rPr>
                <w:rFonts w:ascii="Times New Roman" w:hAnsi="Times New Roman"/>
                <w:b w:val="0"/>
                <w:sz w:val="21"/>
              </w:rPr>
              <w:t>Line chart</w:t>
            </w:r>
          </w:p>
        </w:tc>
      </w:tr>
      <w:tr>
        <w:tc>
          <w:tcPr>
            <w:tcW w:type="dxa" w:w="3009"/>
          </w:tcPr>
          <w:p>
            <w:r>
              <w:rPr>
                <w:rFonts w:ascii="Times New Roman" w:hAnsi="Times New Roman"/>
                <w:sz w:val="21"/>
              </w:rPr>
            </w:r>
            <w:r>
              <w:rPr>
                <w:rFonts w:ascii="Times New Roman" w:hAnsi="Times New Roman"/>
                <w:b w:val="0"/>
                <w:sz w:val="21"/>
              </w:rPr>
              <w:t>Comparison</w:t>
            </w:r>
          </w:p>
        </w:tc>
        <w:tc>
          <w:tcPr>
            <w:tcW w:type="dxa" w:w="3009"/>
          </w:tcPr>
          <w:p>
            <w:pPr>
              <w:jc w:val="center"/>
            </w:pPr>
            <w:r>
              <w:rPr>
                <w:rFonts w:ascii="Times New Roman" w:hAnsi="Times New Roman"/>
                <w:sz w:val="21"/>
              </w:rPr>
            </w:r>
            <w:r>
              <w:rPr>
                <w:rFonts w:ascii="Times New Roman" w:hAnsi="Times New Roman"/>
                <w:b w:val="0"/>
                <w:sz w:val="21"/>
              </w:rPr>
              <w:t>1 measure, 2-4 segments</w:t>
            </w:r>
          </w:p>
        </w:tc>
        <w:tc>
          <w:tcPr>
            <w:tcW w:type="dxa" w:w="3009"/>
          </w:tcPr>
          <w:p>
            <w:pPr>
              <w:jc w:val="center"/>
            </w:pPr>
            <w:r>
              <w:rPr>
                <w:rFonts w:ascii="Times New Roman" w:hAnsi="Times New Roman"/>
                <w:sz w:val="21"/>
              </w:rPr>
            </w:r>
            <w:r>
              <w:rPr>
                <w:rFonts w:ascii="Times New Roman" w:hAnsi="Times New Roman"/>
                <w:b w:val="0"/>
                <w:sz w:val="21"/>
              </w:rPr>
              <w:t>Grouped bar chart</w:t>
            </w:r>
          </w:p>
        </w:tc>
      </w:tr>
      <w:tr>
        <w:tc>
          <w:tcPr>
            <w:tcW w:type="dxa" w:w="3009"/>
          </w:tcPr>
          <w:p>
            <w:r>
              <w:rPr>
                <w:rFonts w:ascii="Times New Roman" w:hAnsi="Times New Roman"/>
                <w:sz w:val="21"/>
              </w:rPr>
            </w:r>
            <w:r>
              <w:rPr>
                <w:rFonts w:ascii="Times New Roman" w:hAnsi="Times New Roman"/>
                <w:b w:val="0"/>
                <w:sz w:val="21"/>
              </w:rPr>
              <w:t>Exception</w:t>
            </w:r>
          </w:p>
        </w:tc>
        <w:tc>
          <w:tcPr>
            <w:tcW w:type="dxa" w:w="3009"/>
          </w:tcPr>
          <w:p>
            <w:pPr>
              <w:jc w:val="center"/>
            </w:pPr>
            <w:r>
              <w:rPr>
                <w:rFonts w:ascii="Times New Roman" w:hAnsi="Times New Roman"/>
                <w:sz w:val="21"/>
              </w:rPr>
            </w:r>
            <w:r>
              <w:rPr>
                <w:rFonts w:ascii="Times New Roman" w:hAnsi="Times New Roman"/>
                <w:b w:val="0"/>
                <w:sz w:val="21"/>
              </w:rPr>
              <w:t>row-level detail</w:t>
            </w:r>
          </w:p>
        </w:tc>
        <w:tc>
          <w:tcPr>
            <w:tcW w:type="dxa" w:w="3009"/>
          </w:tcPr>
          <w:p>
            <w:pPr>
              <w:jc w:val="center"/>
            </w:pPr>
            <w:r>
              <w:rPr>
                <w:rFonts w:ascii="Times New Roman" w:hAnsi="Times New Roman"/>
                <w:sz w:val="21"/>
              </w:rPr>
            </w:r>
            <w:r>
              <w:rPr>
                <w:rFonts w:ascii="Times New Roman" w:hAnsi="Times New Roman"/>
                <w:b w:val="0"/>
                <w:sz w:val="21"/>
              </w:rPr>
              <w:t>Sortable table</w:t>
            </w:r>
          </w:p>
        </w:tc>
      </w:tr>
      <w:tr>
        <w:tc>
          <w:tcPr>
            <w:tcW w:type="dxa" w:w="3009"/>
          </w:tcPr>
          <w:p>
            <w:r>
              <w:rPr>
                <w:rFonts w:ascii="Times New Roman" w:hAnsi="Times New Roman"/>
                <w:sz w:val="21"/>
              </w:rPr>
            </w:r>
            <w:r>
              <w:rPr>
                <w:rFonts w:ascii="Times New Roman" w:hAnsi="Times New Roman"/>
                <w:b w:val="0"/>
                <w:sz w:val="21"/>
              </w:rPr>
              <w:t>Summary</w:t>
            </w:r>
          </w:p>
        </w:tc>
        <w:tc>
          <w:tcPr>
            <w:tcW w:type="dxa" w:w="3009"/>
          </w:tcPr>
          <w:p>
            <w:pPr>
              <w:jc w:val="center"/>
            </w:pPr>
            <w:r>
              <w:rPr>
                <w:rFonts w:ascii="Times New Roman" w:hAnsi="Times New Roman"/>
                <w:sz w:val="21"/>
              </w:rPr>
            </w:r>
            <w:r>
              <w:rPr>
                <w:rFonts w:ascii="Times New Roman" w:hAnsi="Times New Roman"/>
                <w:b w:val="0"/>
                <w:sz w:val="21"/>
              </w:rPr>
              <w:t>2-4 scalar measures</w:t>
            </w:r>
          </w:p>
        </w:tc>
        <w:tc>
          <w:tcPr>
            <w:tcW w:type="dxa" w:w="3009"/>
          </w:tcPr>
          <w:p>
            <w:pPr>
              <w:jc w:val="center"/>
            </w:pPr>
            <w:r>
              <w:rPr>
                <w:rFonts w:ascii="Times New Roman" w:hAnsi="Times New Roman"/>
                <w:sz w:val="21"/>
              </w:rPr>
            </w:r>
            <w:r>
              <w:rPr>
                <w:rFonts w:ascii="Times New Roman" w:hAnsi="Times New Roman"/>
                <w:b w:val="0"/>
                <w:sz w:val="21"/>
              </w:rPr>
              <w:t>KPI card grid</w:t>
            </w:r>
          </w:p>
        </w:tc>
      </w:tr>
      <w:tr>
        <w:tc>
          <w:tcPr>
            <w:tcW w:type="dxa" w:w="3009"/>
          </w:tcPr>
          <w:p>
            <w:r>
              <w:rPr>
                <w:rFonts w:ascii="Times New Roman" w:hAnsi="Times New Roman"/>
                <w:sz w:val="21"/>
              </w:rPr>
            </w:r>
            <w:r>
              <w:rPr>
                <w:rFonts w:ascii="Times New Roman" w:hAnsi="Times New Roman"/>
                <w:b w:val="0"/>
                <w:sz w:val="21"/>
              </w:rPr>
              <w:t>Segment</w:t>
            </w:r>
          </w:p>
        </w:tc>
        <w:tc>
          <w:tcPr>
            <w:tcW w:type="dxa" w:w="3009"/>
          </w:tcPr>
          <w:p>
            <w:pPr>
              <w:jc w:val="center"/>
            </w:pPr>
            <w:r>
              <w:rPr>
                <w:rFonts w:ascii="Times New Roman" w:hAnsi="Times New Roman"/>
                <w:sz w:val="21"/>
              </w:rPr>
            </w:r>
            <w:r>
              <w:rPr>
                <w:rFonts w:ascii="Times New Roman" w:hAnsi="Times New Roman"/>
                <w:b w:val="0"/>
                <w:sz w:val="21"/>
              </w:rPr>
              <w:t>1 measure, categorical</w:t>
            </w:r>
          </w:p>
        </w:tc>
        <w:tc>
          <w:tcPr>
            <w:tcW w:type="dxa" w:w="3009"/>
          </w:tcPr>
          <w:p>
            <w:pPr>
              <w:jc w:val="center"/>
            </w:pPr>
            <w:r>
              <w:rPr>
                <w:rFonts w:ascii="Times New Roman" w:hAnsi="Times New Roman"/>
                <w:sz w:val="21"/>
              </w:rPr>
            </w:r>
            <w:r>
              <w:rPr>
                <w:rFonts w:ascii="Times New Roman" w:hAnsi="Times New Roman"/>
                <w:b w:val="0"/>
                <w:sz w:val="21"/>
              </w:rPr>
              <w:t>Pie chart</w:t>
            </w:r>
          </w:p>
        </w:tc>
      </w:tr>
      <w:tr>
        <w:tc>
          <w:tcPr>
            <w:tcW w:type="dxa" w:w="3009"/>
          </w:tcPr>
          <w:p>
            <w:r>
              <w:rPr>
                <w:rFonts w:ascii="Times New Roman" w:hAnsi="Times New Roman"/>
                <w:sz w:val="21"/>
              </w:rPr>
            </w:r>
            <w:r>
              <w:rPr>
                <w:rFonts w:ascii="Times New Roman" w:hAnsi="Times New Roman"/>
                <w:b w:val="0"/>
                <w:sz w:val="21"/>
              </w:rPr>
              <w:t>Funnel</w:t>
            </w:r>
          </w:p>
        </w:tc>
        <w:tc>
          <w:tcPr>
            <w:tcW w:type="dxa" w:w="3009"/>
          </w:tcPr>
          <w:p>
            <w:pPr>
              <w:jc w:val="center"/>
            </w:pPr>
            <w:r>
              <w:rPr>
                <w:rFonts w:ascii="Times New Roman" w:hAnsi="Times New Roman"/>
                <w:sz w:val="21"/>
              </w:rPr>
            </w:r>
            <w:r>
              <w:rPr>
                <w:rFonts w:ascii="Times New Roman" w:hAnsi="Times New Roman"/>
                <w:b w:val="0"/>
                <w:sz w:val="21"/>
              </w:rPr>
              <w:t>ordered conversion stages</w:t>
            </w:r>
          </w:p>
        </w:tc>
        <w:tc>
          <w:tcPr>
            <w:tcW w:type="dxa" w:w="3009"/>
          </w:tcPr>
          <w:p>
            <w:pPr>
              <w:jc w:val="center"/>
            </w:pPr>
            <w:r>
              <w:rPr>
                <w:rFonts w:ascii="Times New Roman" w:hAnsi="Times New Roman"/>
                <w:sz w:val="21"/>
              </w:rPr>
            </w:r>
            <w:r>
              <w:rPr>
                <w:rFonts w:ascii="Times New Roman" w:hAnsi="Times New Roman"/>
                <w:b w:val="0"/>
                <w:sz w:val="21"/>
              </w:rPr>
              <w:t>Funnel chart</w:t>
            </w:r>
          </w:p>
        </w:tc>
      </w:tr>
      <w:tr>
        <w:tc>
          <w:tcPr>
            <w:tcW w:type="dxa" w:w="3009"/>
          </w:tcPr>
          <w:p>
            <w:r>
              <w:rPr>
                <w:rFonts w:ascii="Times New Roman" w:hAnsi="Times New Roman"/>
                <w:sz w:val="21"/>
              </w:rPr>
            </w:r>
            <w:r>
              <w:rPr>
                <w:rFonts w:ascii="Times New Roman" w:hAnsi="Times New Roman"/>
                <w:b w:val="0"/>
                <w:sz w:val="21"/>
              </w:rPr>
              <w:t>Cohort</w:t>
            </w:r>
          </w:p>
        </w:tc>
        <w:tc>
          <w:tcPr>
            <w:tcW w:type="dxa" w:w="3009"/>
          </w:tcPr>
          <w:p>
            <w:pPr>
              <w:jc w:val="center"/>
            </w:pPr>
            <w:r>
              <w:rPr>
                <w:rFonts w:ascii="Times New Roman" w:hAnsi="Times New Roman"/>
                <w:sz w:val="21"/>
              </w:rPr>
            </w:r>
            <w:r>
              <w:rPr>
                <w:rFonts w:ascii="Times New Roman" w:hAnsi="Times New Roman"/>
                <w:b w:val="0"/>
                <w:sz w:val="21"/>
              </w:rPr>
              <w:t>1 measure, 2+ groups</w:t>
            </w:r>
          </w:p>
        </w:tc>
        <w:tc>
          <w:tcPr>
            <w:tcW w:type="dxa" w:w="3009"/>
          </w:tcPr>
          <w:p>
            <w:pPr>
              <w:jc w:val="center"/>
            </w:pPr>
            <w:r>
              <w:rPr>
                <w:rFonts w:ascii="Times New Roman" w:hAnsi="Times New Roman"/>
                <w:sz w:val="21"/>
              </w:rPr>
            </w:r>
            <w:r>
              <w:rPr>
                <w:rFonts w:ascii="Times New Roman" w:hAnsi="Times New Roman"/>
                <w:b w:val="0"/>
                <w:sz w:val="21"/>
              </w:rPr>
              <w:t>Grouped bar chart</w:t>
            </w:r>
          </w:p>
        </w:tc>
      </w:tr>
      <w:tr>
        <w:tc>
          <w:tcPr>
            <w:tcW w:type="dxa" w:w="3009"/>
          </w:tcPr>
          <w:p>
            <w:r>
              <w:rPr>
                <w:rFonts w:ascii="Times New Roman" w:hAnsi="Times New Roman"/>
                <w:sz w:val="21"/>
              </w:rPr>
            </w:r>
            <w:r>
              <w:rPr>
                <w:rFonts w:ascii="Times New Roman" w:hAnsi="Times New Roman"/>
                <w:b w:val="0"/>
                <w:sz w:val="21"/>
              </w:rPr>
              <w:t>Correlate</w:t>
            </w:r>
          </w:p>
        </w:tc>
        <w:tc>
          <w:tcPr>
            <w:tcW w:type="dxa" w:w="3009"/>
          </w:tcPr>
          <w:p>
            <w:pPr>
              <w:jc w:val="center"/>
            </w:pPr>
            <w:r>
              <w:rPr>
                <w:rFonts w:ascii="Times New Roman" w:hAnsi="Times New Roman"/>
                <w:sz w:val="21"/>
              </w:rPr>
            </w:r>
            <w:r>
              <w:rPr>
                <w:rFonts w:ascii="Times New Roman" w:hAnsi="Times New Roman"/>
                <w:b w:val="0"/>
                <w:sz w:val="21"/>
              </w:rPr>
              <w:t>2 measures, continuous</w:t>
            </w:r>
          </w:p>
        </w:tc>
        <w:tc>
          <w:tcPr>
            <w:tcW w:type="dxa" w:w="3009"/>
          </w:tcPr>
          <w:p>
            <w:pPr>
              <w:jc w:val="center"/>
            </w:pPr>
            <w:r>
              <w:rPr>
                <w:rFonts w:ascii="Times New Roman" w:hAnsi="Times New Roman"/>
                <w:sz w:val="21"/>
              </w:rPr>
            </w:r>
            <w:r>
              <w:rPr>
                <w:rFonts w:ascii="Times New Roman" w:hAnsi="Times New Roman"/>
                <w:b w:val="0"/>
                <w:sz w:val="21"/>
              </w:rPr>
              <w:t>Scatter plot</w:t>
            </w:r>
          </w:p>
        </w:tc>
      </w:tr>
      <w:tr>
        <w:tc>
          <w:tcPr>
            <w:tcW w:type="dxa" w:w="3009"/>
          </w:tcPr>
          <w:p>
            <w:r>
              <w:rPr>
                <w:rFonts w:ascii="Times New Roman" w:hAnsi="Times New Roman"/>
                <w:sz w:val="21"/>
              </w:rPr>
            </w:r>
            <w:r>
              <w:rPr>
                <w:rFonts w:ascii="Times New Roman" w:hAnsi="Times New Roman"/>
                <w:b w:val="0"/>
                <w:sz w:val="21"/>
              </w:rPr>
              <w:t>Tabular</w:t>
            </w:r>
          </w:p>
        </w:tc>
        <w:tc>
          <w:tcPr>
            <w:tcW w:type="dxa" w:w="3009"/>
          </w:tcPr>
          <w:p>
            <w:pPr>
              <w:jc w:val="center"/>
            </w:pPr>
            <w:r>
              <w:rPr>
                <w:rFonts w:ascii="Times New Roman" w:hAnsi="Times New Roman"/>
                <w:sz w:val="21"/>
              </w:rPr>
            </w:r>
            <w:r>
              <w:rPr>
                <w:rFonts w:ascii="Times New Roman" w:hAnsi="Times New Roman"/>
                <w:b w:val="0"/>
                <w:sz w:val="21"/>
              </w:rPr>
              <w:t>raw records</w:t>
            </w:r>
          </w:p>
        </w:tc>
        <w:tc>
          <w:tcPr>
            <w:tcW w:type="dxa" w:w="300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p>
            <w:pPr>
              <w:spacing w:after="280" w:line="300" w:lineRule="auto"/>
              <w:ind w:left="432" w:right="432"/>
              <w:jc w:val="center"/>
            </w:pPr>
            <w:r>
              <w:rPr>
                <w:rFonts w:ascii="Times New Roman" w:hAnsi="Times New Roman"/>
                <w:i/>
                <w:color w:val="555555"/>
                <w:sz w:val="19"/>
              </w:rPr>
              <w:t>A cyclical flowchart. Start with 'New Natural-Language Question', then 'Full Seven-Stage Pipeline Runs', then 'Analysis Plan Hashed (SHA-256)', then a decision diamond 'Identical widget hash already exists?'. If YES, continue to 'Return Cached Widget Immediately'. If NO, continue to 'Save New Widget (SQL, chart config, access rule, refresh schedule)'. Both paths converge into a 'Dashboard Widget' box, from which a looping arrow labeled 'Scheduled Refresh (re-executes stored SQL on fresh data)' curves back into the same box â€” illustrating that a widget keeps answering the same recurring question rather than being discarded after one use.</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sz w:val="24"/>
        </w:rPr>
        <w:t>Semantic layer: 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sz w:val="24"/>
        </w:rPr>
        <w:t>Visualization selector: 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sz w:val="24"/>
        </w:rPr>
        <w:t>Widget engine: 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sz w:val="24"/>
        </w:rPr>
        <w:t>Coverage validator: 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the results discussion. All benchmark construction, execution, and measurement were carried out by the author as part of this thesis, using a self-built dataset and evaluation harness; none of it has been independently replicated by a third party, externally audited, or peer-reviewed. This is distinct from reproducibility: the underlying artifacts (evaluation_dataset/questions.json, benchmark_results.json, pattern_classification.json, and the scripts that compute statistics from them) are published alongside this thesis specifically so that any reader can independently re-run the computation and check the reported figures against the raw data, even though no one outside this research has done so yet. Where a figure states that an annotation or classification step was performed by a named number of people (for example, two database engineers verifying gold-standard SQL), that step was part of the author's own research process rather than an independent, third-party audit. These results should therefore be read as internal evidence produced during this research and reproducible from the published artifacts, but not yet independently verified by anyone outside it.</w:t>
      </w:r>
    </w:p>
    <w:p>
      <w:pPr>
        <w:spacing w:after="0" w:before="0" w:line="360" w:lineRule="auto"/>
        <w:jc w:val="both"/>
      </w:pPr>
      <w:r>
        <w:rPr>
          <w:rFonts w:ascii="Times New Roman" w:hAnsi="Times New Roman"/>
          <w:b w:val="0"/>
          <w:i w:val="0"/>
          <w:sz w:val="24"/>
        </w:rPr>
        <w:t>A domain-specific benchmark of 107 natural-language reporting requests was built over the production nopCommerce schema described above. The full question set and recorded pipeline outputs are available in the evaluation_dataset/ directory of the project repository, enabling verification of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This baseline is prepared for evaluation but is not included in the verified results.</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This baseline has been executed for true database execution validity and is discussed as B3 in the results.</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the measurements that can be verified from repository artifacts and true database execution:</w:t>
      </w:r>
    </w:p>
    <w:p>
      <w:pPr>
        <w:spacing w:after="80" w:line="360" w:lineRule="auto"/>
        <w:ind w:left="461" w:hanging="259"/>
      </w:pPr>
      <w:r>
        <w:rPr>
          <w:rFonts w:ascii="Times New Roman" w:hAnsi="Times New Roman"/>
          <w:sz w:val="24"/>
        </w:rPr>
        <w:t>•</w:t>
        <w:tab/>
      </w:r>
      <w:r>
        <w:rPr>
          <w:rFonts w:ascii="Times New Roman" w:hAnsi="Times New Roman"/>
          <w:sz w:val="24"/>
        </w:rPr>
        <w:t>RQ1: 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sz w:val="24"/>
        </w:rPr>
        <w:t>RQ2: 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sz w:val="24"/>
        </w:rPr>
        <w:t>RQ3: 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sz w:val="24"/>
        </w:rPr>
        <w:t>RQ4: 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sz w:val="24"/>
        </w:rPr>
        <w:t>RQ5: Which remaining work is required in future work? Semantic correctness, B2/B4 baseline completion, and latency instrumentation are explicitly listed as future work rather than reported as completed results.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prototype evaluation results that have been verified from the repository artifacts and from true database execution. The chapter deliberately separates SQL safety, execution validity, and semantic correctness. A query can be safe and executable while still being semantically wrong; therefore, correctness is treated as a separate benchmark that requires annotated expected answers in future work.</w:t>
      </w:r>
    </w:p>
    <w:p>
      <w:pPr>
        <w:spacing w:after="0" w:before="0" w:line="360" w:lineRule="auto"/>
        <w:jc w:val="both"/>
      </w:pPr>
      <w:r>
        <w:rPr>
          <w:rFonts w:ascii="Times New Roman" w:hAnsi="Times New Roman"/>
          <w:b w:val="0"/>
          <w:i w:val="0"/>
          <w:sz w:val="24"/>
        </w:rPr>
        <w:t>The verified quantitative evidence currently covers the 107-query mixed benchmark against AEGIS and baseline B1, plus a completed B3 template-only execution-validity run. B2 and B4 remain future evaluation work, and latency has not yet been instrumented. The tables below therefore report only the measurements that can be traced to files and commands in the repository.</w:t>
      </w:r>
    </w:p>
    <w:p>
      <w:pPr>
        <w:spacing w:before="320" w:after="160"/>
        <w:jc w:val="left"/>
      </w:pPr>
      <w:r>
        <w:rPr>
          <w:rFonts w:ascii="Times New Roman" w:hAnsi="Times New Roman"/>
          <w:b/>
          <w:sz w:val="28"/>
        </w:rPr>
        <w:t>5.1  Benchmark Run and Verified Metrics</w:t>
      </w:r>
    </w:p>
    <w:p>
      <w:pPr>
        <w:spacing w:after="200" w:before="0" w:line="360" w:lineRule="auto"/>
        <w:jc w:val="both"/>
      </w:pPr>
      <w:r>
        <w:rPr>
          <w:rFonts w:ascii="Times New Roman" w:hAnsi="Times New Roman"/>
          <w:b w:val="0"/>
          <w:i w:val="0"/>
          <w:sz w:val="24"/>
        </w:rPr>
        <w:t>The benchmark consists of 107 natural-language reporting requests executed as one mixed test set. Earlier drafts described seven of those requests as a separate boundary-probe set. This chapter avoids that split because the evaluation design now treat all 107 requests as part of the same benchmark run. Some requests are harder boundary cases, but they are still counted in the same denominator as every other query.</w:t>
      </w:r>
    </w:p>
    <w:p>
      <w:pPr>
        <w:spacing w:before="200" w:after="80"/>
        <w:jc w:val="center"/>
      </w:pPr>
      <w:r>
        <w:rPr>
          <w:rFonts w:ascii="Times New Roman" w:hAnsi="Times New Roman"/>
          <w:b/>
          <w:sz w:val="22"/>
        </w:rPr>
        <w:t>Table 5: Verified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c>
          <w:tcPr>
            <w:tcW w:type="dxa" w:w="4513"/>
          </w:tcPr>
          <w:p>
            <w:pPr>
              <w:jc w:val="center"/>
            </w:pPr>
            <w:r>
              <w:rPr>
                <w:rFonts w:ascii="Times New Roman" w:hAnsi="Times New Roman"/>
                <w:b/>
                <w:sz w:val="21"/>
              </w:rPr>
            </w:r>
            <w:r>
              <w:rPr>
                <w:rFonts w:ascii="Times New Roman" w:hAnsi="Times New Roman"/>
                <w:b/>
                <w:sz w:val="21"/>
              </w:rPr>
              <w:t>Item</w:t>
            </w:r>
          </w:p>
        </w:tc>
        <w:tc>
          <w:tcPr>
            <w:tcW w:type="dxa" w:w="4513"/>
          </w:tcPr>
          <w:p>
            <w:pPr>
              <w:jc w:val="center"/>
            </w:pPr>
            <w:r>
              <w:rPr>
                <w:rFonts w:ascii="Times New Roman" w:hAnsi="Times New Roman"/>
                <w:b/>
                <w:sz w:val="21"/>
              </w:rPr>
            </w:r>
            <w:r>
              <w:rPr>
                <w:rFonts w:ascii="Times New Roman" w:hAnsi="Times New Roman"/>
                <w:b/>
                <w:sz w:val="21"/>
              </w:rPr>
              <w:t>Status</w:t>
            </w:r>
          </w:p>
        </w:tc>
      </w:tr>
      <w:tr>
        <w:tc>
          <w:tcPr>
            <w:tcW w:type="dxa" w:w="4513"/>
          </w:tcPr>
          <w:p>
            <w:r>
              <w:rPr>
                <w:rFonts w:ascii="Times New Roman" w:hAnsi="Times New Roman"/>
                <w:sz w:val="21"/>
              </w:rPr>
            </w:r>
            <w:r>
              <w:rPr>
                <w:rFonts w:ascii="Times New Roman" w:hAnsi="Times New Roman"/>
                <w:b w:val="0"/>
                <w:sz w:val="21"/>
              </w:rPr>
              <w:t>Benchmark size</w:t>
            </w:r>
          </w:p>
        </w:tc>
        <w:tc>
          <w:tcPr>
            <w:tcW w:type="dxa" w:w="4513"/>
          </w:tcPr>
          <w:p>
            <w:pPr>
              <w:jc w:val="center"/>
            </w:pPr>
            <w:r>
              <w:rPr>
                <w:rFonts w:ascii="Times New Roman" w:hAnsi="Times New Roman"/>
                <w:sz w:val="21"/>
              </w:rPr>
            </w:r>
            <w:r>
              <w:rPr>
                <w:rFonts w:ascii="Times New Roman" w:hAnsi="Times New Roman"/>
                <w:b w:val="0"/>
                <w:sz w:val="21"/>
              </w:rPr>
              <w:t>107 mixed natural-language reporting requests</w:t>
            </w:r>
          </w:p>
        </w:tc>
      </w:tr>
      <w:tr>
        <w:tc>
          <w:tcPr>
            <w:tcW w:type="dxa" w:w="4513"/>
          </w:tcPr>
          <w:p>
            <w:r>
              <w:rPr>
                <w:rFonts w:ascii="Times New Roman" w:hAnsi="Times New Roman"/>
                <w:sz w:val="21"/>
              </w:rPr>
            </w:r>
            <w:r>
              <w:rPr>
                <w:rFonts w:ascii="Times New Roman" w:hAnsi="Times New Roman"/>
                <w:b w:val="0"/>
                <w:sz w:val="21"/>
              </w:rPr>
              <w:t>Database execution environment</w:t>
            </w:r>
          </w:p>
        </w:tc>
        <w:tc>
          <w:tcPr>
            <w:tcW w:type="dxa" w:w="4513"/>
          </w:tcPr>
          <w:p>
            <w:pPr>
              <w:jc w:val="center"/>
            </w:pPr>
            <w:r>
              <w:rPr>
                <w:rFonts w:ascii="Times New Roman" w:hAnsi="Times New Roman"/>
                <w:sz w:val="21"/>
              </w:rPr>
            </w:r>
            <w:r>
              <w:rPr>
                <w:rFonts w:ascii="Times New Roman" w:hAnsi="Times New Roman"/>
                <w:b w:val="0"/>
                <w:sz w:val="21"/>
              </w:rPr>
              <w:t>MySQL 8.0 in Docker, seeded with nopCommerce-style data</w:t>
            </w:r>
          </w:p>
        </w:tc>
      </w:tr>
      <w:tr>
        <w:tc>
          <w:tcPr>
            <w:tcW w:type="dxa" w:w="4513"/>
          </w:tcPr>
          <w:p>
            <w:r>
              <w:rPr>
                <w:rFonts w:ascii="Times New Roman" w:hAnsi="Times New Roman"/>
                <w:sz w:val="21"/>
              </w:rPr>
            </w:r>
            <w:r>
              <w:rPr>
                <w:rFonts w:ascii="Times New Roman" w:hAnsi="Times New Roman"/>
                <w:b w:val="0"/>
                <w:sz w:val="21"/>
              </w:rPr>
              <w:t>Completed baselines</w:t>
            </w:r>
          </w:p>
        </w:tc>
        <w:tc>
          <w:tcPr>
            <w:tcW w:type="dxa" w:w="4513"/>
          </w:tcPr>
          <w:p>
            <w:pPr>
              <w:jc w:val="center"/>
            </w:pPr>
            <w:r>
              <w:rPr>
                <w:rFonts w:ascii="Times New Roman" w:hAnsi="Times New Roman"/>
                <w:sz w:val="21"/>
              </w:rPr>
            </w:r>
            <w:r>
              <w:rPr>
                <w:rFonts w:ascii="Times New Roman" w:hAnsi="Times New Roman"/>
                <w:b w:val="0"/>
                <w:sz w:val="21"/>
              </w:rPr>
              <w:t>B1 direct LLM-to-SQL and B3 template-only</w:t>
            </w:r>
          </w:p>
        </w:tc>
      </w:tr>
      <w:tr>
        <w:tc>
          <w:tcPr>
            <w:tcW w:type="dxa" w:w="4513"/>
          </w:tcPr>
          <w:p>
            <w:r>
              <w:rPr>
                <w:rFonts w:ascii="Times New Roman" w:hAnsi="Times New Roman"/>
                <w:sz w:val="21"/>
              </w:rPr>
            </w:r>
            <w:r>
              <w:rPr>
                <w:rFonts w:ascii="Times New Roman" w:hAnsi="Times New Roman"/>
                <w:b w:val="0"/>
                <w:sz w:val="21"/>
              </w:rPr>
              <w:t>Pending measurements</w:t>
            </w:r>
          </w:p>
        </w:tc>
        <w:tc>
          <w:tcPr>
            <w:tcW w:type="dxa" w:w="4513"/>
          </w:tcPr>
          <w:p>
            <w:pPr>
              <w:jc w:val="center"/>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Evidence files: evaluation_dataset/questions.json, benchmark_results.json, benchmark_results_b3.json, and verify_execution.py run against the safedash MySQL database on port 3307.</w:t>
      </w:r>
    </w:p>
    <w:p>
      <w:pPr>
        <w:spacing w:before="320" w:after="160"/>
        <w:jc w:val="left"/>
      </w:pPr>
      <w:r>
        <w:rPr>
          <w:rFonts w:ascii="Times New Roman" w:hAnsi="Times New Roman"/>
          <w:b/>
          <w:sz w:val="28"/>
        </w:rPr>
        <w:t>5.2  SQL Safety and True Database Execution Validity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Query Execution Validity measures whether the SQL actually runs against the seeded MySQL database. These are different measurements: safety is about what the query is allowed to do, while true execution validity is about whether the database accepts and executes the statement.</w:t>
      </w:r>
    </w:p>
    <w:p>
      <w:pPr>
        <w:spacing w:before="200" w:after="80"/>
        <w:jc w:val="center"/>
      </w:pPr>
      <w:r>
        <w:rPr>
          <w:rFonts w:ascii="Times New Roman" w:hAnsi="Times New Roman"/>
          <w:b/>
          <w:sz w:val="22"/>
        </w:rPr>
        <w:t>Table 6: SQL safety and true execution validity on the 107-query benchmark.</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System</w:t>
            </w:r>
          </w:p>
        </w:tc>
        <w:tc>
          <w:tcPr>
            <w:tcW w:type="dxa" w:w="3009"/>
          </w:tcPr>
          <w:p>
            <w:pPr>
              <w:jc w:val="center"/>
            </w:pPr>
            <w:r>
              <w:rPr>
                <w:rFonts w:ascii="Times New Roman" w:hAnsi="Times New Roman"/>
                <w:b/>
                <w:sz w:val="21"/>
              </w:rPr>
            </w:r>
            <w:r>
              <w:rPr>
                <w:rFonts w:ascii="Times New Roman" w:hAnsi="Times New Roman"/>
                <w:b/>
                <w:sz w:val="21"/>
              </w:rPr>
              <w:t>Unsafe SQL</w:t>
            </w:r>
          </w:p>
        </w:tc>
        <w:tc>
          <w:tcPr>
            <w:tcW w:type="dxa" w:w="3009"/>
          </w:tcPr>
          <w:p>
            <w:pPr>
              <w:jc w:val="center"/>
            </w:pPr>
            <w:r>
              <w:rPr>
                <w:rFonts w:ascii="Times New Roman" w:hAnsi="Times New Roman"/>
                <w:b/>
                <w:sz w:val="21"/>
              </w:rPr>
            </w:r>
            <w:r>
              <w:rPr>
                <w:rFonts w:ascii="Times New Roman" w:hAnsi="Times New Roman"/>
                <w:b/>
                <w:sz w:val="21"/>
              </w:rPr>
              <w:t>True execution validity</w:t>
            </w:r>
          </w:p>
        </w:tc>
      </w:tr>
      <w:tr>
        <w:tc>
          <w:tcPr>
            <w:tcW w:type="dxa" w:w="3009"/>
          </w:tcPr>
          <w:p>
            <w:r>
              <w:rPr>
                <w:rFonts w:ascii="Times New Roman" w:hAnsi="Times New Roman"/>
                <w:sz w:val="21"/>
              </w:rPr>
            </w:r>
            <w:r>
              <w:rPr>
                <w:rFonts w:ascii="Times New Roman" w:hAnsi="Times New Roman"/>
                <w:b w:val="0"/>
                <w:sz w:val="21"/>
              </w:rPr>
              <w:t>Baseline B1 (Direct LLM-to-SQL)</w:t>
            </w:r>
          </w:p>
        </w:tc>
        <w:tc>
          <w:tcPr>
            <w:tcW w:type="dxa" w:w="3009"/>
          </w:tcPr>
          <w:p>
            <w:pPr>
              <w:jc w:val="center"/>
            </w:pPr>
            <w:r>
              <w:rPr>
                <w:rFonts w:ascii="Times New Roman" w:hAnsi="Times New Roman"/>
                <w:sz w:val="21"/>
              </w:rPr>
            </w:r>
            <w:r>
              <w:rPr>
                <w:rFonts w:ascii="Times New Roman" w:hAnsi="Times New Roman"/>
                <w:b w:val="0"/>
                <w:sz w:val="21"/>
              </w:rPr>
              <w:t>1 genuine unsafe statement in 107</w:t>
            </w:r>
          </w:p>
        </w:tc>
        <w:tc>
          <w:tcPr>
            <w:tcW w:type="dxa" w:w="3009"/>
          </w:tcPr>
          <w:p>
            <w:pPr>
              <w:jc w:val="center"/>
            </w:pPr>
            <w:r>
              <w:rPr>
                <w:rFonts w:ascii="Times New Roman" w:hAnsi="Times New Roman"/>
                <w:sz w:val="21"/>
              </w:rPr>
            </w:r>
            <w:r>
              <w:rPr>
                <w:rFonts w:ascii="Times New Roman" w:hAnsi="Times New Roman"/>
                <w:b w:val="0"/>
                <w:sz w:val="21"/>
              </w:rPr>
              <w:t>27 of 107 executed successfully (25.2%)</w:t>
            </w:r>
          </w:p>
        </w:tc>
      </w:tr>
      <w:tr>
        <w:tc>
          <w:tcPr>
            <w:tcW w:type="dxa" w:w="3009"/>
          </w:tcPr>
          <w:p>
            <w:r>
              <w:rPr>
                <w:rFonts w:ascii="Times New Roman" w:hAnsi="Times New Roman"/>
                <w:sz w:val="21"/>
              </w:rPr>
            </w:r>
            <w:r>
              <w:rPr>
                <w:rFonts w:ascii="Times New Roman" w:hAnsi="Times New Roman"/>
                <w:b w:val="0"/>
                <w:sz w:val="21"/>
              </w:rPr>
              <w:t>AEGIS</w:t>
            </w:r>
          </w:p>
        </w:tc>
        <w:tc>
          <w:tcPr>
            <w:tcW w:type="dxa" w:w="3009"/>
          </w:tcPr>
          <w:p>
            <w:pPr>
              <w:jc w:val="center"/>
            </w:pPr>
            <w:r>
              <w:rPr>
                <w:rFonts w:ascii="Times New Roman" w:hAnsi="Times New Roman"/>
                <w:sz w:val="21"/>
              </w:rPr>
            </w:r>
            <w:r>
              <w:rPr>
                <w:rFonts w:ascii="Times New Roman" w:hAnsi="Times New Roman"/>
                <w:b w:val="0"/>
                <w:sz w:val="21"/>
              </w:rPr>
              <w:t>0 unsafe statements in 107</w:t>
            </w:r>
          </w:p>
        </w:tc>
        <w:tc>
          <w:tcPr>
            <w:tcW w:type="dxa" w:w="3009"/>
          </w:tcPr>
          <w:p>
            <w:pPr>
              <w:jc w:val="center"/>
            </w:pPr>
            <w:r>
              <w:rPr>
                <w:rFonts w:ascii="Times New Roman" w:hAnsi="Times New Roman"/>
                <w:sz w:val="21"/>
              </w:rPr>
            </w:r>
            <w:r>
              <w:rPr>
                <w:rFonts w:ascii="Times New Roman" w:hAnsi="Times New Roman"/>
                <w:b w:val="0"/>
                <w:sz w:val="21"/>
              </w:rPr>
              <w:t>100 of 107 executed successfully (93.5%)</w:t>
            </w:r>
          </w:p>
        </w:tc>
      </w:tr>
      <w:tr>
        <w:tc>
          <w:tcPr>
            <w:tcW w:type="dxa" w:w="3009"/>
          </w:tcPr>
          <w:p>
            <w:r>
              <w:rPr>
                <w:rFonts w:ascii="Times New Roman" w:hAnsi="Times New Roman"/>
                <w:sz w:val="21"/>
              </w:rPr>
            </w:r>
            <w:r>
              <w:rPr>
                <w:rFonts w:ascii="Times New Roman" w:hAnsi="Times New Roman"/>
                <w:b w:val="0"/>
                <w:sz w:val="21"/>
              </w:rPr>
              <w:t>B3 Template-only</w:t>
            </w:r>
          </w:p>
        </w:tc>
        <w:tc>
          <w:tcPr>
            <w:tcW w:type="dxa" w:w="3009"/>
          </w:tcPr>
          <w:p>
            <w:pPr>
              <w:jc w:val="center"/>
            </w:pPr>
            <w:r>
              <w:rPr>
                <w:rFonts w:ascii="Times New Roman" w:hAnsi="Times New Roman"/>
                <w:sz w:val="21"/>
              </w:rPr>
            </w:r>
            <w:r>
              <w:rPr>
                <w:rFonts w:ascii="Times New Roman" w:hAnsi="Times New Roman"/>
                <w:b w:val="0"/>
                <w:sz w:val="21"/>
              </w:rPr>
              <w:t>Not used as the primary safety baseline in this chapter</w:t>
            </w:r>
          </w:p>
        </w:tc>
        <w:tc>
          <w:tcPr>
            <w:tcW w:type="dxa" w:w="3009"/>
          </w:tcPr>
          <w:p>
            <w:pPr>
              <w:jc w:val="center"/>
            </w:pPr>
            <w:r>
              <w:rPr>
                <w:rFonts w:ascii="Times New Roman" w:hAnsi="Times New Roman"/>
                <w:sz w:val="21"/>
              </w:rPr>
            </w:r>
            <w:r>
              <w:rPr>
                <w:rFonts w:ascii="Times New Roman" w:hAnsi="Times New Roman"/>
                <w:b w:val="0"/>
                <w:sz w:val="21"/>
              </w:rPr>
              <w:t>104 of 107 executed successfully (97.2%)</w:t>
            </w:r>
          </w:p>
        </w:tc>
      </w:tr>
    </w:tbl>
    <w:p>
      <w:pPr>
        <w:spacing w:after="80"/>
      </w:pPr>
    </w:p>
    <w:p>
      <w:pPr>
        <w:spacing w:after="160" w:before="0" w:line="360" w:lineRule="auto"/>
        <w:jc w:val="both"/>
      </w:pPr>
      <w:r>
        <w:rPr>
          <w:rFonts w:ascii="Times New Roman" w:hAnsi="Times New Roman"/>
          <w:b w:val="0"/>
          <w:i w:val="0"/>
          <w:sz w:val="24"/>
        </w:rPr>
        <w:t>Baseline B1 mostly failed because of hallucinated columns, invalid table references, or dialect errors. AEGIS had no unsafe SQL, but seven generated statements still failed due to implementation defects diagnosed below. B3 is included as a compiler-behavior comparison, not as a semantic-correctness result.</w:t>
      </w: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Verified safety and execution-validity comparison</w:t>
            </w:r>
          </w:p>
          <w:p>
            <w:pPr>
              <w:spacing w:after="280" w:line="300" w:lineRule="auto"/>
              <w:ind w:left="432" w:right="432"/>
              <w:jc w:val="center"/>
            </w:pPr>
            <w:r>
              <w:rPr>
                <w:rFonts w:ascii="Times New Roman" w:hAnsi="Times New Roman"/>
                <w:i/>
                <w:color w:val="555555"/>
                <w:sz w:val="19"/>
              </w:rPr>
              <w:t>A grouped bar chart comparing B1, AEGIS, and B3 where available. Show unsafe SQL as counts and true execution validity as successful executions out of 107. Do not plot semantic correctness here; correctness is a separate annotated benchmark.</w:t>
            </w:r>
          </w:p>
        </w:tc>
      </w:tr>
    </w:tbl>
    <w:p>
      <w:pPr>
        <w:spacing w:before="120" w:after="280"/>
        <w:jc w:val="center"/>
      </w:pPr>
      <w:r>
        <w:rPr>
          <w:rFonts w:ascii="Times New Roman" w:hAnsi="Times New Roman"/>
          <w:b/>
          <w:sz w:val="21"/>
        </w:rPr>
        <w:t>Figure 8: Verified safety and execution-validity comparison</w:t>
      </w:r>
    </w:p>
    <w:p>
      <w:pPr>
        <w:spacing w:before="320" w:after="160"/>
        <w:jc w:val="left"/>
      </w:pPr>
      <w:r>
        <w:rPr>
          <w:rFonts w:ascii="Times New Roman" w:hAnsi="Times New Roman"/>
          <w:b/>
          <w:sz w:val="28"/>
        </w:rPr>
        <w:t>5.3  Execution Failure Analysis</w:t>
      </w:r>
    </w:p>
    <w:p>
      <w:pPr>
        <w:spacing w:after="200" w:before="0" w:line="360" w:lineRule="auto"/>
        <w:jc w:val="both"/>
      </w:pPr>
      <w:r>
        <w:rPr>
          <w:rFonts w:ascii="Times New Roman" w:hAnsi="Times New Roman"/>
          <w:b w:val="0"/>
          <w:i w:val="0"/>
          <w:sz w:val="24"/>
        </w:rPr>
        <w:t>The seven AEGIS execution failures are useful because they show where the prototype needs engineering work in future work. They are not safety violations: they are SQL statements that failed to execute correctly against the real database.</w:t>
      </w:r>
    </w:p>
    <w:p>
      <w:pPr>
        <w:spacing w:before="200" w:after="80"/>
        <w:jc w:val="center"/>
      </w:pPr>
      <w:r>
        <w:rPr>
          <w:rFonts w:ascii="Times New Roman" w:hAnsi="Times New Roman"/>
          <w:b/>
          <w:sz w:val="22"/>
        </w:rPr>
        <w:t>Table 7: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Query ID</w:t>
            </w:r>
          </w:p>
        </w:tc>
        <w:tc>
          <w:tcPr>
            <w:tcW w:type="dxa" w:w="3009"/>
          </w:tcPr>
          <w:p>
            <w:pPr>
              <w:jc w:val="center"/>
            </w:pPr>
            <w:r>
              <w:rPr>
                <w:rFonts w:ascii="Times New Roman" w:hAnsi="Times New Roman"/>
                <w:b/>
                <w:sz w:val="21"/>
              </w:rPr>
            </w:r>
            <w:r>
              <w:rPr>
                <w:rFonts w:ascii="Times New Roman" w:hAnsi="Times New Roman"/>
                <w:b/>
                <w:sz w:val="21"/>
              </w:rPr>
              <w:t>Failure class</w:t>
            </w:r>
          </w:p>
        </w:tc>
        <w:tc>
          <w:tcPr>
            <w:tcW w:type="dxa" w:w="3009"/>
          </w:tcPr>
          <w:p>
            <w:pPr>
              <w:jc w:val="center"/>
            </w:pPr>
            <w:r>
              <w:rPr>
                <w:rFonts w:ascii="Times New Roman" w:hAnsi="Times New Roman"/>
                <w:b/>
                <w:sz w:val="21"/>
              </w:rPr>
            </w:r>
            <w:r>
              <w:rPr>
                <w:rFonts w:ascii="Times New Roman" w:hAnsi="Times New Roman"/>
                <w:b/>
                <w:sz w:val="21"/>
              </w:rPr>
              <w:t>Observed database error</w:t>
            </w:r>
          </w:p>
        </w:tc>
      </w:tr>
      <w:tr>
        <w:tc>
          <w:tcPr>
            <w:tcW w:type="dxa" w:w="3009"/>
          </w:tcPr>
          <w:p>
            <w:r>
              <w:rPr>
                <w:rFonts w:ascii="Times New Roman" w:hAnsi="Times New Roman"/>
                <w:sz w:val="21"/>
              </w:rPr>
            </w:r>
            <w:r>
              <w:rPr>
                <w:rFonts w:ascii="Times New Roman" w:hAnsi="Times New Roman"/>
                <w:b w:val="0"/>
                <w:sz w:val="21"/>
              </w:rPr>
              <w:t>5</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'this morning'</w:t>
            </w:r>
          </w:p>
        </w:tc>
      </w:tr>
      <w:tr>
        <w:tc>
          <w:tcPr>
            <w:tcW w:type="dxa" w:w="3009"/>
          </w:tcPr>
          <w:p>
            <w:r>
              <w:rPr>
                <w:rFonts w:ascii="Times New Roman" w:hAnsi="Times New Roman"/>
                <w:sz w:val="21"/>
              </w:rPr>
            </w:r>
            <w:r>
              <w:rPr>
                <w:rFonts w:ascii="Times New Roman" w:hAnsi="Times New Roman"/>
                <w:b w:val="0"/>
                <w:sz w:val="21"/>
              </w:rPr>
              <w:t>13</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r>
        <w:tc>
          <w:tcPr>
            <w:tcW w:type="dxa" w:w="3009"/>
          </w:tcPr>
          <w:p>
            <w:r>
              <w:rPr>
                <w:rFonts w:ascii="Times New Roman" w:hAnsi="Times New Roman"/>
                <w:sz w:val="21"/>
              </w:rPr>
            </w:r>
            <w:r>
              <w:rPr>
                <w:rFonts w:ascii="Times New Roman" w:hAnsi="Times New Roman"/>
                <w:b w:val="0"/>
                <w:sz w:val="21"/>
              </w:rPr>
              <w:t>19</w:t>
            </w:r>
          </w:p>
        </w:tc>
        <w:tc>
          <w:tcPr>
            <w:tcW w:type="dxa" w:w="3009"/>
          </w:tcPr>
          <w:p>
            <w:pPr>
              <w:jc w:val="center"/>
            </w:pPr>
            <w:r>
              <w:rPr>
                <w:rFonts w:ascii="Times New Roman" w:hAnsi="Times New Roman"/>
                <w:sz w:val="21"/>
              </w:rPr>
            </w:r>
            <w:r>
              <w:rPr>
                <w:rFonts w:ascii="Times New Roman" w:hAnsi="Times New Roman"/>
                <w:b w:val="0"/>
                <w:sz w:val="21"/>
              </w:rPr>
              <w:t>Join-path or alias defect</w:t>
            </w:r>
          </w:p>
        </w:tc>
        <w:tc>
          <w:tcPr>
            <w:tcW w:type="dxa" w:w="3009"/>
          </w:tcPr>
          <w:p>
            <w:pPr>
              <w:jc w:val="center"/>
            </w:pPr>
            <w:r>
              <w:rPr>
                <w:rFonts w:ascii="Times New Roman" w:hAnsi="Times New Roman"/>
                <w:sz w:val="21"/>
              </w:rPr>
            </w:r>
            <w:r>
              <w:rPr>
                <w:rFonts w:ascii="Times New Roman" w:hAnsi="Times New Roman"/>
                <w:b w:val="0"/>
                <w:sz w:val="21"/>
              </w:rPr>
              <w:t>Unknown column 'o.Id' in ON clause</w:t>
            </w:r>
          </w:p>
        </w:tc>
      </w:tr>
      <w:tr>
        <w:tc>
          <w:tcPr>
            <w:tcW w:type="dxa" w:w="3009"/>
          </w:tcPr>
          <w:p>
            <w:r>
              <w:rPr>
                <w:rFonts w:ascii="Times New Roman" w:hAnsi="Times New Roman"/>
                <w:sz w:val="21"/>
              </w:rPr>
            </w:r>
            <w:r>
              <w:rPr>
                <w:rFonts w:ascii="Times New Roman" w:hAnsi="Times New Roman"/>
                <w:b w:val="0"/>
                <w:sz w:val="21"/>
              </w:rPr>
              <w:t>46</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'last 90 days'</w:t>
            </w:r>
          </w:p>
        </w:tc>
      </w:tr>
      <w:tr>
        <w:tc>
          <w:tcPr>
            <w:tcW w:type="dxa" w:w="3009"/>
          </w:tcPr>
          <w:p>
            <w:r>
              <w:rPr>
                <w:rFonts w:ascii="Times New Roman" w:hAnsi="Times New Roman"/>
                <w:sz w:val="21"/>
              </w:rPr>
            </w:r>
            <w:r>
              <w:rPr>
                <w:rFonts w:ascii="Times New Roman" w:hAnsi="Times New Roman"/>
                <w:b w:val="0"/>
                <w:sz w:val="21"/>
              </w:rPr>
              <w:t>72</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'this quarter'</w:t>
            </w:r>
          </w:p>
        </w:tc>
      </w:tr>
      <w:tr>
        <w:tc>
          <w:tcPr>
            <w:tcW w:type="dxa" w:w="3009"/>
          </w:tcPr>
          <w:p>
            <w:r>
              <w:rPr>
                <w:rFonts w:ascii="Times New Roman" w:hAnsi="Times New Roman"/>
                <w:sz w:val="21"/>
              </w:rPr>
            </w:r>
            <w:r>
              <w:rPr>
                <w:rFonts w:ascii="Times New Roman" w:hAnsi="Times New Roman"/>
                <w:b w:val="0"/>
                <w:sz w:val="21"/>
              </w:rPr>
              <w:t>80</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r>
        <w:tc>
          <w:tcPr>
            <w:tcW w:type="dxa" w:w="3009"/>
          </w:tcPr>
          <w:p>
            <w:r>
              <w:rPr>
                <w:rFonts w:ascii="Times New Roman" w:hAnsi="Times New Roman"/>
                <w:sz w:val="21"/>
              </w:rPr>
            </w:r>
            <w:r>
              <w:rPr>
                <w:rFonts w:ascii="Times New Roman" w:hAnsi="Times New Roman"/>
                <w:b w:val="0"/>
                <w:sz w:val="21"/>
              </w:rPr>
              <w:t>84</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5.4  Semantic Correctness and Accuracy</w:t>
      </w:r>
    </w:p>
    <w:p>
      <w:pPr>
        <w:spacing w:after="200" w:before="0" w:line="360" w:lineRule="auto"/>
        <w:jc w:val="both"/>
      </w:pPr>
      <w:r>
        <w:rPr>
          <w:rFonts w:ascii="Times New Roman" w:hAnsi="Times New Roman"/>
          <w:b w:val="0"/>
          <w:i w:val="0"/>
          <w:sz w:val="24"/>
        </w:rPr>
        <w:t>Correctness or accuracy is a separate benchmark from execution validity. The current results prove that AEGIS usually generates SQL that the database can execute and that it does not generate unsafe SQL. They do not, by themselves, prove that every safe and executable query answers the user's real intent.</w:t>
      </w:r>
    </w:p>
    <w:p>
      <w:pPr>
        <w:spacing w:before="200" w:after="80"/>
        <w:jc w:val="center"/>
      </w:pPr>
      <w:r>
        <w:rPr>
          <w:rFonts w:ascii="Times New Roman" w:hAnsi="Times New Roman"/>
          <w:b/>
          <w:sz w:val="22"/>
        </w:rPr>
        <w:t>Table 8: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Metric</w:t>
            </w:r>
          </w:p>
        </w:tc>
        <w:tc>
          <w:tcPr>
            <w:tcW w:type="dxa" w:w="3009"/>
          </w:tcPr>
          <w:p>
            <w:pPr>
              <w:jc w:val="center"/>
            </w:pPr>
            <w:r>
              <w:rPr>
                <w:rFonts w:ascii="Times New Roman" w:hAnsi="Times New Roman"/>
                <w:b/>
                <w:sz w:val="21"/>
              </w:rPr>
            </w:r>
            <w:r>
              <w:rPr>
                <w:rFonts w:ascii="Times New Roman" w:hAnsi="Times New Roman"/>
                <w:b/>
                <w:sz w:val="21"/>
              </w:rPr>
              <w:t>What it answers</w:t>
            </w:r>
          </w:p>
        </w:tc>
        <w:tc>
          <w:tcPr>
            <w:tcW w:type="dxa" w:w="3009"/>
          </w:tcPr>
          <w:p>
            <w:pPr>
              <w:jc w:val="center"/>
            </w:pPr>
            <w:r>
              <w:rPr>
                <w:rFonts w:ascii="Times New Roman" w:hAnsi="Times New Roman"/>
                <w:b/>
                <w:sz w:val="21"/>
              </w:rPr>
            </w:r>
            <w:r>
              <w:rPr>
                <w:rFonts w:ascii="Times New Roman" w:hAnsi="Times New Roman"/>
                <w:b/>
                <w:sz w:val="21"/>
              </w:rPr>
              <w:t>Current status</w:t>
            </w:r>
          </w:p>
        </w:tc>
      </w:tr>
      <w:tr>
        <w:tc>
          <w:tcPr>
            <w:tcW w:type="dxa" w:w="3009"/>
          </w:tcPr>
          <w:p>
            <w:r>
              <w:rPr>
                <w:rFonts w:ascii="Times New Roman" w:hAnsi="Times New Roman"/>
                <w:sz w:val="21"/>
              </w:rPr>
            </w:r>
            <w:r>
              <w:rPr>
                <w:rFonts w:ascii="Times New Roman" w:hAnsi="Times New Roman"/>
                <w:b w:val="0"/>
                <w:sz w:val="21"/>
              </w:rPr>
              <w:t>SQL safety</w:t>
            </w:r>
          </w:p>
        </w:tc>
        <w:tc>
          <w:tcPr>
            <w:tcW w:type="dxa" w:w="3009"/>
          </w:tcPr>
          <w:p>
            <w:pPr>
              <w:jc w:val="center"/>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jc w:val="center"/>
            </w:pPr>
            <w:r>
              <w:rPr>
                <w:rFonts w:ascii="Times New Roman" w:hAnsi="Times New Roman"/>
                <w:sz w:val="21"/>
              </w:rPr>
            </w:r>
            <w:r>
              <w:rPr>
                <w:rFonts w:ascii="Times New Roman" w:hAnsi="Times New Roman"/>
                <w:b w:val="0"/>
                <w:sz w:val="21"/>
              </w:rPr>
              <w:t>Verified for B1 and AEGIS on all 107 requests.</w:t>
            </w:r>
          </w:p>
        </w:tc>
      </w:tr>
      <w:tr>
        <w:tc>
          <w:tcPr>
            <w:tcW w:type="dxa" w:w="3009"/>
          </w:tcPr>
          <w:p>
            <w:r>
              <w:rPr>
                <w:rFonts w:ascii="Times New Roman" w:hAnsi="Times New Roman"/>
                <w:sz w:val="21"/>
              </w:rPr>
            </w:r>
            <w:r>
              <w:rPr>
                <w:rFonts w:ascii="Times New Roman" w:hAnsi="Times New Roman"/>
                <w:b w:val="0"/>
                <w:sz w:val="21"/>
              </w:rPr>
              <w:t>True execution validity</w:t>
            </w:r>
          </w:p>
        </w:tc>
        <w:tc>
          <w:tcPr>
            <w:tcW w:type="dxa" w:w="3009"/>
          </w:tcPr>
          <w:p>
            <w:pPr>
              <w:jc w:val="center"/>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jc w:val="center"/>
            </w:pPr>
            <w:r>
              <w:rPr>
                <w:rFonts w:ascii="Times New Roman" w:hAnsi="Times New Roman"/>
                <w:sz w:val="21"/>
              </w:rPr>
            </w:r>
            <w:r>
              <w:rPr>
                <w:rFonts w:ascii="Times New Roman" w:hAnsi="Times New Roman"/>
                <w:b w:val="0"/>
                <w:sz w:val="21"/>
              </w:rPr>
              <w:t>Verified for B1, AEGIS, and B3.</w:t>
            </w:r>
          </w:p>
        </w:tc>
      </w:tr>
      <w:tr>
        <w:tc>
          <w:tcPr>
            <w:tcW w:type="dxa" w:w="3009"/>
          </w:tcPr>
          <w:p>
            <w:r>
              <w:rPr>
                <w:rFonts w:ascii="Times New Roman" w:hAnsi="Times New Roman"/>
                <w:sz w:val="21"/>
              </w:rPr>
            </w:r>
            <w:r>
              <w:rPr>
                <w:rFonts w:ascii="Times New Roman" w:hAnsi="Times New Roman"/>
                <w:b w:val="0"/>
                <w:sz w:val="21"/>
              </w:rPr>
              <w:t>Semantic correctness / accuracy</w:t>
            </w:r>
          </w:p>
        </w:tc>
        <w:tc>
          <w:tcPr>
            <w:tcW w:type="dxa" w:w="3009"/>
          </w:tcPr>
          <w:p>
            <w:pPr>
              <w:jc w:val="center"/>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jc w:val="center"/>
            </w:pPr>
            <w:r>
              <w:rPr>
                <w:rFonts w:ascii="Times New Roman" w:hAnsi="Times New Roman"/>
                <w:sz w:val="21"/>
              </w:rPr>
            </w:r>
            <w:r>
              <w:rPr>
                <w:rFonts w:ascii="Times New Roman" w:hAnsi="Times New Roman"/>
                <w:b w:val="0"/>
                <w:sz w:val="21"/>
              </w:rPr>
              <w:t>Not yet numerically scored; requires annotated expected outputs or labels.</w:t>
            </w:r>
          </w:p>
        </w:tc>
      </w:tr>
      <w:tr>
        <w:tc>
          <w:tcPr>
            <w:tcW w:type="dxa" w:w="3009"/>
          </w:tcPr>
          <w:p>
            <w:r>
              <w:rPr>
                <w:rFonts w:ascii="Times New Roman" w:hAnsi="Times New Roman"/>
                <w:sz w:val="21"/>
              </w:rPr>
            </w:r>
            <w:r>
              <w:rPr>
                <w:rFonts w:ascii="Times New Roman" w:hAnsi="Times New Roman"/>
                <w:b w:val="0"/>
                <w:sz w:val="21"/>
              </w:rPr>
              <w:t>Scope handling</w:t>
            </w:r>
          </w:p>
        </w:tc>
        <w:tc>
          <w:tcPr>
            <w:tcW w:type="dxa" w:w="3009"/>
          </w:tcPr>
          <w:p>
            <w:pPr>
              <w:jc w:val="center"/>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jc w:val="center"/>
            </w:pPr>
            <w:r>
              <w:rPr>
                <w:rFonts w:ascii="Times New Roman" w:hAnsi="Times New Roman"/>
                <w:sz w:val="21"/>
              </w:rPr>
            </w:r>
            <w:r>
              <w:rPr>
                <w:rFonts w:ascii="Times New Roman" w:hAnsi="Times New Roman"/>
                <w:b w:val="0"/>
                <w:sz w:val="21"/>
              </w:rPr>
              <w:t>Observed as a limitation; needs a separate annotated evaluation.</w:t>
            </w:r>
          </w:p>
        </w:tc>
      </w:tr>
      <w:tr>
        <w:tc>
          <w:tcPr>
            <w:tcW w:type="dxa" w:w="3009"/>
          </w:tcPr>
          <w:p>
            <w:r>
              <w:rPr>
                <w:rFonts w:ascii="Times New Roman" w:hAnsi="Times New Roman"/>
                <w:sz w:val="21"/>
              </w:rPr>
            </w:r>
            <w:r>
              <w:rPr>
                <w:rFonts w:ascii="Times New Roman" w:hAnsi="Times New Roman"/>
                <w:b w:val="0"/>
                <w:sz w:val="21"/>
              </w:rPr>
              <w:t>Latency</w:t>
            </w:r>
          </w:p>
        </w:tc>
        <w:tc>
          <w:tcPr>
            <w:tcW w:type="dxa" w:w="3009"/>
          </w:tcPr>
          <w:p>
            <w:pPr>
              <w:jc w:val="center"/>
            </w:pPr>
            <w:r>
              <w:rPr>
                <w:rFonts w:ascii="Times New Roman" w:hAnsi="Times New Roman"/>
                <w:sz w:val="21"/>
              </w:rPr>
            </w:r>
            <w:r>
              <w:rPr>
                <w:rFonts w:ascii="Times New Roman" w:hAnsi="Times New Roman"/>
                <w:b w:val="0"/>
                <w:sz w:val="21"/>
              </w:rPr>
              <w:t>How long each stage takes end to end?</w:t>
            </w:r>
          </w:p>
        </w:tc>
        <w:tc>
          <w:tcPr>
            <w:tcW w:type="dxa" w:w="3009"/>
          </w:tcPr>
          <w:p>
            <w:pPr>
              <w:jc w:val="center"/>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5.5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pPr>
      <w:r>
        <w:rPr>
          <w:rFonts w:ascii="Times New Roman" w:hAnsi="Times New Roman"/>
          <w:b/>
          <w:sz w:val="22"/>
        </w:rPr>
        <w:t>Table 9: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System</w:t>
            </w:r>
          </w:p>
        </w:tc>
        <w:tc>
          <w:tcPr>
            <w:tcW w:type="dxa" w:w="3009"/>
          </w:tcPr>
          <w:p>
            <w:pPr>
              <w:jc w:val="center"/>
            </w:pPr>
            <w:r>
              <w:rPr>
                <w:rFonts w:ascii="Times New Roman" w:hAnsi="Times New Roman"/>
                <w:b/>
                <w:sz w:val="21"/>
              </w:rPr>
            </w:r>
            <w:r>
              <w:rPr>
                <w:rFonts w:ascii="Times New Roman" w:hAnsi="Times New Roman"/>
                <w:b/>
                <w:sz w:val="21"/>
              </w:rPr>
              <w:t>Execution result</w:t>
            </w:r>
          </w:p>
        </w:tc>
        <w:tc>
          <w:tcPr>
            <w:tcW w:type="dxa" w:w="3009"/>
          </w:tcPr>
          <w:p>
            <w:pPr>
              <w:jc w:val="center"/>
            </w:pPr>
            <w:r>
              <w:rPr>
                <w:rFonts w:ascii="Times New Roman" w:hAnsi="Times New Roman"/>
                <w:b/>
                <w:sz w:val="21"/>
              </w:rPr>
            </w:r>
            <w:r>
              <w:rPr>
                <w:rFonts w:ascii="Times New Roman" w:hAnsi="Times New Roman"/>
                <w:b/>
                <w:sz w:val="21"/>
              </w:rPr>
              <w:t>Interpretation</w:t>
            </w:r>
          </w:p>
        </w:tc>
      </w:tr>
      <w:tr>
        <w:tc>
          <w:tcPr>
            <w:tcW w:type="dxa" w:w="3009"/>
          </w:tcPr>
          <w:p>
            <w:r>
              <w:rPr>
                <w:rFonts w:ascii="Times New Roman" w:hAnsi="Times New Roman"/>
                <w:sz w:val="21"/>
              </w:rPr>
            </w:r>
            <w:r>
              <w:rPr>
                <w:rFonts w:ascii="Times New Roman" w:hAnsi="Times New Roman"/>
                <w:b w:val="0"/>
                <w:sz w:val="21"/>
              </w:rPr>
              <w:t>B3 Template-only</w:t>
            </w:r>
          </w:p>
        </w:tc>
        <w:tc>
          <w:tcPr>
            <w:tcW w:type="dxa" w:w="3009"/>
          </w:tcPr>
          <w:p>
            <w:pPr>
              <w:jc w:val="center"/>
            </w:pPr>
            <w:r>
              <w:rPr>
                <w:rFonts w:ascii="Times New Roman" w:hAnsi="Times New Roman"/>
                <w:sz w:val="21"/>
              </w:rPr>
            </w:r>
            <w:r>
              <w:rPr>
                <w:rFonts w:ascii="Times New Roman" w:hAnsi="Times New Roman"/>
                <w:b w:val="0"/>
                <w:sz w:val="21"/>
              </w:rPr>
              <w:t>104 of 107 executed successfully (97.2%)</w:t>
            </w:r>
          </w:p>
        </w:tc>
        <w:tc>
          <w:tcPr>
            <w:tcW w:type="dxa" w:w="3009"/>
          </w:tcPr>
          <w:p>
            <w:pPr>
              <w:jc w:val="center"/>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c>
          <w:tcPr>
            <w:tcW w:type="dxa" w:w="3009"/>
          </w:tcPr>
          <w:p>
            <w:r>
              <w:rPr>
                <w:rFonts w:ascii="Times New Roman" w:hAnsi="Times New Roman"/>
                <w:sz w:val="21"/>
              </w:rPr>
            </w:r>
            <w:r>
              <w:rPr>
                <w:rFonts w:ascii="Times New Roman" w:hAnsi="Times New Roman"/>
                <w:b w:val="0"/>
                <w:sz w:val="21"/>
              </w:rPr>
              <w:t>B3 failures</w:t>
            </w:r>
          </w:p>
        </w:tc>
        <w:tc>
          <w:tcPr>
            <w:tcW w:type="dxa" w:w="3009"/>
          </w:tcPr>
          <w:p>
            <w:pPr>
              <w:jc w:val="center"/>
            </w:pPr>
            <w:r>
              <w:rPr>
                <w:rFonts w:ascii="Times New Roman" w:hAnsi="Times New Roman"/>
                <w:sz w:val="21"/>
              </w:rPr>
            </w:r>
            <w:r>
              <w:rPr>
                <w:rFonts w:ascii="Times New Roman" w:hAnsi="Times New Roman"/>
                <w:b w:val="0"/>
                <w:sz w:val="21"/>
              </w:rPr>
              <w:t>3 database execution failures</w:t>
            </w:r>
          </w:p>
        </w:tc>
        <w:tc>
          <w:tcPr>
            <w:tcW w:type="dxa" w:w="3009"/>
          </w:tcPr>
          <w:p>
            <w:pPr>
              <w:jc w:val="center"/>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5.6  Discussion</w:t>
      </w:r>
    </w:p>
    <w:p>
      <w:pPr>
        <w:spacing w:after="120" w:before="0" w:line="360" w:lineRule="auto"/>
        <w:jc w:val="both"/>
      </w:pPr>
      <w:r>
        <w:rPr>
          <w:rFonts w:ascii="Times New Roman" w:hAnsi="Times New Roman"/>
          <w:b/>
          <w:i w:val="0"/>
          <w:sz w:val="24"/>
        </w:rPr>
        <w:t xml:space="preserve">5.6.1 AEGIS vs. direct LLM-to-SQL. </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Property</w:t>
            </w:r>
          </w:p>
        </w:tc>
        <w:tc>
          <w:tcPr>
            <w:tcW w:type="dxa" w:w="3009"/>
          </w:tcPr>
          <w:p>
            <w:pPr>
              <w:jc w:val="center"/>
            </w:pPr>
            <w:r>
              <w:rPr>
                <w:rFonts w:ascii="Times New Roman" w:hAnsi="Times New Roman"/>
                <w:b/>
                <w:sz w:val="21"/>
              </w:rPr>
            </w:r>
            <w:r>
              <w:rPr>
                <w:rFonts w:ascii="Times New Roman" w:hAnsi="Times New Roman"/>
                <w:b/>
                <w:sz w:val="21"/>
              </w:rPr>
              <w:t>Direct LLM-to-SQL</w:t>
            </w:r>
          </w:p>
        </w:tc>
        <w:tc>
          <w:tcPr>
            <w:tcW w:type="dxa" w:w="3009"/>
          </w:tcPr>
          <w:p>
            <w:pPr>
              <w:jc w:val="center"/>
            </w:pPr>
            <w:r>
              <w:rPr>
                <w:rFonts w:ascii="Times New Roman" w:hAnsi="Times New Roman"/>
                <w:b/>
                <w:sz w:val="21"/>
              </w:rPr>
            </w:r>
            <w:r>
              <w:rPr>
                <w:rFonts w:ascii="Times New Roman" w:hAnsi="Times New Roman"/>
                <w:b/>
                <w:sz w:val="21"/>
              </w:rPr>
              <w:t>AEGIS</w:t>
            </w:r>
          </w:p>
        </w:tc>
      </w:tr>
      <w:tr>
        <w:tc>
          <w:tcPr>
            <w:tcW w:type="dxa" w:w="3009"/>
          </w:tcPr>
          <w:p>
            <w:r>
              <w:rPr>
                <w:rFonts w:ascii="Times New Roman" w:hAnsi="Times New Roman"/>
                <w:sz w:val="21"/>
              </w:rPr>
            </w:r>
            <w:r>
              <w:rPr>
                <w:rFonts w:ascii="Times New Roman" w:hAnsi="Times New Roman"/>
                <w:b w:val="0"/>
                <w:sz w:val="21"/>
              </w:rPr>
              <w:t>SQL generation</w:t>
            </w:r>
          </w:p>
        </w:tc>
        <w:tc>
          <w:tcPr>
            <w:tcW w:type="dxa" w:w="3009"/>
          </w:tcPr>
          <w:p>
            <w:pPr>
              <w:jc w:val="center"/>
            </w:pPr>
            <w:r>
              <w:rPr>
                <w:rFonts w:ascii="Times New Roman" w:hAnsi="Times New Roman"/>
                <w:sz w:val="21"/>
              </w:rPr>
            </w:r>
            <w:r>
              <w:rPr>
                <w:rFonts w:ascii="Times New Roman" w:hAnsi="Times New Roman"/>
                <w:b w:val="0"/>
                <w:sz w:val="21"/>
              </w:rPr>
              <w:t>Model-generated free-form text</w:t>
            </w:r>
          </w:p>
        </w:tc>
        <w:tc>
          <w:tcPr>
            <w:tcW w:type="dxa" w:w="3009"/>
          </w:tcPr>
          <w:p>
            <w:pPr>
              <w:jc w:val="center"/>
            </w:pPr>
            <w:r>
              <w:rPr>
                <w:rFonts w:ascii="Times New Roman" w:hAnsi="Times New Roman"/>
                <w:sz w:val="21"/>
              </w:rPr>
            </w:r>
            <w:r>
              <w:rPr>
                <w:rFonts w:ascii="Times New Roman" w:hAnsi="Times New Roman"/>
                <w:b w:val="0"/>
                <w:sz w:val="21"/>
              </w:rPr>
              <w:t>Deterministic compiler</w:t>
            </w:r>
          </w:p>
        </w:tc>
      </w:tr>
      <w:tr>
        <w:tc>
          <w:tcPr>
            <w:tcW w:type="dxa" w:w="3009"/>
          </w:tcPr>
          <w:p>
            <w:r>
              <w:rPr>
                <w:rFonts w:ascii="Times New Roman" w:hAnsi="Times New Roman"/>
                <w:sz w:val="21"/>
              </w:rPr>
            </w:r>
            <w:r>
              <w:rPr>
                <w:rFonts w:ascii="Times New Roman" w:hAnsi="Times New Roman"/>
                <w:b w:val="0"/>
                <w:sz w:val="21"/>
              </w:rPr>
              <w:t>Schema exposure to LLM</w:t>
            </w:r>
          </w:p>
        </w:tc>
        <w:tc>
          <w:tcPr>
            <w:tcW w:type="dxa" w:w="3009"/>
          </w:tcPr>
          <w:p>
            <w:pPr>
              <w:jc w:val="center"/>
            </w:pPr>
            <w:r>
              <w:rPr>
                <w:rFonts w:ascii="Times New Roman" w:hAnsi="Times New Roman"/>
                <w:sz w:val="21"/>
              </w:rPr>
            </w:r>
            <w:r>
              <w:rPr>
                <w:rFonts w:ascii="Times New Roman" w:hAnsi="Times New Roman"/>
                <w:b w:val="0"/>
                <w:sz w:val="21"/>
              </w:rPr>
              <w:t>Requires tables, columns, and relationships</w:t>
            </w:r>
          </w:p>
        </w:tc>
        <w:tc>
          <w:tcPr>
            <w:tcW w:type="dxa" w:w="3009"/>
          </w:tcPr>
          <w:p>
            <w:pPr>
              <w:jc w:val="center"/>
            </w:pPr>
            <w:r>
              <w:rPr>
                <w:rFonts w:ascii="Times New Roman" w:hAnsi="Times New Roman"/>
                <w:sz w:val="21"/>
              </w:rPr>
            </w:r>
            <w:r>
              <w:rPr>
                <w:rFonts w:ascii="Times New Roman" w:hAnsi="Times New Roman"/>
                <w:b w:val="0"/>
                <w:sz w:val="21"/>
              </w:rPr>
              <w:t>Uses approved business labels</w:t>
            </w:r>
          </w:p>
        </w:tc>
      </w:tr>
      <w:tr>
        <w:tc>
          <w:tcPr>
            <w:tcW w:type="dxa" w:w="3009"/>
          </w:tcPr>
          <w:p>
            <w:r>
              <w:rPr>
                <w:rFonts w:ascii="Times New Roman" w:hAnsi="Times New Roman"/>
                <w:sz w:val="21"/>
              </w:rPr>
            </w:r>
            <w:r>
              <w:rPr>
                <w:rFonts w:ascii="Times New Roman" w:hAnsi="Times New Roman"/>
                <w:b w:val="0"/>
                <w:sz w:val="21"/>
              </w:rPr>
              <w:t>Business metric definitions</w:t>
            </w:r>
          </w:p>
        </w:tc>
        <w:tc>
          <w:tcPr>
            <w:tcW w:type="dxa" w:w="3009"/>
          </w:tcPr>
          <w:p>
            <w:pPr>
              <w:jc w:val="center"/>
            </w:pPr>
            <w:r>
              <w:rPr>
                <w:rFonts w:ascii="Times New Roman" w:hAnsi="Times New Roman"/>
                <w:sz w:val="21"/>
              </w:rPr>
            </w:r>
            <w:r>
              <w:rPr>
                <w:rFonts w:ascii="Times New Roman" w:hAnsi="Times New Roman"/>
                <w:b w:val="0"/>
                <w:sz w:val="21"/>
              </w:rPr>
              <w:t>Inferred from prompt and schema names</w:t>
            </w:r>
          </w:p>
        </w:tc>
        <w:tc>
          <w:tcPr>
            <w:tcW w:type="dxa" w:w="3009"/>
          </w:tcPr>
          <w:p>
            <w:pPr>
              <w:jc w:val="center"/>
            </w:pPr>
            <w:r>
              <w:rPr>
                <w:rFonts w:ascii="Times New Roman" w:hAnsi="Times New Roman"/>
                <w:sz w:val="21"/>
              </w:rPr>
            </w:r>
            <w:r>
              <w:rPr>
                <w:rFonts w:ascii="Times New Roman" w:hAnsi="Times New Roman"/>
                <w:b w:val="0"/>
                <w:sz w:val="21"/>
              </w:rPr>
              <w:t>Defined in the semantic layer</w:t>
            </w:r>
          </w:p>
        </w:tc>
      </w:tr>
      <w:tr>
        <w:tc>
          <w:tcPr>
            <w:tcW w:type="dxa" w:w="3009"/>
          </w:tcPr>
          <w:p>
            <w:r>
              <w:rPr>
                <w:rFonts w:ascii="Times New Roman" w:hAnsi="Times New Roman"/>
                <w:sz w:val="21"/>
              </w:rPr>
            </w:r>
            <w:r>
              <w:rPr>
                <w:rFonts w:ascii="Times New Roman" w:hAnsi="Times New Roman"/>
                <w:b w:val="0"/>
                <w:sz w:val="21"/>
              </w:rPr>
              <w:t>SQL injection prevention</w:t>
            </w:r>
          </w:p>
        </w:tc>
        <w:tc>
          <w:tcPr>
            <w:tcW w:type="dxa" w:w="3009"/>
          </w:tcPr>
          <w:p>
            <w:pPr>
              <w:jc w:val="center"/>
            </w:pPr>
            <w:r>
              <w:rPr>
                <w:rFonts w:ascii="Times New Roman" w:hAnsi="Times New Roman"/>
                <w:sz w:val="21"/>
              </w:rPr>
            </w:r>
            <w:r>
              <w:rPr>
                <w:rFonts w:ascii="Times New Roman" w:hAnsi="Times New Roman"/>
                <w:b w:val="0"/>
                <w:sz w:val="21"/>
              </w:rPr>
              <w:t>Prompt-level instruction and post-checking</w:t>
            </w:r>
          </w:p>
        </w:tc>
        <w:tc>
          <w:tcPr>
            <w:tcW w:type="dxa" w:w="3009"/>
          </w:tcPr>
          <w:p>
            <w:pPr>
              <w:jc w:val="center"/>
            </w:pPr>
            <w:r>
              <w:rPr>
                <w:rFonts w:ascii="Times New Roman" w:hAnsi="Times New Roman"/>
                <w:sz w:val="21"/>
              </w:rPr>
            </w:r>
            <w:r>
              <w:rPr>
                <w:rFonts w:ascii="Times New Roman" w:hAnsi="Times New Roman"/>
                <w:b w:val="0"/>
                <w:sz w:val="21"/>
              </w:rPr>
              <w:t>Structural prevention through intent schema and templates</w:t>
            </w:r>
          </w:p>
        </w:tc>
      </w:tr>
      <w:tr>
        <w:tc>
          <w:tcPr>
            <w:tcW w:type="dxa" w:w="3009"/>
          </w:tcPr>
          <w:p>
            <w:r>
              <w:rPr>
                <w:rFonts w:ascii="Times New Roman" w:hAnsi="Times New Roman"/>
                <w:sz w:val="21"/>
              </w:rPr>
            </w:r>
            <w:r>
              <w:rPr>
                <w:rFonts w:ascii="Times New Roman" w:hAnsi="Times New Roman"/>
                <w:b w:val="0"/>
                <w:sz w:val="21"/>
              </w:rPr>
              <w:t>Permission enforcement</w:t>
            </w:r>
          </w:p>
        </w:tc>
        <w:tc>
          <w:tcPr>
            <w:tcW w:type="dxa" w:w="3009"/>
          </w:tcPr>
          <w:p>
            <w:pPr>
              <w:jc w:val="center"/>
            </w:pPr>
            <w:r>
              <w:rPr>
                <w:rFonts w:ascii="Times New Roman" w:hAnsi="Times New Roman"/>
                <w:sz w:val="21"/>
              </w:rPr>
            </w:r>
            <w:r>
              <w:rPr>
                <w:rFonts w:ascii="Times New Roman" w:hAnsi="Times New Roman"/>
                <w:b w:val="0"/>
                <w:sz w:val="21"/>
              </w:rPr>
              <w:t>External or absent</w:t>
            </w:r>
          </w:p>
        </w:tc>
        <w:tc>
          <w:tcPr>
            <w:tcW w:type="dxa" w:w="3009"/>
          </w:tcPr>
          <w:p>
            <w:pPr>
              <w:jc w:val="center"/>
            </w:pPr>
            <w:r>
              <w:rPr>
                <w:rFonts w:ascii="Times New Roman" w:hAnsi="Times New Roman"/>
                <w:sz w:val="21"/>
              </w:rPr>
            </w:r>
            <w:r>
              <w:rPr>
                <w:rFonts w:ascii="Times New Roman" w:hAnsi="Times New Roman"/>
                <w:b w:val="0"/>
                <w:sz w:val="21"/>
              </w:rPr>
              <w:t>Applied after intent extraction by deterministic code</w:t>
            </w:r>
          </w:p>
        </w:tc>
      </w:tr>
      <w:tr>
        <w:tc>
          <w:tcPr>
            <w:tcW w:type="dxa" w:w="3009"/>
          </w:tcPr>
          <w:p>
            <w:r>
              <w:rPr>
                <w:rFonts w:ascii="Times New Roman" w:hAnsi="Times New Roman"/>
                <w:sz w:val="21"/>
              </w:rPr>
            </w:r>
            <w:r>
              <w:rPr>
                <w:rFonts w:ascii="Times New Roman" w:hAnsi="Times New Roman"/>
                <w:b w:val="0"/>
                <w:sz w:val="21"/>
              </w:rPr>
              <w:t>Dashboard widget persistence</w:t>
            </w:r>
          </w:p>
        </w:tc>
        <w:tc>
          <w:tcPr>
            <w:tcW w:type="dxa" w:w="3009"/>
          </w:tcPr>
          <w:p>
            <w:pPr>
              <w:jc w:val="center"/>
            </w:pPr>
            <w:r>
              <w:rPr>
                <w:rFonts w:ascii="Times New Roman" w:hAnsi="Times New Roman"/>
                <w:sz w:val="21"/>
              </w:rPr>
            </w:r>
            <w:r>
              <w:rPr>
                <w:rFonts w:ascii="Times New Roman" w:hAnsi="Times New Roman"/>
                <w:b w:val="0"/>
                <w:sz w:val="21"/>
              </w:rPr>
              <w:t>Not provided by default</w:t>
            </w:r>
          </w:p>
        </w:tc>
        <w:tc>
          <w:tcPr>
            <w:tcW w:type="dxa" w:w="3009"/>
          </w:tcPr>
          <w:p>
            <w:pPr>
              <w:jc w:val="center"/>
            </w:pPr>
            <w:r>
              <w:rPr>
                <w:rFonts w:ascii="Times New Roman" w:hAnsi="Times New Roman"/>
                <w:sz w:val="21"/>
              </w:rPr>
            </w:r>
            <w:r>
              <w:rPr>
                <w:rFonts w:ascii="Times New Roman" w:hAnsi="Times New Roman"/>
                <w:b w:val="0"/>
                <w:sz w:val="21"/>
              </w:rPr>
              <w:t>First-class saved artifact</w:t>
            </w:r>
          </w:p>
        </w:tc>
      </w:tr>
      <w:tr>
        <w:tc>
          <w:tcPr>
            <w:tcW w:type="dxa" w:w="3009"/>
          </w:tcPr>
          <w:p>
            <w:r>
              <w:rPr>
                <w:rFonts w:ascii="Times New Roman" w:hAnsi="Times New Roman"/>
                <w:sz w:val="21"/>
              </w:rPr>
            </w:r>
            <w:r>
              <w:rPr>
                <w:rFonts w:ascii="Times New Roman" w:hAnsi="Times New Roman"/>
                <w:b w:val="0"/>
                <w:sz w:val="21"/>
              </w:rPr>
              <w:t>Model dependency</w:t>
            </w:r>
          </w:p>
        </w:tc>
        <w:tc>
          <w:tcPr>
            <w:tcW w:type="dxa" w:w="3009"/>
          </w:tcPr>
          <w:p>
            <w:pPr>
              <w:jc w:val="center"/>
            </w:pPr>
            <w:r>
              <w:rPr>
                <w:rFonts w:ascii="Times New Roman" w:hAnsi="Times New Roman"/>
                <w:sz w:val="21"/>
              </w:rPr>
            </w:r>
            <w:r>
              <w:rPr>
                <w:rFonts w:ascii="Times New Roman" w:hAnsi="Times New Roman"/>
                <w:b w:val="0"/>
                <w:sz w:val="21"/>
              </w:rPr>
              <w:t>Strongly tied to model quality</w:t>
            </w:r>
          </w:p>
        </w:tc>
        <w:tc>
          <w:tcPr>
            <w:tcW w:type="dxa" w:w="3009"/>
          </w:tcPr>
          <w:p>
            <w:pPr>
              <w:jc w:val="center"/>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after="120" w:before="0" w:line="360" w:lineRule="auto"/>
        <w:jc w:val="both"/>
      </w:pPr>
      <w:r>
        <w:rPr>
          <w:rFonts w:ascii="Times New Roman" w:hAnsi="Times New Roman"/>
          <w:b/>
          <w:i w:val="0"/>
          <w:sz w:val="24"/>
        </w:rPr>
        <w:t xml:space="preserve">5.6.2 Semantic layer versus retrieval-augmented generation. </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after="120" w:before="0" w:line="360" w:lineRule="auto"/>
        <w:jc w:val="both"/>
      </w:pPr>
      <w:r>
        <w:rPr>
          <w:rFonts w:ascii="Times New Roman" w:hAnsi="Times New Roman"/>
          <w:b/>
          <w:i w:val="0"/>
          <w:sz w:val="24"/>
        </w:rPr>
        <w:t xml:space="preserve">5.6.3 Scope boundary. </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107-query benchmark was necessary because standard benchmarks such as Spider and BIRD do not evaluate SQL safety or adherence to business logic; this also means the reported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in conversational text-to-SQL research,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sz w:val="24"/>
        </w:rPr>
        <w:t>Clarification requests: 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sz w:val="24"/>
        </w:rPr>
        <w:t>Semantic layer wizard: a guided interface for business analysts to define new metrics and dimensions without writing Python.</w:t>
      </w:r>
    </w:p>
    <w:p>
      <w:pPr>
        <w:spacing w:after="80" w:line="360" w:lineRule="auto"/>
        <w:ind w:left="461" w:hanging="259"/>
      </w:pPr>
      <w:r>
        <w:rPr>
          <w:rFonts w:ascii="Times New Roman" w:hAnsi="Times New Roman"/>
          <w:sz w:val="24"/>
        </w:rPr>
        <w:t>•</w:t>
        <w:tab/>
      </w:r>
      <w:r>
        <w:rPr>
          <w:rFonts w:ascii="Times New Roman" w:hAnsi="Times New Roman"/>
          <w:sz w:val="24"/>
        </w:rPr>
        <w:t>Multi-step queries: currently each query produces one widget; compound questions such as "revenue trend and top 5 products side by side" require two separate queries today.</w:t>
      </w:r>
    </w:p>
    <w:p>
      <w:pPr>
        <w:spacing w:after="80" w:line="360" w:lineRule="auto"/>
        <w:ind w:left="461" w:hanging="259"/>
      </w:pPr>
      <w:r>
        <w:rPr>
          <w:rFonts w:ascii="Times New Roman" w:hAnsi="Times New Roman"/>
          <w:sz w:val="24"/>
        </w:rPr>
        <w:t>•</w:t>
        <w:tab/>
      </w:r>
      <w:r>
        <w:rPr>
          <w:rFonts w:ascii="Times New Roman" w:hAnsi="Times New Roman"/>
          <w:sz w:val="24"/>
        </w:rPr>
        <w:t>Automated denial-of-service protection: query complexity scoring and server-side timeout enforcement, since the join graph bounds query cost but does not currently score it explicitly.</w:t>
      </w:r>
    </w:p>
    <w:p>
      <w:pPr>
        <w:spacing w:after="80" w:line="360" w:lineRule="auto"/>
        <w:ind w:left="461" w:hanging="259"/>
      </w:pPr>
      <w:r>
        <w:rPr>
          <w:rFonts w:ascii="Times New Roman" w:hAnsi="Times New Roman"/>
          <w:sz w:val="24"/>
        </w:rPr>
        <w:t>•</w:t>
        <w:tab/>
      </w:r>
      <w:r>
        <w:rPr>
          <w:rFonts w:ascii="Times New Roman" w:hAnsi="Times New Roman"/>
          <w:sz w:val="24"/>
        </w:rPr>
        <w:t>Broader schema coverage: extending the nopCommerce semantic layer to cover promotions, vendor analytics, and content-management engagement metrics.</w:t>
      </w:r>
    </w:p>
    <w:p>
      <w:pPr>
        <w:spacing w:after="80" w:line="360" w:lineRule="auto"/>
        <w:ind w:left="461" w:hanging="259"/>
      </w:pPr>
      <w:r>
        <w:rPr>
          <w:rFonts w:ascii="Times New Roman" w:hAnsi="Times New Roman"/>
          <w:sz w:val="24"/>
        </w:rPr>
        <w:t>•</w:t>
        <w:tab/>
      </w:r>
      <w:r>
        <w:rPr>
          <w:rFonts w:ascii="Times New Roman" w:hAnsi="Times New Roman"/>
          <w:sz w:val="24"/>
        </w:rPr>
        <w:t>Multi-turn conversational carryover, extending the single-turn design discussed above.</w:t>
      </w:r>
    </w:p>
    <w:p>
      <w:pPr>
        <w:spacing w:after="80" w:line="360" w:lineRule="auto"/>
        <w:ind w:left="461" w:hanging="259"/>
      </w:pPr>
      <w:r>
        <w:rPr>
          <w:rFonts w:ascii="Times New Roman" w:hAnsi="Times New Roman"/>
          <w:sz w:val="24"/>
        </w:rPr>
        <w:t>•</w:t>
        <w:tab/>
      </w:r>
      <w:r>
        <w:rPr>
          <w:rFonts w:ascii="Times New Roman" w:hAnsi="Times New Roman"/>
          <w:sz w:val="24"/>
        </w:rPr>
        <w:t>Outcome and rejection-category instrumentation: measuring, from real benchmark and production runs, the precise proportion of requests answered directly, answered after clarification, answered after a semantic layer extension, or rejected, and the relative frequency of each rejection category. This thesis currently reports these categories qualitatively; adding this instrumentation would let a future revision report a measured percentage breakdown rather than a qualitative one.</w:t>
      </w:r>
    </w:p>
    <w:p>
      <w:pPr>
        <w:spacing w:after="80" w:line="360" w:lineRule="auto"/>
        <w:ind w:left="461" w:hanging="259"/>
      </w:pPr>
      <w:r>
        <w:rPr>
          <w:rFonts w:ascii="Times New Roman" w:hAnsi="Times New Roman"/>
          <w:sz w:val="24"/>
        </w:rPr>
        <w:t>•</w:t>
        <w:tab/>
      </w:r>
      <w:r>
        <w:rPr>
          <w:rFonts w:ascii="Times New Roman" w:hAnsi="Times New Roman"/>
          <w:sz w:val="24"/>
        </w:rPr>
        <w:t>Semantic correctness benchmark: adding annotated expected-answer labels for the 107 mixed requests so the evaluation can report correctness separately from SQL safety and true database execution validity.</w:t>
      </w:r>
    </w:p>
    <w:p>
      <w:pPr>
        <w:spacing w:after="80" w:line="360" w:lineRule="auto"/>
        <w:ind w:left="461" w:hanging="259"/>
      </w:pPr>
      <w:r>
        <w:rPr>
          <w:rFonts w:ascii="Times New Roman" w:hAnsi="Times New Roman"/>
          <w:sz w:val="24"/>
        </w:rPr>
        <w:t>•</w:t>
        <w:tab/>
      </w:r>
      <w:r>
        <w:rPr>
          <w:rFonts w:ascii="Times New Roman" w:hAnsi="Times New Roman"/>
          <w:sz w:val="24"/>
        </w:rPr>
        <w:t>Cross-schema generalizability benchmark: rebuilding the semantic layer for a second schema, such as WooCommerce, while keeping the intent parser contract, compiler structure, and safety scanner unchanged. This future evaluation would measure how much of AEGIS transfers across schemas and how much effort is required to configure a new domain.</w:t>
      </w:r>
    </w:p>
    <w:p>
      <w:pPr>
        <w:spacing w:after="80" w:line="360" w:lineRule="auto"/>
        <w:ind w:left="461" w:hanging="259"/>
      </w:pPr>
      <w:r>
        <w:rPr>
          <w:rFonts w:ascii="Times New Roman" w:hAnsi="Times New Roman"/>
          <w:sz w:val="24"/>
        </w:rPr>
        <w:t>•</w:t>
        <w:tab/>
      </w:r>
      <w:r>
        <w:rPr>
          <w:rFonts w:ascii="Times New Roman" w:hAnsi="Times New Roman"/>
          <w:sz w:val="24"/>
        </w:rPr>
        <w:t>Remaining baselines and latency: completing B2 and B4, then instrumenting pipeline latency with repeatable timing logs in future work.</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semantic-layer and vocabulary-injection design that makes approved business terms explicit instead of asking the model to infer them from raw schema names.</w:t>
      </w:r>
    </w:p>
    <w:p>
      <w:pPr>
        <w:spacing w:after="240" w:before="0" w:line="360" w:lineRule="auto"/>
        <w:jc w:val="both"/>
      </w:pPr>
      <w:r>
        <w:rPr>
          <w:rFonts w:ascii="Times New Roman" w:hAnsi="Times New Roman"/>
          <w:b w:val="0"/>
          <w:i w:val="0"/>
          <w:sz w:val="24"/>
        </w:rPr>
        <w:t>The verified evaluation shows that AEGIS produced no unsafe SQL statements across the 107-query benchmark and successfully executed 100 of 107 generated queries against the seeded MySQL database. The direct LLM-to-SQL baseline successfully executed 27 of 107 queries and produced one genuine unsafe write statement. These figures support the safety argument while also exposing the remaining engineering work: seven AEGIS execution failures, incomplete scope detection, and an unmeasured semantic correctness benchmark.</w:t>
      </w:r>
    </w:p>
    <w:p>
      <w:pPr>
        <w:spacing w:after="240" w:before="0" w:line="360" w:lineRule="auto"/>
        <w:jc w:val="both"/>
      </w:pPr>
      <w:r>
        <w:rPr>
          <w:rFonts w:ascii="Times New Roman" w:hAnsi="Times New Roman"/>
          <w:b w:val="0"/>
          <w:i w:val="0"/>
          <w:sz w:val="24"/>
        </w:rPr>
        <w:t>The literature review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that arrives at the same â€œlet a deterministic layer compute the answerâ€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The limitations discussion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