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static nopCommerce datasets: a 500-question natural-language benchmark, 16 source-derived Admin analytics oracles, 80 Admin-fidelity phrasings, and focused semantic-coverage checks. On the 500-question live benchmark, AEGIS parsed 498 of 500 prompts, answered and executed 422 of 425 supported requests, and rejected or clarified 74 of 75 realistic boundary requests. Against the Admin analytics oracles, it achieved 16 of 16 execution validity, 16 of 16 shape accuracy, and 15 of 16 result accuracy. These results support the thesis's central claim that AEGIS is a bounded architecture for safe natural-language analytics over a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16</w:t>
      </w:r>
    </w:p>
    <w:p>
      <w:pPr>
        <w:spacing w:after="80" w:before="0" w:line="360" w:lineRule="auto"/>
        <w:ind w:left="432"/>
        <w:jc w:val="both"/>
        <w:tabs>
          <w:tab w:val="right" w:leader="dot" w:pos="8640"/>
        </w:tabs>
      </w:pPr>
      <w:r>
        <w:rPr>
          <w:rFonts w:ascii="Times New Roman" w:hAnsi="Times New Roman"/>
          <w:b w:val="0"/>
          <w:sz w:val="23"/>
        </w:rPr>
        <w:t>3.10 Visualization Selector</w:t>
        <w:tab/>
        <w:t>18</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20</w:t>
      </w:r>
    </w:p>
    <w:p>
      <w:pPr>
        <w:spacing w:after="80" w:before="0" w:line="360" w:lineRule="auto"/>
        <w:ind w:left="432"/>
        <w:jc w:val="both"/>
        <w:tabs>
          <w:tab w:val="right" w:leader="dot" w:pos="8640"/>
        </w:tabs>
      </w:pPr>
      <w:r>
        <w:rPr>
          <w:rFonts w:ascii="Times New Roman" w:hAnsi="Times New Roman"/>
          <w:b w:val="0"/>
          <w:sz w:val="23"/>
        </w:rPr>
        <w:t>4.1 Implementation</w:t>
        <w:tab/>
        <w:t>20</w:t>
      </w:r>
    </w:p>
    <w:p>
      <w:pPr>
        <w:spacing w:after="80" w:before="0" w:line="360" w:lineRule="auto"/>
        <w:ind w:left="432"/>
        <w:jc w:val="both"/>
        <w:tabs>
          <w:tab w:val="right" w:leader="dot" w:pos="8640"/>
        </w:tabs>
      </w:pPr>
      <w:r>
        <w:rPr>
          <w:rFonts w:ascii="Times New Roman" w:hAnsi="Times New Roman"/>
          <w:b w:val="0"/>
          <w:sz w:val="23"/>
        </w:rPr>
        <w:t>4.2 Experimental Environment</w:t>
        <w:tab/>
        <w:t>21</w:t>
      </w:r>
    </w:p>
    <w:p>
      <w:pPr>
        <w:spacing w:after="80" w:before="0" w:line="360" w:lineRule="auto"/>
        <w:ind w:left="432"/>
        <w:jc w:val="both"/>
        <w:tabs>
          <w:tab w:val="right" w:leader="dot" w:pos="8640"/>
        </w:tabs>
      </w:pPr>
      <w:r>
        <w:rPr>
          <w:rFonts w:ascii="Times New Roman" w:hAnsi="Times New Roman"/>
          <w:b w:val="0"/>
          <w:sz w:val="23"/>
        </w:rPr>
        <w:t>4.3 Benchmark Dataset Construction</w:t>
        <w:tab/>
        <w:t>21</w:t>
      </w:r>
    </w:p>
    <w:p>
      <w:pPr>
        <w:spacing w:after="80" w:before="0" w:line="360" w:lineRule="auto"/>
        <w:ind w:left="432"/>
        <w:jc w:val="both"/>
        <w:tabs>
          <w:tab w:val="right" w:leader="dot" w:pos="8640"/>
        </w:tabs>
      </w:pPr>
      <w:r>
        <w:rPr>
          <w:rFonts w:ascii="Times New Roman" w:hAnsi="Times New Roman"/>
          <w:b w:val="0"/>
          <w:sz w:val="23"/>
        </w:rPr>
        <w:t>4.4 Baseline and Oracle Comparisons</w:t>
        <w:tab/>
        <w:t>22</w:t>
      </w:r>
    </w:p>
    <w:p>
      <w:pPr>
        <w:spacing w:after="80" w:before="0" w:line="360" w:lineRule="auto"/>
        <w:ind w:left="432"/>
        <w:jc w:val="both"/>
        <w:tabs>
          <w:tab w:val="right" w:leader="dot" w:pos="8640"/>
        </w:tabs>
      </w:pPr>
      <w:r>
        <w:rPr>
          <w:rFonts w:ascii="Times New Roman" w:hAnsi="Times New Roman"/>
          <w:b w:val="0"/>
          <w:sz w:val="23"/>
        </w:rPr>
        <w:t>4.5 Evaluation Procedure</w:t>
        <w:tab/>
        <w:t>23</w:t>
      </w:r>
    </w:p>
    <w:p>
      <w:pPr>
        <w:spacing w:after="160" w:before="80" w:line="360" w:lineRule="auto"/>
        <w:ind w:left="0"/>
        <w:jc w:val="both"/>
        <w:tabs>
          <w:tab w:val="right" w:leader="dot" w:pos="8640"/>
        </w:tabs>
      </w:pPr>
      <w:r>
        <w:rPr>
          <w:rFonts w:ascii="Times New Roman" w:hAnsi="Times New Roman"/>
          <w:b/>
          <w:sz w:val="24"/>
        </w:rPr>
        <w:t>Chapter 5: Results and Discussion</w:t>
        <w:tab/>
        <w:t>24</w:t>
      </w:r>
    </w:p>
    <w:p>
      <w:pPr>
        <w:spacing w:after="80" w:before="0" w:line="360" w:lineRule="auto"/>
        <w:ind w:left="432"/>
        <w:jc w:val="both"/>
        <w:tabs>
          <w:tab w:val="right" w:leader="dot" w:pos="8640"/>
        </w:tabs>
      </w:pPr>
      <w:r>
        <w:rPr>
          <w:rFonts w:ascii="Times New Roman" w:hAnsi="Times New Roman"/>
          <w:b w:val="0"/>
          <w:sz w:val="23"/>
        </w:rPr>
        <w:t>5.1 Evaluation Overview</w:t>
        <w:tab/>
        <w:t>24</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24</w:t>
      </w:r>
    </w:p>
    <w:p>
      <w:pPr>
        <w:spacing w:after="80" w:before="0" w:line="360" w:lineRule="auto"/>
        <w:ind w:left="432"/>
        <w:jc w:val="both"/>
        <w:tabs>
          <w:tab w:val="right" w:leader="dot" w:pos="8640"/>
        </w:tabs>
      </w:pPr>
      <w:r>
        <w:rPr>
          <w:rFonts w:ascii="Times New Roman" w:hAnsi="Times New Roman"/>
          <w:b w:val="0"/>
          <w:sz w:val="23"/>
        </w:rPr>
        <w:t>5.3 Admin Fidelity Benchmark</w:t>
        <w:tab/>
        <w:t>25</w:t>
      </w:r>
    </w:p>
    <w:p>
      <w:pPr>
        <w:spacing w:after="80" w:before="0" w:line="360" w:lineRule="auto"/>
        <w:ind w:left="432"/>
        <w:jc w:val="both"/>
        <w:tabs>
          <w:tab w:val="right" w:leader="dot" w:pos="8640"/>
        </w:tabs>
      </w:pPr>
      <w:r>
        <w:rPr>
          <w:rFonts w:ascii="Times New Roman" w:hAnsi="Times New Roman"/>
          <w:b w:val="0"/>
          <w:sz w:val="23"/>
        </w:rPr>
        <w:t>5.4 Focused Semantic Coverage</w:t>
        <w:tab/>
        <w:t>25</w:t>
      </w:r>
    </w:p>
    <w:p>
      <w:pPr>
        <w:spacing w:after="80" w:before="0" w:line="360" w:lineRule="auto"/>
        <w:ind w:left="432"/>
        <w:jc w:val="both"/>
        <w:tabs>
          <w:tab w:val="right" w:leader="dot" w:pos="8640"/>
        </w:tabs>
      </w:pPr>
      <w:r>
        <w:rPr>
          <w:rFonts w:ascii="Times New Roman" w:hAnsi="Times New Roman"/>
          <w:b w:val="0"/>
          <w:sz w:val="23"/>
        </w:rPr>
        <w:t>5.5 Safety Evaluation</w:t>
        <w:tab/>
        <w:t>26</w:t>
      </w:r>
    </w:p>
    <w:p>
      <w:pPr>
        <w:spacing w:after="80" w:before="0" w:line="360" w:lineRule="auto"/>
        <w:ind w:left="432"/>
        <w:jc w:val="both"/>
        <w:tabs>
          <w:tab w:val="right" w:leader="dot" w:pos="8640"/>
        </w:tabs>
      </w:pPr>
      <w:r>
        <w:rPr>
          <w:rFonts w:ascii="Times New Roman" w:hAnsi="Times New Roman"/>
          <w:b w:val="0"/>
          <w:sz w:val="23"/>
        </w:rPr>
        <w:t>5.6 Comparison With Direct LLM-to-SQL</w:t>
        <w:tab/>
        <w:t>26</w:t>
      </w:r>
    </w:p>
    <w:p>
      <w:pPr>
        <w:spacing w:after="80" w:before="0" w:line="360" w:lineRule="auto"/>
        <w:ind w:left="432"/>
        <w:jc w:val="both"/>
        <w:tabs>
          <w:tab w:val="right" w:leader="dot" w:pos="8640"/>
        </w:tabs>
      </w:pPr>
      <w:r>
        <w:rPr>
          <w:rFonts w:ascii="Times New Roman" w:hAnsi="Times New Roman"/>
          <w:b w:val="0"/>
          <w:sz w:val="23"/>
        </w:rPr>
        <w:t>5.7 Interpretation</w:t>
        <w:tab/>
        <w:t>27</w:t>
      </w:r>
    </w:p>
    <w:p>
      <w:pPr>
        <w:spacing w:after="160" w:before="80" w:line="360" w:lineRule="auto"/>
        <w:ind w:left="0"/>
        <w:jc w:val="both"/>
        <w:tabs>
          <w:tab w:val="right" w:leader="dot" w:pos="8640"/>
        </w:tabs>
      </w:pPr>
      <w:r>
        <w:rPr>
          <w:rFonts w:ascii="Times New Roman" w:hAnsi="Times New Roman"/>
          <w:b/>
          <w:sz w:val="24"/>
        </w:rPr>
        <w:t>Chapter 6: Limitations and Future Work</w:t>
        <w:tab/>
        <w:t>28</w:t>
      </w:r>
    </w:p>
    <w:p>
      <w:pPr>
        <w:spacing w:after="80" w:before="0" w:line="360" w:lineRule="auto"/>
        <w:ind w:left="432"/>
        <w:jc w:val="both"/>
        <w:tabs>
          <w:tab w:val="right" w:leader="dot" w:pos="8640"/>
        </w:tabs>
      </w:pPr>
      <w:r>
        <w:rPr>
          <w:rFonts w:ascii="Times New Roman" w:hAnsi="Times New Roman"/>
          <w:b w:val="0"/>
          <w:sz w:val="23"/>
        </w:rPr>
        <w:t>6.1 Limitations</w:t>
        <w:tab/>
        <w:t>28</w:t>
      </w:r>
    </w:p>
    <w:p>
      <w:pPr>
        <w:spacing w:after="80" w:before="0" w:line="360" w:lineRule="auto"/>
        <w:ind w:left="432"/>
        <w:jc w:val="both"/>
        <w:tabs>
          <w:tab w:val="right" w:leader="dot" w:pos="8640"/>
        </w:tabs>
      </w:pPr>
      <w:r>
        <w:rPr>
          <w:rFonts w:ascii="Times New Roman" w:hAnsi="Times New Roman"/>
          <w:b w:val="0"/>
          <w:sz w:val="23"/>
        </w:rPr>
        <w:t>6.2 Future Work</w:t>
        <w:tab/>
        <w:t>29</w:t>
      </w:r>
    </w:p>
    <w:p>
      <w:pPr>
        <w:spacing w:after="160" w:before="80" w:line="360" w:lineRule="auto"/>
        <w:ind w:left="0"/>
        <w:jc w:val="both"/>
        <w:tabs>
          <w:tab w:val="right" w:leader="dot" w:pos="8640"/>
        </w:tabs>
      </w:pPr>
      <w:r>
        <w:rPr>
          <w:rFonts w:ascii="Times New Roman" w:hAnsi="Times New Roman"/>
          <w:b/>
          <w:sz w:val="24"/>
        </w:rPr>
        <w:t>Chapter 7: Conclusion</w:t>
        <w:tab/>
        <w:t>30</w:t>
      </w:r>
    </w:p>
    <w:p>
      <w:pPr>
        <w:spacing w:after="160" w:before="80" w:line="360" w:lineRule="auto"/>
        <w:ind w:left="0"/>
        <w:jc w:val="both"/>
        <w:tabs>
          <w:tab w:val="right" w:leader="dot" w:pos="8640"/>
        </w:tabs>
      </w:pPr>
      <w:r>
        <w:rPr>
          <w:rFonts w:ascii="Times New Roman" w:hAnsi="Times New Roman"/>
          <w:b/>
          <w:sz w:val="24"/>
        </w:rPr>
        <w:t>References</w:t>
        <w:tab/>
        <w:t>31</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16</w:t>
      </w:r>
    </w:p>
    <w:p>
      <w:pPr>
        <w:spacing w:after="80" w:before="0" w:line="360" w:lineRule="auto"/>
        <w:jc w:val="both"/>
        <w:tabs>
          <w:tab w:val="right" w:leader="dot" w:pos="8640"/>
        </w:tabs>
      </w:pPr>
      <w:r>
        <w:rPr>
          <w:rFonts w:ascii="Times New Roman" w:hAnsi="Times New Roman"/>
          <w:sz w:val="24"/>
        </w:rPr>
        <w:t>Figure 5: Two-layer SQL safety defence</w:t>
        <w:tab/>
        <w:t>18</w:t>
      </w:r>
    </w:p>
    <w:p>
      <w:pPr>
        <w:spacing w:after="80" w:before="0" w:line="360" w:lineRule="auto"/>
        <w:jc w:val="both"/>
        <w:tabs>
          <w:tab w:val="right" w:leader="dot" w:pos="8640"/>
        </w:tabs>
      </w:pPr>
      <w:r>
        <w:rPr>
          <w:rFonts w:ascii="Times New Roman" w:hAnsi="Times New Roman"/>
          <w:sz w:val="24"/>
        </w:rPr>
        <w:t>Figure 6: Widget lifecycle and refresh model</w:t>
        <w:tab/>
        <w:t>19</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14</w:t>
      </w:r>
    </w:p>
    <w:p>
      <w:pPr>
        <w:spacing w:after="80" w:before="0" w:line="360" w:lineRule="auto"/>
        <w:jc w:val="both"/>
        <w:tabs>
          <w:tab w:val="right" w:leader="dot" w:pos="8640"/>
        </w:tabs>
      </w:pPr>
      <w:r>
        <w:rPr>
          <w:rFonts w:ascii="Times New Roman" w:hAnsi="Times New Roman"/>
          <w:sz w:val="24"/>
        </w:rPr>
        <w:t>Table 3.3: AEGIS analytical patterns</w:t>
        <w:tab/>
        <w:t>17</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Prototype module-to-architecture mapping</w:t>
        <w:tab/>
        <w:t>21</w:t>
      </w:r>
    </w:p>
    <w:p>
      <w:pPr>
        <w:spacing w:after="80" w:before="0" w:line="360" w:lineRule="auto"/>
        <w:jc w:val="both"/>
        <w:tabs>
          <w:tab w:val="right" w:leader="dot" w:pos="8640"/>
        </w:tabs>
      </w:pPr>
      <w:r>
        <w:rPr>
          <w:rFonts w:ascii="Times New Roman" w:hAnsi="Times New Roman"/>
          <w:sz w:val="24"/>
        </w:rPr>
        <w:t>Table 4.2: Experimental setup</w:t>
        <w:tab/>
        <w:t>21</w:t>
      </w:r>
    </w:p>
    <w:p>
      <w:pPr>
        <w:spacing w:after="80" w:before="0" w:line="360" w:lineRule="auto"/>
        <w:jc w:val="both"/>
        <w:tabs>
          <w:tab w:val="right" w:leader="dot" w:pos="8640"/>
        </w:tabs>
      </w:pPr>
      <w:r>
        <w:rPr>
          <w:rFonts w:ascii="Times New Roman" w:hAnsi="Times New Roman"/>
          <w:sz w:val="24"/>
        </w:rPr>
        <w:t>Table 4.3: Static evaluation datasets</w:t>
        <w:tab/>
        <w:t>22</w:t>
      </w:r>
    </w:p>
    <w:p>
      <w:pPr>
        <w:spacing w:after="80" w:before="0" w:line="360" w:lineRule="auto"/>
        <w:jc w:val="both"/>
        <w:tabs>
          <w:tab w:val="right" w:leader="dot" w:pos="8640"/>
        </w:tabs>
      </w:pPr>
      <w:r>
        <w:rPr>
          <w:rFonts w:ascii="Times New Roman" w:hAnsi="Times New Roman"/>
          <w:sz w:val="24"/>
        </w:rPr>
        <w:t>Table 5.1: Current evaluation artifacts</w:t>
        <w:tab/>
        <w:t>24</w:t>
      </w:r>
    </w:p>
    <w:p>
      <w:pPr>
        <w:spacing w:after="80" w:before="0" w:line="360" w:lineRule="auto"/>
        <w:jc w:val="both"/>
        <w:tabs>
          <w:tab w:val="right" w:leader="dot" w:pos="8640"/>
        </w:tabs>
      </w:pPr>
      <w:r>
        <w:rPr>
          <w:rFonts w:ascii="Times New Roman" w:hAnsi="Times New Roman"/>
          <w:sz w:val="24"/>
        </w:rPr>
        <w:t>Table 5.2: 500-question live benchmark results</w:t>
        <w:tab/>
        <w:t>25</w:t>
      </w:r>
    </w:p>
    <w:p>
      <w:pPr>
        <w:spacing w:after="80" w:before="0" w:line="360" w:lineRule="auto"/>
        <w:jc w:val="both"/>
        <w:tabs>
          <w:tab w:val="right" w:leader="dot" w:pos="8640"/>
        </w:tabs>
      </w:pPr>
      <w:r>
        <w:rPr>
          <w:rFonts w:ascii="Times New Roman" w:hAnsi="Times New Roman"/>
          <w:sz w:val="24"/>
        </w:rPr>
        <w:t>Table 5.3: Admin analytics oracle benchmark</w:t>
        <w:tab/>
        <w:t>25</w:t>
      </w:r>
    </w:p>
    <w:p>
      <w:pPr>
        <w:spacing w:after="80" w:before="0" w:line="360" w:lineRule="auto"/>
        <w:jc w:val="both"/>
        <w:tabs>
          <w:tab w:val="right" w:leader="dot" w:pos="8640"/>
        </w:tabs>
      </w:pPr>
      <w:r>
        <w:rPr>
          <w:rFonts w:ascii="Times New Roman" w:hAnsi="Times New Roman"/>
          <w:sz w:val="24"/>
        </w:rPr>
        <w:t>Table 5.4: Focused semantic coverage results</w:t>
        <w:tab/>
        <w:t>26</w:t>
      </w:r>
    </w:p>
    <w:p>
      <w:pPr>
        <w:spacing w:after="80" w:before="0" w:line="360" w:lineRule="auto"/>
        <w:jc w:val="both"/>
        <w:tabs>
          <w:tab w:val="right" w:leader="dot" w:pos="8640"/>
        </w:tabs>
      </w:pPr>
      <w:r>
        <w:rPr>
          <w:rFonts w:ascii="Times New Roman" w:hAnsi="Times New Roman"/>
          <w:sz w:val="24"/>
        </w:rPr>
        <w:t>Table 5.5: Safety interpretation</w:t>
        <w:tab/>
        <w:t>26</w:t>
      </w:r>
    </w:p>
    <w:p>
      <w:pPr>
        <w:spacing w:after="80" w:before="0" w:line="360" w:lineRule="auto"/>
        <w:jc w:val="both"/>
        <w:tabs>
          <w:tab w:val="right" w:leader="dot" w:pos="8640"/>
        </w:tabs>
      </w:pPr>
      <w:r>
        <w:rPr>
          <w:rFonts w:ascii="Times New Roman" w:hAnsi="Times New Roman"/>
          <w:sz w:val="24"/>
        </w:rPr>
        <w:t>Table 5.6: Structural comparison</w:t>
        <w:tab/>
        <w:t>27</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is model independence by design, not an implementation accident.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Admin analytics oracles, Admin-fidelity phrasings, and focused semantic-coverage checks.</w:t>
      </w:r>
    </w:p>
    <w:p>
      <w:pPr>
        <w:pStyle w:val="ListNumber"/>
        <w:spacing w:after="80" w:line="360" w:lineRule="auto"/>
      </w:pPr>
      <w:r>
        <w:rPr>
          <w:rFonts w:ascii="Times New Roman" w:hAnsi="Times New Roman"/>
          <w:sz w:val="24"/>
        </w:rPr>
        <w:t>An empirical evaluation showing broad supported-request coverage, strong boundary rejection,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6"/>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6"/>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073589"/>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073589"/>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This presentation follows the style used by related systems: Veezoo describes a Knowledge Graph, parser, query processor, and visualization engine [6]; G-SQL describes JSON schema serialization and rule-guided clause construction [9]; and NL4DV exposes a JSON analytic specification for attributes, tasks, and visualization choices [11]. AEGIS therefore defines the semantic layer as an explicit implementation contract rather than as a general idea.</w:t>
      </w:r>
    </w:p>
    <w:p>
      <w:pPr>
        <w:spacing w:before="160" w:after="80"/>
        <w:jc w:val="center"/>
        <w:keepNext/>
      </w:pPr>
      <w:r>
        <w:drawing>
          <wp:inline xmlns:a="http://schemas.openxmlformats.org/drawingml/2006/main" xmlns:pic="http://schemas.openxmlformats.org/drawingml/2006/picture">
            <wp:extent cx="5715000" cy="4481434"/>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4481434"/>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structured intent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 Its role is not to be creative; its role is to prove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and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676295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676295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40649"/>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40649"/>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 4.70-style e-commerce schema.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is included to make the prototype auditable: the thesis architecture is not only a conceptual pipeline, and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4.70-style e-commerce schema</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broad nopCommerce semantic-layer coverage and realistic boundary refusal.</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 analytics oracles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16 tasks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Checks fidelity against source-derived nopCommerce Admin reporting logic.</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Admin-fidelity phrasings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80 prompts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five natural phrasings for each Admin oracle task.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Semantic coverage suite</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25 checks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representative supported combinations and focused boundary cases.</w:t>
            </w:r>
          </w:p>
        </w:tc>
      </w:tr>
    </w:tbl>
    <w:p>
      <w:pPr>
        <w:spacing w:after="80"/>
      </w:pP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First, the thesis discusses the structural contrast between AEGIS and direct LLM-to-SQL systems, where the model is allowed to generate SQL text. Second, the Admin fidelity benchmark compares AEGIS output with source-derived nopCommerce Admin analytics oracles. The second comparison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w:t>
      </w:r>
      <w:r>
        <w:rPr>
          <w:rFonts w:ascii="Times New Roman" w:hAnsi="Times New Roman"/>
          <w:sz w:val="24"/>
        </w:rPr>
        <w:t>The model is prompted to generate SQL directly from a database schema. This baseline has broad expressive freedom but weak control because joins, filters, and business definitions are inferred per request.</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oracle comparison: </w:t>
      </w:r>
      <w:r>
        <w:rPr>
          <w:rFonts w:ascii="Times New Roman" w:hAnsi="Times New Roman"/>
          <w:sz w:val="24"/>
        </w:rPr>
        <w:t>Expected outputs are extracted from nopCommerce Admin analytics logic. AEGIS can use different SQL text, but the returned result shape and values must match the oracle.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outputs match the shape and values of source-derived nopCommerce Admin analytics oracles?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current AEGIS prototype evaluation using static nopCommerce datasets committed with the repository. The evaluation separates four questions that are often mixed together: whether the system can parse a natural-language request, whether the request is covered by the semantic layer, whether the compiled SQL executes, and whether the returned result matches the expected business answer.</w:t>
      </w:r>
    </w:p>
    <w:p>
      <w:pPr>
        <w:spacing w:after="0" w:before="0" w:line="360" w:lineRule="auto"/>
        <w:jc w:val="both"/>
      </w:pPr>
      <w:r>
        <w:rPr>
          <w:rFonts w:ascii="Times New Roman" w:hAnsi="Times New Roman"/>
          <w:b w:val="0"/>
          <w:i w:val="0"/>
          <w:sz w:val="24"/>
        </w:rPr>
        <w:t>The results should not be read as a claim that AEGIS is a perfect analytics system. A perfect score on every table would be suspicious for a prototype. Instead, the evaluation shows where the architecture is strong, where the current nopCommerce implementation is already useful, and where a visible implementation gap remains.</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Current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 analytics oracles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outputs with source-derived nopCommerce Admin reporting logic.</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16 oracle tasks.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Admin-fidelity phrasings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Checks whether the same Admin task can be requested in multiple natural phrasings.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80 prompts, five per oracle task.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Focused semantic coverage suite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Checks representative metric, dimension, trend, ranking, exception, and boundary cases.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supported and 5 boundary checks.</w:t>
            </w:r>
          </w:p>
        </w:tc>
      </w:tr>
    </w:tbl>
    <w:p>
      <w:pPr>
        <w:spacing w:after="80"/>
      </w:pPr>
    </w:p>
    <w:p>
      <w:pPr>
        <w:spacing w:after="0" w:before="0" w:line="360" w:lineRule="auto"/>
        <w:jc w:val="both"/>
      </w:pPr>
      <w:r>
        <w:rPr>
          <w:rFonts w:ascii="Times New Roman" w:hAnsi="Times New Roman"/>
          <w:b w:val="0"/>
          <w:i w:val="0"/>
          <w:sz w:val="24"/>
        </w:rPr>
        <w:t>These datasets are static research artifacts, not generated at evaluation time. This matters because a thesis result must be reproducible: another reader should be able to inspect the exact questions, oracle definitions, scripts, and result files used for the reported claims.</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498/500 (99.6%)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LLM API usually returned a valid typed intent.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345/425 (81.2%)</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Many prompts were parsed exactly; remaining supported prompts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all requests that were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successfully.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74/75 (98.7%)</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rejected or clarified.</w:t>
            </w:r>
          </w:p>
        </w:tc>
      </w:tr>
    </w:tbl>
    <w:p>
      <w:pPr>
        <w:spacing w:after="80"/>
      </w:pPr>
    </w:p>
    <w:p>
      <w:pPr>
        <w:spacing w:after="0" w:before="0" w:line="360" w:lineRule="auto"/>
        <w:jc w:val="both"/>
      </w:pPr>
      <w:r>
        <w:rPr>
          <w:rFonts w:ascii="Times New Roman" w:hAnsi="Times New Roman"/>
          <w:b w:val="0"/>
          <w:i w:val="0"/>
          <w:sz w:val="24"/>
        </w:rPr>
        <w:t>This result supports the bounded-system claim. AEGIS is not trying to answer infinite arbitrary SQL questions. It is trying to answer a large, useful set of questions made available by the semantic layer and to avoid silently inventing answers for unavailable concepts.</w:t>
      </w:r>
    </w:p>
    <w:p>
      <w:pPr>
        <w:spacing w:before="320" w:after="160"/>
        <w:jc w:val="left"/>
      </w:pPr>
      <w:r>
        <w:rPr>
          <w:rFonts w:ascii="Times New Roman" w:hAnsi="Times New Roman"/>
          <w:b/>
          <w:sz w:val="28"/>
        </w:rPr>
        <w:t>5.3  Admin Fidelity Benchmark</w:t>
      </w:r>
    </w:p>
    <w:p>
      <w:pPr>
        <w:spacing w:after="200" w:before="0" w:line="360" w:lineRule="auto"/>
        <w:jc w:val="both"/>
      </w:pPr>
      <w:r>
        <w:rPr>
          <w:rFonts w:ascii="Times New Roman" w:hAnsi="Times New Roman"/>
          <w:b w:val="0"/>
          <w:i w:val="0"/>
          <w:sz w:val="24"/>
        </w:rPr>
        <w:t>The Admin fidelity benchmark is stricter than asking whether AEGIS can produce some chartable SQL. It extracts reporting expectations from nopCommerce Admin analytics and compares the returned shape and values against those source-derived oracles. Exact SQL text is not required; the important question is whether the answer has the correct business meaning.</w:t>
      </w:r>
    </w:p>
    <w:p>
      <w:pPr>
        <w:spacing w:before="200" w:after="80"/>
        <w:jc w:val="center"/>
        <w:keepNext/>
      </w:pPr>
      <w:r>
        <w:rPr>
          <w:rFonts w:ascii="Times New Roman" w:hAnsi="Times New Roman"/>
          <w:b/>
          <w:sz w:val="22"/>
        </w:rPr>
        <w:t>Table 5.3: Admin analytics oracle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944"/>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Execution validity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16/16 (100.0%)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Admin oracle task produced executable 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Shape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16/16 (100.0%)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output used the expected row/column structure.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Result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15/16 (93.8%)</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One dashboard order-average matrix still differs from nopCommerce.</w:t>
            </w:r>
          </w:p>
        </w:tc>
      </w:tr>
    </w:tbl>
    <w:p>
      <w:pPr>
        <w:spacing w:after="80"/>
      </w:pPr>
    </w:p>
    <w:p>
      <w:pPr>
        <w:spacing w:after="0" w:before="0" w:line="360" w:lineRule="auto"/>
        <w:jc w:val="both"/>
      </w:pPr>
      <w:r>
        <w:rPr>
          <w:rFonts w:ascii="Times New Roman" w:hAnsi="Times New Roman"/>
          <w:b w:val="0"/>
          <w:i w:val="0"/>
          <w:sz w:val="24"/>
        </w:rPr>
        <w:t>The remaining mismatch is useful evidence rather than an embarrassment. It shows that the benchmark is capable of finding a real gap. The gap should be fixed by adding a general multi-period matrix-summary primitive to the compiler, not by hardcoding a nopCommerce report shortcut.</w:t>
      </w:r>
    </w:p>
    <w:p>
      <w:pPr>
        <w:spacing w:before="320" w:after="160"/>
        <w:jc w:val="left"/>
      </w:pPr>
      <w:r>
        <w:rPr>
          <w:rFonts w:ascii="Times New Roman" w:hAnsi="Times New Roman"/>
          <w:b/>
          <w:sz w:val="28"/>
        </w:rPr>
        <w:t>5.4  Focused Semantic Coverage</w:t>
      </w:r>
    </w:p>
    <w:p>
      <w:pPr>
        <w:spacing w:before="200" w:after="80"/>
        <w:jc w:val="center"/>
        <w:keepNext/>
      </w:pPr>
      <w:r>
        <w:rPr>
          <w:rFonts w:ascii="Times New Roman" w:hAnsi="Times New Roman"/>
          <w:b/>
          <w:sz w:val="22"/>
        </w:rPr>
        <w:t>Table 5.4: Focused semantic coverage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944"/>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Representative supported requests executed.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shape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Outputs matched the expected widget form.</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result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Focused supported cases matched expected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5/5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Focused unsupported cases were rejected.</w:t>
            </w:r>
          </w:p>
        </w:tc>
      </w:tr>
    </w:tbl>
    <w:p>
      <w:pPr>
        <w:spacing w:after="80"/>
      </w:pPr>
    </w:p>
    <w:p>
      <w:pPr>
        <w:spacing w:after="0" w:before="0" w:line="360" w:lineRule="auto"/>
        <w:jc w:val="both"/>
      </w:pPr>
      <w:r>
        <w:rPr>
          <w:rFonts w:ascii="Times New Roman" w:hAnsi="Times New Roman"/>
          <w:b w:val="0"/>
          <w:i w:val="0"/>
          <w:sz w:val="24"/>
        </w:rPr>
        <w:t>This small suite is not presented as proof of perfection. It is a regression and coverage check over representative semantic-layer combinations. The broader 500-question benchmark and the Admin oracle mismatch are what keep the evaluation honest.</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 typed intent object. SQL is then produced by deterministic templates over approved semantic-layer definitions and checked before execution. Therefore, prompt text from the user is not interpolated into executable SQL.</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structured intent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AEGIS deliberately gives up unlimited query flexibility in exchange for Approved definitions, deterministic compilation, and an explicit refusal path.</w:t>
      </w:r>
    </w:p>
    <w:p>
      <w:pPr>
        <w:spacing w:before="200" w:after="80"/>
        <w:jc w:val="center"/>
        <w:keepNext/>
      </w:pPr>
      <w:r>
        <w:rPr>
          <w:rFonts w:ascii="Times New Roman" w:hAnsi="Times New Roman"/>
          <w:b/>
          <w:sz w:val="22"/>
        </w:rPr>
        <w:t>Table 5.6: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a system that answers an unsupported question with a plausible but wrong query is less trustworthy than one that declines. Third, the remaining Admin fidelity gap is an implementation gap in the current compiler, not evidence that the architecture must be replaced.</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The Admin oracle benchmark reaches 15/16 result accuracy. The remaining dashboard mismatch requires a general multi-period matrix-summary primitive, not a hardcoded report-name preset.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Matrix summaries: </w:t>
      </w:r>
      <w:r>
        <w:rPr>
          <w:rFonts w:ascii="Times New Roman" w:hAnsi="Times New Roman"/>
          <w:sz w:val="24"/>
        </w:rPr>
        <w:t>Add the general matrix-summary primitive needed for the remaining Admin fidelity mismatch, while keeping the compiler template-based and avoiding report-specific presets.</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498 of 500 prompts, answered and executed 422 of 425 supported requests, and rejected or clarified 74 of 75 realistic boundary requests. Against 16 source-derived Admin analytics oracles, it achieved 16 of 16 execution validity, 16 of 16 shape accuracy, and 15 of 16 result accuracy. The focused semantic-coverage suite further confirmed representative supported and boundary cases.</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remaining Admin mismatch strengthens the evaluation because it shows that the benchmark can expose real implementation gaps. Fixing that gap should extend the general compiler with a reusable matrix-summary primitive, not add a nopCommerce-specific shortcut.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