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Batch: 16th</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9</w:t>
      </w:r>
    </w:p>
    <w:p>
      <w:pPr>
        <w:spacing w:after="80" w:before="0" w:line="360" w:lineRule="auto"/>
        <w:ind w:left="432"/>
        <w:jc w:val="both"/>
        <w:tabs>
          <w:tab w:val="right" w:leader="dot" w:pos="8640"/>
        </w:tabs>
      </w:pPr>
      <w:r>
        <w:rPr>
          <w:rFonts w:ascii="Times New Roman" w:hAnsi="Times New Roman"/>
          <w:b w:val="0"/>
          <w:sz w:val="23"/>
        </w:rPr>
        <w:t>3.3 Design Principles</w:t>
        <w:tab/>
        <w:t>10</w:t>
      </w:r>
    </w:p>
    <w:p>
      <w:pPr>
        <w:spacing w:after="80" w:before="0" w:line="360" w:lineRule="auto"/>
        <w:ind w:left="432"/>
        <w:jc w:val="both"/>
        <w:tabs>
          <w:tab w:val="right" w:leader="dot" w:pos="8640"/>
        </w:tabs>
      </w:pPr>
      <w:r>
        <w:rPr>
          <w:rFonts w:ascii="Times New Roman" w:hAnsi="Times New Roman"/>
          <w:b w:val="0"/>
          <w:sz w:val="23"/>
        </w:rPr>
        <w:t>3.4 Formal Model</w:t>
        <w:tab/>
        <w:t>11</w:t>
      </w:r>
    </w:p>
    <w:p>
      <w:pPr>
        <w:spacing w:after="80" w:before="0" w:line="360" w:lineRule="auto"/>
        <w:ind w:left="432"/>
        <w:jc w:val="both"/>
        <w:tabs>
          <w:tab w:val="right" w:leader="dot" w:pos="8640"/>
        </w:tabs>
      </w:pPr>
      <w:r>
        <w:rPr>
          <w:rFonts w:ascii="Times New Roman" w:hAnsi="Times New Roman"/>
          <w:b w:val="0"/>
          <w:sz w:val="23"/>
        </w:rPr>
        <w:t>3.5 Threat Model</w:t>
        <w:tab/>
        <w:t>11</w:t>
      </w:r>
    </w:p>
    <w:p>
      <w:pPr>
        <w:spacing w:after="80" w:before="0" w:line="360" w:lineRule="auto"/>
        <w:ind w:left="432"/>
        <w:jc w:val="both"/>
        <w:tabs>
          <w:tab w:val="right" w:leader="dot" w:pos="8640"/>
        </w:tabs>
      </w:pPr>
      <w:r>
        <w:rPr>
          <w:rFonts w:ascii="Times New Roman" w:hAnsi="Times New Roman"/>
          <w:b w:val="0"/>
          <w:sz w:val="23"/>
        </w:rPr>
        <w:t>3.6 System Architecture</w:t>
        <w:tab/>
        <w:t>13</w:t>
      </w:r>
    </w:p>
    <w:p>
      <w:pPr>
        <w:spacing w:after="80" w:before="0" w:line="360" w:lineRule="auto"/>
        <w:ind w:left="432"/>
        <w:jc w:val="both"/>
        <w:tabs>
          <w:tab w:val="right" w:leader="dot" w:pos="8640"/>
        </w:tabs>
      </w:pPr>
      <w:r>
        <w:rPr>
          <w:rFonts w:ascii="Times New Roman" w:hAnsi="Times New Roman"/>
          <w:b w:val="0"/>
          <w:sz w:val="23"/>
        </w:rPr>
        <w:t>3.7 Semantic Layer Design</w:t>
        <w:tab/>
        <w:t>14</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18</w:t>
      </w:r>
    </w:p>
    <w:p>
      <w:pPr>
        <w:spacing w:after="80" w:before="0" w:line="360" w:lineRule="auto"/>
        <w:ind w:left="432"/>
        <w:jc w:val="both"/>
        <w:tabs>
          <w:tab w:val="right" w:leader="dot" w:pos="8640"/>
        </w:tabs>
      </w:pPr>
      <w:r>
        <w:rPr>
          <w:rFonts w:ascii="Times New Roman" w:hAnsi="Times New Roman"/>
          <w:b w:val="0"/>
          <w:sz w:val="23"/>
        </w:rPr>
        <w:t>3.10 Visualization Selector</w:t>
        <w:tab/>
        <w:t>19</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Systems</w:t>
        <w:tab/>
        <w:t>24</w:t>
      </w:r>
    </w:p>
    <w:p>
      <w:pPr>
        <w:spacing w:after="80" w:before="0" w:line="360" w:lineRule="auto"/>
        <w:ind w:left="432"/>
        <w:jc w:val="both"/>
        <w:tabs>
          <w:tab w:val="right" w:leader="dot" w:pos="8640"/>
        </w:tabs>
      </w:pPr>
      <w:r>
        <w:rPr>
          <w:rFonts w:ascii="Times New Roman" w:hAnsi="Times New Roman"/>
          <w:b w:val="0"/>
          <w:sz w:val="23"/>
        </w:rPr>
        <w:t>4.5 Evaluation Procedure</w:t>
        <w:tab/>
        <w:t>24</w:t>
      </w:r>
    </w:p>
    <w:p>
      <w:pPr>
        <w:spacing w:after="160" w:before="80" w:line="360" w:lineRule="auto"/>
        <w:ind w:left="0"/>
        <w:jc w:val="both"/>
        <w:tabs>
          <w:tab w:val="right" w:leader="dot" w:pos="8640"/>
        </w:tabs>
      </w:pPr>
      <w:r>
        <w:rPr>
          <w:rFonts w:ascii="Times New Roman" w:hAnsi="Times New Roman"/>
          <w:b/>
          <w:sz w:val="24"/>
        </w:rPr>
        <w:t>Chapter 5: Results and Discussion</w:t>
        <w:tab/>
        <w:t>26</w:t>
      </w:r>
    </w:p>
    <w:p>
      <w:pPr>
        <w:spacing w:after="80" w:before="0" w:line="360" w:lineRule="auto"/>
        <w:ind w:left="432"/>
        <w:jc w:val="both"/>
        <w:tabs>
          <w:tab w:val="right" w:leader="dot" w:pos="8640"/>
        </w:tabs>
      </w:pPr>
      <w:r>
        <w:rPr>
          <w:rFonts w:ascii="Times New Roman" w:hAnsi="Times New Roman"/>
          <w:b w:val="0"/>
          <w:sz w:val="23"/>
        </w:rPr>
        <w:t>5.1 Evaluation Overview</w:t>
        <w:tab/>
        <w:t>26</w:t>
      </w:r>
    </w:p>
    <w:p>
      <w:pPr>
        <w:spacing w:after="80" w:before="0" w:line="360" w:lineRule="auto"/>
        <w:ind w:left="432"/>
        <w:jc w:val="both"/>
        <w:tabs>
          <w:tab w:val="right" w:leader="dot" w:pos="8640"/>
        </w:tabs>
      </w:pPr>
      <w:r>
        <w:rPr>
          <w:rFonts w:ascii="Times New Roman" w:hAnsi="Times New Roman"/>
          <w:b w:val="0"/>
          <w:sz w:val="23"/>
        </w:rPr>
        <w:t>5.2 Main Result Summary</w:t>
        <w:tab/>
        <w:t>26</w:t>
      </w:r>
    </w:p>
    <w:p>
      <w:pPr>
        <w:spacing w:after="80" w:before="0" w:line="360" w:lineRule="auto"/>
        <w:ind w:left="432"/>
        <w:jc w:val="both"/>
        <w:tabs>
          <w:tab w:val="right" w:leader="dot" w:pos="8640"/>
        </w:tabs>
      </w:pPr>
      <w:r>
        <w:rPr>
          <w:rFonts w:ascii="Times New Roman" w:hAnsi="Times New Roman"/>
          <w:b w:val="0"/>
          <w:sz w:val="23"/>
        </w:rPr>
        <w:t>5.3 SQL Safety</w:t>
        <w:tab/>
        <w:t>27</w:t>
      </w:r>
    </w:p>
    <w:p>
      <w:pPr>
        <w:spacing w:after="80" w:before="0" w:line="360" w:lineRule="auto"/>
        <w:ind w:left="432"/>
        <w:jc w:val="both"/>
        <w:tabs>
          <w:tab w:val="right" w:leader="dot" w:pos="8640"/>
        </w:tabs>
      </w:pPr>
      <w:r>
        <w:rPr>
          <w:rFonts w:ascii="Times New Roman" w:hAnsi="Times New Roman"/>
          <w:b w:val="0"/>
          <w:sz w:val="23"/>
        </w:rPr>
        <w:t>5.4 True Database Execution Validity</w:t>
        <w:tab/>
        <w:t>28</w:t>
      </w:r>
    </w:p>
    <w:p>
      <w:pPr>
        <w:spacing w:after="80" w:before="0" w:line="360" w:lineRule="auto"/>
        <w:ind w:left="432"/>
        <w:jc w:val="both"/>
        <w:tabs>
          <w:tab w:val="right" w:leader="dot" w:pos="8640"/>
        </w:tabs>
      </w:pPr>
      <w:r>
        <w:rPr>
          <w:rFonts w:ascii="Times New Roman" w:hAnsi="Times New Roman"/>
          <w:b w:val="0"/>
          <w:sz w:val="23"/>
        </w:rPr>
        <w:t>5.5 Execution Failure Analysis</w:t>
        <w:tab/>
        <w:t>28</w:t>
      </w:r>
    </w:p>
    <w:p>
      <w:pPr>
        <w:spacing w:after="80" w:before="0" w:line="360" w:lineRule="auto"/>
        <w:ind w:left="432"/>
        <w:jc w:val="both"/>
        <w:tabs>
          <w:tab w:val="right" w:leader="dot" w:pos="8640"/>
        </w:tabs>
      </w:pPr>
      <w:r>
        <w:rPr>
          <w:rFonts w:ascii="Times New Roman" w:hAnsi="Times New Roman"/>
          <w:b w:val="0"/>
          <w:sz w:val="23"/>
        </w:rPr>
        <w:t>5.6 Semantic Correctness and Scope Handling</w:t>
        <w:tab/>
        <w:t>29</w:t>
      </w:r>
    </w:p>
    <w:p>
      <w:pPr>
        <w:spacing w:after="80" w:before="0" w:line="360" w:lineRule="auto"/>
        <w:ind w:left="432"/>
        <w:jc w:val="both"/>
        <w:tabs>
          <w:tab w:val="right" w:leader="dot" w:pos="8640"/>
        </w:tabs>
      </w:pPr>
      <w:r>
        <w:rPr>
          <w:rFonts w:ascii="Times New Roman" w:hAnsi="Times New Roman"/>
          <w:b w:val="0"/>
          <w:sz w:val="23"/>
        </w:rPr>
        <w:t>5.7 Baseline and Runtime Analysis</w:t>
        <w:tab/>
        <w:t>30</w:t>
      </w:r>
    </w:p>
    <w:p>
      <w:pPr>
        <w:spacing w:after="80" w:before="0" w:line="360" w:lineRule="auto"/>
        <w:ind w:left="432"/>
        <w:jc w:val="both"/>
        <w:tabs>
          <w:tab w:val="right" w:leader="dot" w:pos="8640"/>
        </w:tabs>
      </w:pPr>
      <w:r>
        <w:rPr>
          <w:rFonts w:ascii="Times New Roman" w:hAnsi="Times New Roman"/>
          <w:b w:val="0"/>
          <w:sz w:val="23"/>
        </w:rPr>
        <w:t>5.8 Comparative Discussion and Robustness</w:t>
        <w:tab/>
        <w:t>31</w:t>
      </w:r>
    </w:p>
    <w:p>
      <w:pPr>
        <w:spacing w:after="80" w:before="0" w:line="360" w:lineRule="auto"/>
        <w:ind w:left="432"/>
        <w:jc w:val="both"/>
        <w:tabs>
          <w:tab w:val="right" w:leader="dot" w:pos="8640"/>
        </w:tabs>
      </w:pPr>
      <w:r>
        <w:rPr>
          <w:rFonts w:ascii="Times New Roman" w:hAnsi="Times New Roman"/>
          <w:b w:val="0"/>
          <w:sz w:val="23"/>
        </w:rPr>
        <w:t>5.9 Abstention-Aware Evaluation</w:t>
        <w:tab/>
        <w:t>32</w:t>
      </w:r>
    </w:p>
    <w:p>
      <w:pPr>
        <w:spacing w:after="80" w:before="0" w:line="360" w:lineRule="auto"/>
        <w:ind w:left="432"/>
        <w:jc w:val="both"/>
        <w:tabs>
          <w:tab w:val="right" w:leader="dot" w:pos="8640"/>
        </w:tabs>
      </w:pPr>
      <w:r>
        <w:rPr>
          <w:rFonts w:ascii="Times New Roman" w:hAnsi="Times New Roman"/>
          <w:b w:val="0"/>
          <w:sz w:val="23"/>
        </w:rPr>
        <w:t>5.10 Coverage Against the Platform's Native Report Suite</w:t>
        <w:tab/>
        <w:t>34</w:t>
      </w:r>
    </w:p>
    <w:p>
      <w:pPr>
        <w:spacing w:after="160" w:before="80" w:line="360" w:lineRule="auto"/>
        <w:ind w:left="0"/>
        <w:jc w:val="both"/>
        <w:tabs>
          <w:tab w:val="right" w:leader="dot" w:pos="8640"/>
        </w:tabs>
      </w:pPr>
      <w:r>
        <w:rPr>
          <w:rFonts w:ascii="Times New Roman" w:hAnsi="Times New Roman"/>
          <w:b/>
          <w:sz w:val="24"/>
        </w:rPr>
        <w:t>Chapter 6: Limitations and Future Work</w:t>
        <w:tab/>
        <w:t>36</w:t>
      </w:r>
    </w:p>
    <w:p>
      <w:pPr>
        <w:spacing w:after="160" w:before="80" w:line="360" w:lineRule="auto"/>
        <w:ind w:left="0"/>
        <w:jc w:val="both"/>
        <w:tabs>
          <w:tab w:val="right" w:leader="dot" w:pos="8640"/>
        </w:tabs>
      </w:pPr>
      <w:r>
        <w:rPr>
          <w:rFonts w:ascii="Times New Roman" w:hAnsi="Times New Roman"/>
          <w:b/>
          <w:sz w:val="24"/>
        </w:rPr>
        <w:t>Chapter 7: Conclusion</w:t>
        <w:tab/>
        <w:t>37</w:t>
      </w:r>
    </w:p>
    <w:p>
      <w:pPr>
        <w:spacing w:after="160" w:before="80" w:line="360" w:lineRule="auto"/>
        <w:ind w:left="0"/>
        <w:jc w:val="both"/>
        <w:tabs>
          <w:tab w:val="right" w:leader="dot" w:pos="8640"/>
        </w:tabs>
      </w:pPr>
      <w:r>
        <w:rPr>
          <w:rFonts w:ascii="Times New Roman" w:hAnsi="Times New Roman"/>
          <w:b/>
          <w:sz w:val="24"/>
        </w:rPr>
        <w:t>References</w:t>
        <w:tab/>
        <w:t>38</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Benchmark pattern classification</w:t>
        <w:tab/>
        <w:t>10</w:t>
      </w:r>
    </w:p>
    <w:p>
      <w:pPr>
        <w:spacing w:after="80" w:before="0" w:line="360" w:lineRule="auto"/>
        <w:jc w:val="both"/>
        <w:tabs>
          <w:tab w:val="right" w:leader="dot" w:pos="8640"/>
        </w:tabs>
      </w:pPr>
      <w:r>
        <w:rPr>
          <w:rFonts w:ascii="Times New Roman" w:hAnsi="Times New Roman"/>
          <w:sz w:val="24"/>
        </w:rPr>
        <w:t>Figure 3: AEGIS architecture pipeline</w:t>
        <w:tab/>
        <w:t>14</w:t>
      </w:r>
    </w:p>
    <w:p>
      <w:pPr>
        <w:spacing w:after="80" w:before="0" w:line="360" w:lineRule="auto"/>
        <w:jc w:val="both"/>
        <w:tabs>
          <w:tab w:val="right" w:leader="dot" w:pos="8640"/>
        </w:tabs>
      </w:pPr>
      <w:r>
        <w:rPr>
          <w:rFonts w:ascii="Times New Roman" w:hAnsi="Times New Roman"/>
          <w:sz w:val="24"/>
        </w:rPr>
        <w:t>Figure 4: Semantic layer modularity</w:t>
        <w:tab/>
        <w:t>15</w:t>
      </w:r>
    </w:p>
    <w:p>
      <w:pPr>
        <w:spacing w:after="80" w:before="0" w:line="360" w:lineRule="auto"/>
        <w:jc w:val="both"/>
        <w:tabs>
          <w:tab w:val="right" w:leader="dot" w:pos="8640"/>
        </w:tabs>
      </w:pPr>
      <w:r>
        <w:rPr>
          <w:rFonts w:ascii="Times New Roman" w:hAnsi="Times New Roman"/>
          <w:sz w:val="24"/>
        </w:rPr>
        <w:t>Figure 5: Vocabulary injection workflow</w:t>
        <w:tab/>
        <w:t>17</w:t>
      </w:r>
    </w:p>
    <w:p>
      <w:pPr>
        <w:spacing w:after="80" w:before="0" w:line="360" w:lineRule="auto"/>
        <w:jc w:val="both"/>
        <w:tabs>
          <w:tab w:val="right" w:leader="dot" w:pos="8640"/>
        </w:tabs>
      </w:pPr>
      <w:r>
        <w:rPr>
          <w:rFonts w:ascii="Times New Roman" w:hAnsi="Times New Roman"/>
          <w:sz w:val="24"/>
        </w:rPr>
        <w:t>Figure 6: AEGIS analytical patterns</w:t>
        <w:tab/>
        <w:t>18</w:t>
      </w:r>
    </w:p>
    <w:p>
      <w:pPr>
        <w:spacing w:after="80" w:before="0" w:line="360" w:lineRule="auto"/>
        <w:jc w:val="both"/>
        <w:tabs>
          <w:tab w:val="right" w:leader="dot" w:pos="8640"/>
        </w:tabs>
      </w:pPr>
      <w:r>
        <w:rPr>
          <w:rFonts w:ascii="Times New Roman" w:hAnsi="Times New Roman"/>
          <w:sz w:val="24"/>
        </w:rPr>
        <w:t>Figure 7: Two-layer SQL safety defence</w:t>
        <w:tab/>
        <w:t>19</w:t>
      </w:r>
    </w:p>
    <w:p>
      <w:pPr>
        <w:spacing w:after="80" w:before="0" w:line="360" w:lineRule="auto"/>
        <w:jc w:val="both"/>
        <w:tabs>
          <w:tab w:val="right" w:leader="dot" w:pos="8640"/>
        </w:tabs>
      </w:pPr>
      <w:r>
        <w:rPr>
          <w:rFonts w:ascii="Times New Roman" w:hAnsi="Times New Roman"/>
          <w:sz w:val="24"/>
        </w:rPr>
        <w:t>Figure 8: Widget lifecycle and refresh model</w:t>
        <w:tab/>
        <w:t>21</w:t>
      </w:r>
    </w:p>
    <w:p>
      <w:pPr>
        <w:spacing w:after="80" w:before="0" w:line="360" w:lineRule="auto"/>
        <w:jc w:val="both"/>
        <w:tabs>
          <w:tab w:val="right" w:leader="dot" w:pos="8640"/>
        </w:tabs>
      </w:pPr>
      <w:r>
        <w:rPr>
          <w:rFonts w:ascii="Times New Roman" w:hAnsi="Times New Roman"/>
          <w:sz w:val="24"/>
        </w:rPr>
        <w:t>Figure 9: Safety and execution-validity comparison</w:t>
        <w:tab/>
        <w:t>28</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7</w:t>
      </w:r>
    </w:p>
    <w:p>
      <w:pPr>
        <w:spacing w:after="80" w:before="0" w:line="360" w:lineRule="auto"/>
        <w:jc w:val="both"/>
        <w:tabs>
          <w:tab w:val="right" w:leader="dot" w:pos="8640"/>
        </w:tabs>
      </w:pPr>
      <w:r>
        <w:rPr>
          <w:rFonts w:ascii="Times New Roman" w:hAnsi="Times New Roman"/>
          <w:sz w:val="24"/>
        </w:rPr>
        <w:t>Table 3.1: Benchmark pattern classification</w:t>
        <w:tab/>
        <w:t>9</w:t>
      </w:r>
    </w:p>
    <w:p>
      <w:pPr>
        <w:spacing w:after="80" w:before="0" w:line="360" w:lineRule="auto"/>
        <w:jc w:val="both"/>
        <w:tabs>
          <w:tab w:val="right" w:leader="dot" w:pos="8640"/>
        </w:tabs>
      </w:pPr>
      <w:r>
        <w:rPr>
          <w:rFonts w:ascii="Times New Roman" w:hAnsi="Times New Roman"/>
          <w:sz w:val="24"/>
        </w:rPr>
        <w:t>Table 3.2: Semantic layer object model</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19</w:t>
      </w:r>
    </w:p>
    <w:p>
      <w:pPr>
        <w:spacing w:after="80" w:before="0" w:line="360" w:lineRule="auto"/>
        <w:jc w:val="both"/>
        <w:tabs>
          <w:tab w:val="right" w:leader="dot" w:pos="8640"/>
        </w:tabs>
      </w:pPr>
      <w:r>
        <w:rPr>
          <w:rFonts w:ascii="Times New Roman" w:hAnsi="Times New Roman"/>
          <w:sz w:val="24"/>
        </w:rPr>
        <w:t>Table 4.1: Experimental setup</w:t>
        <w:tab/>
        <w:t>23</w:t>
      </w:r>
    </w:p>
    <w:p>
      <w:pPr>
        <w:spacing w:after="80" w:before="0" w:line="360" w:lineRule="auto"/>
        <w:jc w:val="both"/>
        <w:tabs>
          <w:tab w:val="right" w:leader="dot" w:pos="8640"/>
        </w:tabs>
      </w:pPr>
      <w:r>
        <w:rPr>
          <w:rFonts w:ascii="Times New Roman" w:hAnsi="Times New Roman"/>
          <w:sz w:val="24"/>
        </w:rPr>
        <w:t>Table 5.1: Evaluation benchmark status</w:t>
        <w:tab/>
        <w:t>26</w:t>
      </w:r>
    </w:p>
    <w:p>
      <w:pPr>
        <w:spacing w:after="80" w:before="0" w:line="360" w:lineRule="auto"/>
        <w:jc w:val="both"/>
        <w:tabs>
          <w:tab w:val="right" w:leader="dot" w:pos="8640"/>
        </w:tabs>
      </w:pPr>
      <w:r>
        <w:rPr>
          <w:rFonts w:ascii="Times New Roman" w:hAnsi="Times New Roman"/>
          <w:sz w:val="24"/>
        </w:rPr>
        <w:t>Table 5.2: Main evaluation result summary</w:t>
        <w:tab/>
        <w:t>27</w:t>
      </w:r>
    </w:p>
    <w:p>
      <w:pPr>
        <w:spacing w:after="80" w:before="0" w:line="360" w:lineRule="auto"/>
        <w:jc w:val="both"/>
        <w:tabs>
          <w:tab w:val="right" w:leader="dot" w:pos="8640"/>
        </w:tabs>
      </w:pPr>
      <w:r>
        <w:rPr>
          <w:rFonts w:ascii="Times New Roman" w:hAnsi="Times New Roman"/>
          <w:sz w:val="24"/>
        </w:rPr>
        <w:t>Table 5.3: SQL safety</w:t>
        <w:tab/>
        <w:t>27</w:t>
      </w:r>
    </w:p>
    <w:p>
      <w:pPr>
        <w:spacing w:after="80" w:before="0" w:line="360" w:lineRule="auto"/>
        <w:jc w:val="both"/>
        <w:tabs>
          <w:tab w:val="right" w:leader="dot" w:pos="8640"/>
        </w:tabs>
      </w:pPr>
      <w:r>
        <w:rPr>
          <w:rFonts w:ascii="Times New Roman" w:hAnsi="Times New Roman"/>
          <w:sz w:val="24"/>
        </w:rPr>
        <w:t>Table 5.4: True execution validity</w:t>
        <w:tab/>
        <w:t>28</w:t>
      </w:r>
    </w:p>
    <w:p>
      <w:pPr>
        <w:spacing w:after="80" w:before="0" w:line="360" w:lineRule="auto"/>
        <w:jc w:val="both"/>
        <w:tabs>
          <w:tab w:val="right" w:leader="dot" w:pos="8640"/>
        </w:tabs>
      </w:pPr>
      <w:r>
        <w:rPr>
          <w:rFonts w:ascii="Times New Roman" w:hAnsi="Times New Roman"/>
          <w:sz w:val="24"/>
        </w:rPr>
        <w:t>Table 5.5: True-execution failure analysis</w:t>
        <w:tab/>
        <w:t>29</w:t>
      </w:r>
    </w:p>
    <w:p>
      <w:pPr>
        <w:spacing w:after="80" w:before="0" w:line="360" w:lineRule="auto"/>
        <w:jc w:val="both"/>
        <w:tabs>
          <w:tab w:val="right" w:leader="dot" w:pos="8640"/>
        </w:tabs>
      </w:pPr>
      <w:r>
        <w:rPr>
          <w:rFonts w:ascii="Times New Roman" w:hAnsi="Times New Roman"/>
          <w:sz w:val="24"/>
        </w:rPr>
        <w:t>Table 5.6: Semantic-correctness annotation summary</w:t>
        <w:tab/>
        <w:t>29</w:t>
      </w:r>
    </w:p>
    <w:p>
      <w:pPr>
        <w:spacing w:after="80" w:before="0" w:line="360" w:lineRule="auto"/>
        <w:jc w:val="both"/>
        <w:tabs>
          <w:tab w:val="right" w:leader="dot" w:pos="8640"/>
        </w:tabs>
      </w:pPr>
      <w:r>
        <w:rPr>
          <w:rFonts w:ascii="Times New Roman" w:hAnsi="Times New Roman"/>
          <w:sz w:val="24"/>
        </w:rPr>
        <w:t>Table 5.7: Completed baseline comparison</w:t>
        <w:tab/>
        <w:t>30</w:t>
      </w:r>
    </w:p>
    <w:p>
      <w:pPr>
        <w:spacing w:after="80" w:before="0" w:line="360" w:lineRule="auto"/>
        <w:jc w:val="both"/>
        <w:tabs>
          <w:tab w:val="right" w:leader="dot" w:pos="8640"/>
        </w:tabs>
      </w:pPr>
      <w:r>
        <w:rPr>
          <w:rFonts w:ascii="Times New Roman" w:hAnsi="Times New Roman"/>
          <w:sz w:val="24"/>
        </w:rPr>
        <w:t>Table 5.8: Runtime evidence</w:t>
        <w:tab/>
        <w:t>30</w:t>
      </w:r>
    </w:p>
    <w:p>
      <w:pPr>
        <w:spacing w:after="80" w:before="0" w:line="360" w:lineRule="auto"/>
        <w:jc w:val="both"/>
        <w:tabs>
          <w:tab w:val="right" w:leader="dot" w:pos="8640"/>
        </w:tabs>
      </w:pPr>
      <w:r>
        <w:rPr>
          <w:rFonts w:ascii="Times New Roman" w:hAnsi="Times New Roman"/>
          <w:sz w:val="24"/>
        </w:rPr>
        <w:t>Table 5.9: Structural comparison</w:t>
        <w:tab/>
        <w:t>31</w:t>
      </w:r>
    </w:p>
    <w:p>
      <w:pPr>
        <w:spacing w:after="80" w:before="0" w:line="360" w:lineRule="auto"/>
        <w:jc w:val="both"/>
        <w:tabs>
          <w:tab w:val="right" w:leader="dot" w:pos="8640"/>
        </w:tabs>
      </w:pPr>
      <w:r>
        <w:rPr>
          <w:rFonts w:ascii="Times New Roman" w:hAnsi="Times New Roman"/>
          <w:sz w:val="24"/>
        </w:rPr>
        <w:t>Table 5.10: Abstention-aware evaluation metrics</w:t>
        <w:tab/>
        <w:t>32</w:t>
      </w:r>
    </w:p>
    <w:p>
      <w:pPr>
        <w:spacing w:after="80" w:before="0" w:line="360" w:lineRule="auto"/>
        <w:jc w:val="both"/>
        <w:tabs>
          <w:tab w:val="right" w:leader="dot" w:pos="8640"/>
        </w:tabs>
      </w:pPr>
      <w:r>
        <w:rPr>
          <w:rFonts w:ascii="Times New Roman" w:hAnsi="Times New Roman"/>
          <w:sz w:val="24"/>
        </w:rPr>
        <w:t>Table 5.11: False-abstention improvement trajectory</w:t>
        <w:tab/>
        <w:t>33</w:t>
      </w:r>
    </w:p>
    <w:p>
      <w:pPr>
        <w:spacing w:after="80" w:before="0" w:line="360" w:lineRule="auto"/>
        <w:jc w:val="both"/>
        <w:tabs>
          <w:tab w:val="right" w:leader="dot" w:pos="8640"/>
        </w:tabs>
      </w:pPr>
      <w:r>
        <w:rPr>
          <w:rFonts w:ascii="Times New Roman" w:hAnsi="Times New Roman"/>
          <w:sz w:val="24"/>
        </w:rPr>
        <w:t>Table 5.12: Coverage of nopCommerce's standard admin reports</w:t>
        <w:tab/>
        <w:t>34</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The objective of this thesis is to design and evaluate AEGIS, a constraint-based architecture that lets an LLM understand reporting requests without allowing it to generate executable SQL. Query construction, validation, visualization, and widget persistence are handled by deterministic system components.</w:t>
      </w:r>
    </w:p>
    <w:p>
      <w:pPr>
        <w:spacing w:after="120" w:before="0" w:line="360" w:lineRule="auto"/>
        <w:jc w:val="both"/>
      </w:pPr>
      <w:r>
        <w:rPr>
          <w:rFonts w:ascii="Times New Roman" w:hAnsi="Times New Roman"/>
          <w:b w:val="0"/>
          <w:i w:val="0"/>
          <w:sz w:val="24"/>
        </w:rPr>
        <w:t>The specific objectives and contributions are:</w:t>
      </w:r>
    </w:p>
    <w:p>
      <w:pPr>
        <w:pStyle w:val="ListNumber"/>
        <w:spacing w:after="80" w:line="360" w:lineRule="auto"/>
      </w:pPr>
      <w:r>
        <w:rPr>
          <w:rFonts w:ascii="Times New Roman" w:hAnsi="Times New Roman"/>
          <w:sz w:val="24"/>
        </w:rPr>
        <w:t>A natural-language analytics architecture where the LLM is structurally prevented from writing executable SQL.</w:t>
      </w:r>
    </w:p>
    <w:p>
      <w:pPr>
        <w:pStyle w:val="ListNumber"/>
        <w:spacing w:after="80" w:line="360" w:lineRule="auto"/>
      </w:pPr>
      <w:r>
        <w:rPr>
          <w:rFonts w:ascii="Times New Roman" w:hAnsi="Times New Roman"/>
          <w:sz w:val="24"/>
        </w:rPr>
        <w:t>A closed semantic layer that maps business questions to approved metrics, dimensions, filters, analytical patterns, and join paths.</w:t>
      </w:r>
    </w:p>
    <w:p>
      <w:pPr>
        <w:pStyle w:val="ListNumber"/>
        <w:spacing w:after="80" w:line="360" w:lineRule="auto"/>
      </w:pPr>
      <w:r>
        <w:rPr>
          <w:rFonts w:ascii="Times New Roman" w:hAnsi="Times New Roman"/>
          <w:sz w:val="24"/>
        </w:rPr>
        <w:t>A deterministic query compiler that builds SQL from approved templates instead of model-written SQL.</w:t>
      </w:r>
    </w:p>
    <w:p>
      <w:pPr>
        <w:pStyle w:val="ListNumber"/>
        <w:spacing w:after="80" w:line="360" w:lineRule="auto"/>
      </w:pPr>
      <w:r>
        <w:rPr>
          <w:rFonts w:ascii="Times New Roman" w:hAnsi="Times New Roman"/>
          <w:sz w:val="24"/>
        </w:rPr>
        <w:t>A two-layer SQL safety mechanism combining structural prevention with post-compilation validation.</w:t>
      </w:r>
    </w:p>
    <w:p>
      <w:pPr>
        <w:pStyle w:val="ListNumber"/>
        <w:spacing w:after="80" w:line="360" w:lineRule="auto"/>
      </w:pPr>
      <w:r>
        <w:rPr>
          <w:rFonts w:ascii="Times New Roman" w:hAnsi="Times New Roman"/>
          <w:sz w:val="24"/>
        </w:rPr>
        <w:t>A widget-oriented workflow that turns natural-language answers into reusable dashboard artifacts.</w:t>
      </w:r>
    </w:p>
    <w:p>
      <w:pPr>
        <w:pStyle w:val="ListNumber"/>
        <w:spacing w:after="80" w:line="360" w:lineRule="auto"/>
      </w:pPr>
      <w:r>
        <w:rPr>
          <w:rFonts w:ascii="Times New Roman" w:hAnsi="Times New Roman"/>
          <w:sz w:val="24"/>
        </w:rPr>
        <w:t>Benchmark evidence from 107 mixed requests showing SQL safety and true execution validity, while keeping semantic correctness as a separate metric.</w:t>
      </w:r>
    </w:p>
    <w:p>
      <w:pPr>
        <w:pStyle w:val="ListNumber"/>
        <w:spacing w:after="80" w:line="360" w:lineRule="auto"/>
      </w:pPr>
      <w:r>
        <w:rPr>
          <w:rFonts w:ascii="Times New Roman" w:hAnsi="Times New Roman"/>
          <w:sz w:val="24"/>
        </w:rPr>
        <w:t>A future cross-schema evaluation objective to test reuse of the same compiler and safety architecture with another e-commerce schema.</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permission-controlled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permission-controlled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structure: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The 107-request benchmark and true database execution checks evaluate safety, execution validity, and remaining correctness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857500"/>
            <wp:docPr id="3" name="Picture 3"/>
            <wp:cNvGraphicFramePr>
              <a:graphicFrameLocks noChangeAspect="1"/>
            </wp:cNvGraphicFramePr>
            <a:graphic>
              <a:graphicData uri="http://schemas.openxmlformats.org/drawingml/2006/picture">
                <pic:pic>
                  <pic:nvPicPr>
                    <pic:cNvPr id="0" name="figure-01-dsr-workflow.png"/>
                    <pic:cNvPicPr/>
                  </pic:nvPicPr>
                  <pic:blipFill>
                    <a:blip r:embed="rId12"/>
                    <a:stretch>
                      <a:fillRect/>
                    </a:stretch>
                  </pic:blipFill>
                  <pic:spPr>
                    <a:xfrm>
                      <a:off x="0" y="0"/>
                      <a:ext cx="5715000" cy="2857500"/>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3.3) was derived from a design-time review of representative e-commerce and administrative reporting requests while designing AEGIS. The purpose of this review was to identify recurring business-question shapes that the system should support, such as KPI summaries, rankings, trends, comparisons, exception reports, and reusable tabular views.</w:t>
      </w:r>
    </w:p>
    <w:p>
      <w:pPr>
        <w:spacing w:after="200" w:before="0" w:line="360" w:lineRule="auto"/>
        <w:jc w:val="both"/>
      </w:pPr>
      <w:r>
        <w:rPr>
          <w:rFonts w:ascii="Times New Roman" w:hAnsi="Times New Roman"/>
          <w:b w:val="0"/>
          <w:i w:val="0"/>
          <w:sz w:val="24"/>
        </w:rPr>
        <w:t>Table 3.1 summarizes how the 107 custom benchmark requests are distributed across these reporting patterns. The first 100 requests represent answerable analytical questions, while the remaining seven mixed requests test harder boundary behavior. This classification is used as a design and evaluation aid, not as an independently validated user study.</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p>
      <w:pPr>
        <w:spacing w:before="160" w:after="80"/>
        <w:jc w:val="center"/>
        <w:keepNext/>
      </w:pPr>
      <w:r>
        <w:drawing>
          <wp:inline xmlns:a="http://schemas.openxmlformats.org/drawingml/2006/main" xmlns:pic="http://schemas.openxmlformats.org/drawingml/2006/picture">
            <wp:extent cx="5440680" cy="3173730"/>
            <wp:docPr id="4" name="Picture 4"/>
            <wp:cNvGraphicFramePr>
              <a:graphicFrameLocks noChangeAspect="1"/>
            </wp:cNvGraphicFramePr>
            <a:graphic>
              <a:graphicData uri="http://schemas.openxmlformats.org/drawingml/2006/picture">
                <pic:pic>
                  <pic:nvPicPr>
                    <pic:cNvPr id="0" name="figure-02-pattern-distribution.png"/>
                    <pic:cNvPicPr/>
                  </pic:nvPicPr>
                  <pic:blipFill>
                    <a:blip r:embed="rId13"/>
                    <a:stretch>
                      <a:fillRect/>
                    </a:stretch>
                  </pic:blipFill>
                  <pic:spPr>
                    <a:xfrm>
                      <a:off x="0" y="0"/>
                      <a:ext cx="5440680" cy="3173730"/>
                    </a:xfrm>
                    <a:prstGeom prst="rect"/>
                  </pic:spPr>
                </pic:pic>
              </a:graphicData>
            </a:graphic>
          </wp:inline>
        </w:drawing>
      </w:r>
    </w:p>
    <w:p>
      <w:pPr>
        <w:spacing w:before="80" w:after="280"/>
        <w:jc w:val="center"/>
      </w:pPr>
      <w:r>
        <w:rPr>
          <w:rFonts w:ascii="Times New Roman" w:hAnsi="Times New Roman"/>
          <w:b/>
          <w:sz w:val="21"/>
        </w:rPr>
        <w:t>Figure 2: Pattern classification of the answerable analytical benchmark subset</w:t>
      </w:r>
    </w:p>
    <w:p>
      <w:pPr>
        <w:spacing w:after="0" w:before="0" w:line="360" w:lineRule="auto"/>
        <w:jc w:val="both"/>
      </w:pPr>
      <w:r>
        <w:rPr>
          <w:rFonts w:ascii="Times New Roman" w:hAnsi="Times New Roman"/>
          <w:b w:val="0"/>
          <w:i w:val="0"/>
          <w:sz w:val="24"/>
        </w:rPr>
        <w:t>The classification shaped the methodology in three ways. First, the benchmark is concentrated around a small number of common reporting needs: KPI, Ranking, and Exception/Filter requests account for 67 of the 107 requests. Second, the requests use business terms rather than database column names, which supports the need for an explicit semantic layer. Third, many reporting needs are reusable with only a changed time window, filter, or segment, which supports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an additional safety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715000" cy="3917682"/>
            <wp:docPr id="5" name="Picture 5"/>
            <wp:cNvGraphicFramePr>
              <a:graphicFrameLocks noChangeAspect="1"/>
            </wp:cNvGraphicFramePr>
            <a:graphic>
              <a:graphicData uri="http://schemas.openxmlformats.org/drawingml/2006/picture">
                <pic:pic>
                  <pic:nvPicPr>
                    <pic:cNvPr id="0" name="mermaid-figure-03-architecture-pipeline.png"/>
                    <pic:cNvPicPr/>
                  </pic:nvPicPr>
                  <pic:blipFill>
                    <a:blip r:embed="rId14"/>
                    <a:stretch>
                      <a:fillRect/>
                    </a:stretch>
                  </pic:blipFill>
                  <pic:spPr>
                    <a:xfrm>
                      <a:off x="0" y="0"/>
                      <a:ext cx="5715000" cy="3917682"/>
                    </a:xfrm>
                    <a:prstGeom prst="rect"/>
                  </pic:spPr>
                </pic:pic>
              </a:graphicData>
            </a:graphic>
          </wp:inline>
        </w:drawing>
      </w:r>
    </w:p>
    <w:p>
      <w:pPr>
        <w:spacing w:before="80" w:after="280"/>
        <w:jc w:val="center"/>
      </w:pPr>
      <w:r>
        <w:rPr>
          <w:rFonts w:ascii="Times New Roman" w:hAnsi="Times New Roman"/>
          <w:b/>
          <w:sz w:val="21"/>
        </w:rPr>
        <w:t>Figure 3: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p>
      <w:pPr>
        <w:spacing w:before="160" w:after="80"/>
        <w:jc w:val="center"/>
        <w:keepNext/>
      </w:pPr>
      <w:r>
        <w:drawing>
          <wp:inline xmlns:a="http://schemas.openxmlformats.org/drawingml/2006/main" xmlns:pic="http://schemas.openxmlformats.org/drawingml/2006/picture">
            <wp:extent cx="5715000" cy="2518375"/>
            <wp:docPr id="6" name="Picture 6"/>
            <wp:cNvGraphicFramePr>
              <a:graphicFrameLocks noChangeAspect="1"/>
            </wp:cNvGraphicFramePr>
            <a:graphic>
              <a:graphicData uri="http://schemas.openxmlformats.org/drawingml/2006/picture">
                <pic:pic>
                  <pic:nvPicPr>
                    <pic:cNvPr id="0" name="mermaid-figure-04-semantic-layer-modularity.png"/>
                    <pic:cNvPicPr/>
                  </pic:nvPicPr>
                  <pic:blipFill>
                    <a:blip r:embed="rId15"/>
                    <a:stretch>
                      <a:fillRect/>
                    </a:stretch>
                  </pic:blipFill>
                  <pic:spPr>
                    <a:xfrm>
                      <a:off x="0" y="0"/>
                      <a:ext cx="5715000" cy="2518375"/>
                    </a:xfrm>
                    <a:prstGeom prst="rect"/>
                  </pic:spPr>
                </pic:pic>
              </a:graphicData>
            </a:graphic>
          </wp:inline>
        </w:drawing>
      </w:r>
    </w:p>
    <w:p>
      <w:pPr>
        <w:spacing w:before="8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2834640" cy="4251960"/>
            <wp:docPr id="7" name="Picture 7"/>
            <wp:cNvGraphicFramePr>
              <a:graphicFrameLocks noChangeAspect="1"/>
            </wp:cNvGraphicFramePr>
            <a:graphic>
              <a:graphicData uri="http://schemas.openxmlformats.org/drawingml/2006/picture">
                <pic:pic>
                  <pic:nvPicPr>
                    <pic:cNvPr id="0" name="mermaid-figure-05-vocabulary-injection.png"/>
                    <pic:cNvPicPr/>
                  </pic:nvPicPr>
                  <pic:blipFill>
                    <a:blip r:embed="rId16"/>
                    <a:stretch>
                      <a:fillRect/>
                    </a:stretch>
                  </pic:blipFill>
                  <pic:spPr>
                    <a:xfrm>
                      <a:off x="0" y="0"/>
                      <a:ext cx="2834640" cy="4251960"/>
                    </a:xfrm>
                    <a:prstGeom prst="rect"/>
                  </pic:spPr>
                </pic:pic>
              </a:graphicData>
            </a:graphic>
          </wp:inline>
        </w:drawing>
      </w:r>
    </w:p>
    <w:p>
      <w:pPr>
        <w:spacing w:before="80" w:after="280"/>
        <w:jc w:val="center"/>
      </w:pPr>
      <w:r>
        <w:rPr>
          <w:rFonts w:ascii="Times New Roman" w:hAnsi="Times New Roman"/>
          <w:b/>
          <w:sz w:val="21"/>
        </w:rPr>
        <w:t>Figure 5: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p>
      <w:pPr>
        <w:spacing w:before="160" w:after="80"/>
        <w:jc w:val="center"/>
        <w:keepNext/>
      </w:pPr>
      <w:r>
        <w:drawing>
          <wp:inline xmlns:a="http://schemas.openxmlformats.org/drawingml/2006/main" xmlns:pic="http://schemas.openxmlformats.org/drawingml/2006/picture">
            <wp:extent cx="5532120" cy="2937096"/>
            <wp:docPr id="8" name="Picture 8"/>
            <wp:cNvGraphicFramePr>
              <a:graphicFrameLocks noChangeAspect="1"/>
            </wp:cNvGraphicFramePr>
            <a:graphic>
              <a:graphicData uri="http://schemas.openxmlformats.org/drawingml/2006/picture">
                <pic:pic>
                  <pic:nvPicPr>
                    <pic:cNvPr id="0" name="mermaid-figure-06-pattern-taxonomy.png"/>
                    <pic:cNvPicPr/>
                  </pic:nvPicPr>
                  <pic:blipFill>
                    <a:blip r:embed="rId17"/>
                    <a:stretch>
                      <a:fillRect/>
                    </a:stretch>
                  </pic:blipFill>
                  <pic:spPr>
                    <a:xfrm>
                      <a:off x="0" y="0"/>
                      <a:ext cx="5532120" cy="2937096"/>
                    </a:xfrm>
                    <a:prstGeom prst="rect"/>
                  </pic:spPr>
                </pic:pic>
              </a:graphicData>
            </a:graphic>
          </wp:inline>
        </w:drawing>
      </w:r>
    </w:p>
    <w:p>
      <w:pPr>
        <w:spacing w:before="80" w:after="280"/>
        <w:jc w:val="center"/>
      </w:pPr>
      <w:r>
        <w:rPr>
          <w:rFonts w:ascii="Times New Roman" w:hAnsi="Times New Roman"/>
          <w:b/>
          <w:sz w:val="21"/>
        </w:rPr>
        <w:t>Figure 6: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3291840" cy="3331122"/>
            <wp:docPr id="9" name="Picture 9"/>
            <wp:cNvGraphicFramePr>
              <a:graphicFrameLocks noChangeAspect="1"/>
            </wp:cNvGraphicFramePr>
            <a:graphic>
              <a:graphicData uri="http://schemas.openxmlformats.org/drawingml/2006/picture">
                <pic:pic>
                  <pic:nvPicPr>
                    <pic:cNvPr id="0" name="mermaid-figure-07-sql-safety-defense.png"/>
                    <pic:cNvPicPr/>
                  </pic:nvPicPr>
                  <pic:blipFill>
                    <a:blip r:embed="rId18"/>
                    <a:stretch>
                      <a:fillRect/>
                    </a:stretch>
                  </pic:blipFill>
                  <pic:spPr>
                    <a:xfrm>
                      <a:off x="0" y="0"/>
                      <a:ext cx="3291840" cy="3331122"/>
                    </a:xfrm>
                    <a:prstGeom prst="rect"/>
                  </pic:spPr>
                </pic:pic>
              </a:graphicData>
            </a:graphic>
          </wp:inline>
        </w:drawing>
      </w:r>
    </w:p>
    <w:p>
      <w:pPr>
        <w:spacing w:before="80" w:after="280"/>
        <w:jc w:val="center"/>
      </w:pPr>
      <w:r>
        <w:rPr>
          <w:rFonts w:ascii="Times New Roman" w:hAnsi="Times New Roman"/>
          <w:b/>
          <w:sz w:val="21"/>
        </w:rPr>
        <w:t>Figure 7: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3200400" cy="7154821"/>
            <wp:docPr id="10" name="Picture 10"/>
            <wp:cNvGraphicFramePr>
              <a:graphicFrameLocks noChangeAspect="1"/>
            </wp:cNvGraphicFramePr>
            <a:graphic>
              <a:graphicData uri="http://schemas.openxmlformats.org/drawingml/2006/picture">
                <pic:pic>
                  <pic:nvPicPr>
                    <pic:cNvPr id="0" name="mermaid-figure-08-widget-lifecycle.png"/>
                    <pic:cNvPicPr/>
                  </pic:nvPicPr>
                  <pic:blipFill>
                    <a:blip r:embed="rId19"/>
                    <a:stretch>
                      <a:fillRect/>
                    </a:stretch>
                  </pic:blipFill>
                  <pic:spPr>
                    <a:xfrm>
                      <a:off x="0" y="0"/>
                      <a:ext cx="3200400" cy="7154821"/>
                    </a:xfrm>
                    <a:prstGeom prst="rect"/>
                  </pic:spPr>
                </pic:pic>
              </a:graphicData>
            </a:graphic>
          </wp:inline>
        </w:drawing>
      </w:r>
    </w:p>
    <w:p>
      <w:pPr>
        <w:spacing w:before="80" w:after="280"/>
        <w:jc w:val="center"/>
      </w:pPr>
      <w:r>
        <w:rPr>
          <w:rFonts w:ascii="Times New Roman" w:hAnsi="Times New Roman"/>
          <w:b/>
          <w:sz w:val="21"/>
        </w:rPr>
        <w:t>Figure 8: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160" w:before="0" w:line="360" w:lineRule="auto"/>
        <w:jc w:val="both"/>
      </w:pPr>
      <w:r>
        <w:rPr>
          <w:rFonts w:ascii="Times New Roman" w:hAnsi="Times New Roman"/>
          <w:b w:val="0"/>
          <w:i w:val="0"/>
          <w:sz w:val="24"/>
        </w:rPr>
        <w:t>The experimental setup used a containerized relational database and a seeded e-commerce dataset, summarized in Table 4.1.</w:t>
      </w:r>
    </w:p>
    <w:p>
      <w:pPr>
        <w:spacing w:before="200" w:after="80"/>
        <w:jc w:val="center"/>
        <w:keepNext/>
      </w:pPr>
      <w:r>
        <w:rPr>
          <w:rFonts w:ascii="Times New Roman" w:hAnsi="Times New Roman"/>
          <w:b/>
          <w:sz w:val="22"/>
        </w:rPr>
        <w:t>Table 4.1: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Docker container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AEGIS Truth Schema based on nopCommerce 4.70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 size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126 tables and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scale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1,200 customers, 2,500 orders, 6,298 order items, 1,000 products, and 50 categories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 period</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spanning 2024 to 2026</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Mid-sized e-commerce analytics workload</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the experimental work and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same production nopCommerce schema.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true execution validity, a first-pass semantic-correctness annotation, runtime evidence, and completed baseline execution for the baselines retained in this thesis.</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uses three baselines that are all executed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Llama 3.1 8B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tests whether decomposition alone improves SQL generation without AEGIS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tests the deterministic mapper and compiler when the LLM intent parser is removed.</w:t>
      </w:r>
    </w:p>
    <w:p>
      <w:pPr>
        <w:spacing w:after="0" w:before="0" w:line="360" w:lineRule="auto"/>
        <w:jc w:val="both"/>
      </w:pPr>
      <w:r>
        <w:rPr>
          <w:rFonts w:ascii="Times New Roman" w:hAnsi="Times New Roman"/>
          <w:b w:val="0"/>
          <w:i w:val="0"/>
          <w:sz w:val="24"/>
        </w:rPr>
        <w:t>An earlier possible B4 idea was not retained as a thesis baseline because bypassing the semantic layer would no longer test the proposed AEGIS architecture. It is therefore treated as future ablation work rather than an unevaluated baseline in the current results.</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RQ5: </w:t>
      </w:r>
      <w:r>
        <w:rPr>
          <w:rFonts w:ascii="Times New Roman" w:hAnsi="Times New Roman"/>
          <w:sz w:val="24"/>
        </w:rPr>
        <w:t>How accurate are the generated answers at the semantic level? Measured through a machine-assisted first-pass annotation that checks expected metric, grouping, time/filter, and required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RQ6: </w:t>
      </w:r>
      <w:r>
        <w:rPr>
          <w:rFonts w:ascii="Times New Roman" w:hAnsi="Times New Roman"/>
          <w:sz w:val="24"/>
        </w:rPr>
        <w:t>How does the system behave under harder requests? Measured by scope-handling annotation for unsupported, vague, compound, and write-style requests in the same 107-request benchmark.</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The results discussion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AEGIS and three completed baselines: B1 direct LLM-to-SQL, B2 decomposed LLM-to-SQL, and B3 template-only. It also includes a machine-assisted first-pass semantic-correctness annotation and runtime evidence from the live LLM gateway and Docker MySQL execution.</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B2 decomposed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Correctness annotation</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Machine-assisted first pass over all 107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Runtime evidence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LLM gateway responses observed around 12-30 seconds; SQL replay measured in milliseconds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Remaining manual step</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Human spot-checking of semantic-correctness annotations before final submission</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B2: 33 of 107; B3: 104 of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LLM-to-SQL baselines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32 of 107 overall; 32 of 54 answerable requests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16; B2: 19; B3: 21 correct overall</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had the strongest answerable-request correctness in the annotation</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First-pass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Runtime</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SQL replay mean 13.22 ms; live LLM responses commonly 12-30 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B2 requires two LLM calls per request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LLM response time dominates user-visible latency</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 / observed</w:t>
            </w:r>
          </w:p>
        </w:tc>
      </w:tr>
    </w:tbl>
    <w:p>
      <w:pPr>
        <w:spacing w:after="80"/>
      </w:pPr>
    </w:p>
    <w:p>
      <w:pPr>
        <w:spacing w:after="0" w:before="0" w:line="360" w:lineRule="auto"/>
        <w:jc w:val="both"/>
      </w:pPr>
      <w:r>
        <w:rPr>
          <w:rFonts w:ascii="Times New Roman" w:hAnsi="Times New Roman"/>
          <w:b w:val="0"/>
          <w:i/>
          <w:sz w:val="22"/>
        </w:rPr>
        <w:t>The execution-validity and semantic-correctness rows above were measured against the pipeline version in place before the three abstention-focused interventions described in Section 5.9, and have not been re-measured under the current configuration; they are reported here as the baseline against which Section 5.9 states its improvement. The abstention-aware metrics in Section 5.9 are current.</w:t>
      </w: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p>
      <w:pPr>
        <w:spacing w:before="160" w:after="80"/>
        <w:jc w:val="center"/>
        <w:keepNext/>
      </w:pPr>
      <w:r>
        <w:drawing>
          <wp:inline xmlns:a="http://schemas.openxmlformats.org/drawingml/2006/main" xmlns:pic="http://schemas.openxmlformats.org/drawingml/2006/picture">
            <wp:extent cx="5349240" cy="3120390"/>
            <wp:docPr id="11" name="Picture 11"/>
            <wp:cNvGraphicFramePr>
              <a:graphicFrameLocks noChangeAspect="1"/>
            </wp:cNvGraphicFramePr>
            <a:graphic>
              <a:graphicData uri="http://schemas.openxmlformats.org/drawingml/2006/picture">
                <pic:pic>
                  <pic:nvPicPr>
                    <pic:cNvPr id="0" name="figure-09-safety-execution-results.png"/>
                    <pic:cNvPicPr/>
                  </pic:nvPicPr>
                  <pic:blipFill>
                    <a:blip r:embed="rId20"/>
                    <a:stretch>
                      <a:fillRect/>
                    </a:stretch>
                  </pic:blipFill>
                  <pic:spPr>
                    <a:xfrm>
                      <a:off x="0" y="0"/>
                      <a:ext cx="5349240" cy="3120390"/>
                    </a:xfrm>
                    <a:prstGeom prst="rect"/>
                  </pic:spPr>
                </pic:pic>
              </a:graphicData>
            </a:graphic>
          </wp:inline>
        </w:drawing>
      </w:r>
    </w:p>
    <w:p>
      <w:pPr>
        <w:spacing w:before="80" w:after="280"/>
        <w:jc w:val="center"/>
      </w:pPr>
      <w:r>
        <w:rPr>
          <w:rFonts w:ascii="Times New Roman" w:hAnsi="Times New Roman"/>
          <w:b/>
          <w:sz w:val="21"/>
        </w:rPr>
        <w:t>Figure 9: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after="200" w:before="0" w:line="360" w:lineRule="auto"/>
        <w:jc w:val="both"/>
      </w:pPr>
      <w:r>
        <w:rPr>
          <w:rFonts w:ascii="Times New Roman" w:hAnsi="Times New Roman"/>
          <w:b w:val="0"/>
          <w:i/>
          <w:sz w:val="22"/>
        </w:rPr>
        <w:t>The results in this section are the earlier baseline pipeline run: the same run referenced in Table 5.2. Re-running true database execution against the current pipeline, after the interventions described in Section 5.9, is outstanding work.</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B2 (Decomposed LLM)</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33 of 107 executed successfully (30.8%)</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Decomposition improved slightly over B1, but many SQL errors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and Scope Handling</w:t>
      </w:r>
    </w:p>
    <w:p>
      <w:pPr>
        <w:spacing w:after="200" w:before="0" w:line="360" w:lineRule="auto"/>
        <w:jc w:val="both"/>
      </w:pPr>
      <w:r>
        <w:rPr>
          <w:rFonts w:ascii="Times New Roman" w:hAnsi="Times New Roman"/>
          <w:b w:val="0"/>
          <w:i w:val="0"/>
          <w:sz w:val="24"/>
        </w:rPr>
        <w:t>Correctness or accuracy must be treated separately from execution validity. A machine-assisted annotation pass was therefore added after the supervisor review. Each row was checked against the expected metric, grouping, time or filter, and required behavior. This annotation is a first pass and should be manually spot-checked before final submission, but it gives the thesis a concrete correctness measurement instead of relying only on SQL execution.</w:t>
      </w:r>
    </w:p>
    <w:p>
      <w:pPr>
        <w:spacing w:before="200" w:after="80"/>
        <w:jc w:val="center"/>
        <w:keepNext/>
      </w:pPr>
      <w:r>
        <w:rPr>
          <w:rFonts w:ascii="Times New Roman" w:hAnsi="Times New Roman"/>
          <w:b/>
          <w:sz w:val="22"/>
        </w:rPr>
        <w:t>Table 5.6: Semantic-correctness annotation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016"/>
        <w:gridCol w:w="2088"/>
        <w:gridCol w:w="201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Overall correctness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Answerable requests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Scope/write handling</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32 of 107 (29.9%)</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32 of 54 (59.3%)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B1 Direct LLM-to-SQL</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16 of 107 (15.0%)</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15 of 54 (27.8%)</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B2 Decomposed LLM</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19 of 107 (17.8%)</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18 of 54 (33.3%)</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21 of 107 (19.6%)</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21 of 54 (38.9%)</w:t>
            </w:r>
          </w:p>
        </w:tc>
        <w:tc>
          <w:tcPr>
            <w:tcW w:type="dxa" w:w="2016"/>
          </w:tcPr>
          <w:p>
            <w:pPr>
              <w:spacing w:before="0" w:after="0" w:line="240" w:lineRule="auto"/>
              <w:jc w:val="center"/>
              <w:keepNext/>
            </w:pPr>
            <w:r>
              <w:rPr>
                <w:rFonts w:ascii="Times New Roman" w:hAnsi="Times New Roman"/>
                <w:sz w:val="21"/>
              </w:rPr>
            </w:r>
            <w:r>
              <w:rPr>
                <w:rFonts w:ascii="Times New Roman" w:hAnsi="Times New Roman"/>
                <w:b w:val="0"/>
                <w:sz w:val="21"/>
              </w:rPr>
              <w:t>0 of 52</w:t>
            </w:r>
          </w:p>
        </w:tc>
      </w:tr>
    </w:tbl>
    <w:p>
      <w:pPr>
        <w:spacing w:after="80"/>
      </w:pPr>
    </w:p>
    <w:p>
      <w:pPr>
        <w:spacing w:after="0" w:before="0" w:line="360" w:lineRule="auto"/>
        <w:jc w:val="both"/>
      </w:pPr>
      <w:r>
        <w:rPr>
          <w:rFonts w:ascii="Times New Roman" w:hAnsi="Times New Roman"/>
          <w:b w:val="0"/>
          <w:i w:val="0"/>
          <w:sz w:val="24"/>
        </w:rPr>
        <w:t>The annotation shows two findings. For answerable requests, AEGIS scored higher than the LLM-to-SQL and template-only baselines. For unsupported, vague, compound, or write-style requests, none of the evaluated systems handled the scope boundary correctly in this first pass. AEGIS still maintained SQL safety, but it often mapped unsupported requests to safe but semantically wrong in-scope queries. This is a correctness and robustness limitation, not a SQL-safety failure.</w:t>
      </w:r>
    </w:p>
    <w:p>
      <w:pPr>
        <w:spacing w:after="200" w:before="0" w:line="360" w:lineRule="auto"/>
        <w:jc w:val="both"/>
      </w:pPr>
      <w:r>
        <w:rPr>
          <w:rFonts w:ascii="Times New Roman" w:hAnsi="Times New Roman"/>
          <w:b w:val="0"/>
          <w:i/>
          <w:sz w:val="22"/>
        </w:rPr>
        <w:t>This annotation is the same 32-of-107 figure reported as translation precision in Section 5.9. It is scored against aegis_correct labels that describe the SQL produced by the pipeline version that existed before the abstention interventions in Section 5.9, so the same count is being re-read rather than re-measured. Section 5.9 marks it accordingly and states which of this chapter's metrics remain quotable.</w:t>
      </w:r>
    </w:p>
    <w:p>
      <w:pPr>
        <w:spacing w:before="320" w:after="160"/>
        <w:jc w:val="left"/>
      </w:pPr>
      <w:r>
        <w:rPr>
          <w:rFonts w:ascii="Times New Roman" w:hAnsi="Times New Roman"/>
          <w:b/>
          <w:sz w:val="28"/>
        </w:rPr>
        <w:t>5.7  Baseline and Runtime Analysis</w:t>
      </w:r>
    </w:p>
    <w:p>
      <w:pPr>
        <w:spacing w:after="200" w:before="0" w:line="360" w:lineRule="auto"/>
        <w:jc w:val="both"/>
      </w:pPr>
      <w:r>
        <w:rPr>
          <w:rFonts w:ascii="Times New Roman" w:hAnsi="Times New Roman"/>
          <w:b w:val="0"/>
          <w:i w:val="0"/>
          <w:sz w:val="24"/>
        </w:rPr>
        <w:t>The completed baselines show different failure modes. B1 and B2 rely on unconstrained LLM-written SQL and therefore suffer from dialect errors, missing tables, hallucinated columns, and unsafe write behavior. B3 removes the LLM and uses keyword templates, so it produces highly executable SQL but often misses the user's intended meaning.</w:t>
      </w:r>
    </w:p>
    <w:p>
      <w:pPr>
        <w:spacing w:before="200" w:after="80"/>
        <w:jc w:val="center"/>
        <w:keepNext/>
      </w:pPr>
      <w:r>
        <w:rPr>
          <w:rFonts w:ascii="Times New Roman" w:hAnsi="Times New Roman"/>
          <w:b/>
          <w:sz w:val="22"/>
        </w:rPr>
        <w:t>Table 5.7: Completed baseline comparison.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1800"/>
        <w:gridCol w:w="1800"/>
        <w:gridCol w:w="3240"/>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True execution validity</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Semantic correctness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Main observation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B1 Direct LLM-to-SQL</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27 of 107 (25.2%)</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16 of 107 (15.0%)</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Lowest execution validity and one unsafe write statement.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B2 Decomposed LLM</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33 of 107 (30.8%)</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19 of 107 (17.8%)</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Two-step prompting improved execution slightly but did not solve schema errors.</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104 of 107 (97.2%)</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21 of 107 (19.6%)</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SQL often runs, but keyword intent selection is semantically brittle.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100 of 107 (93.5%)</w:t>
            </w:r>
          </w:p>
        </w:tc>
        <w:tc>
          <w:tcPr>
            <w:tcW w:type="dxa" w:w="1800"/>
          </w:tcPr>
          <w:p>
            <w:pPr>
              <w:spacing w:before="0" w:after="0" w:line="240" w:lineRule="auto"/>
              <w:jc w:val="center"/>
              <w:keepNext/>
            </w:pPr>
            <w:r>
              <w:rPr>
                <w:rFonts w:ascii="Times New Roman" w:hAnsi="Times New Roman"/>
                <w:sz w:val="21"/>
              </w:rPr>
            </w:r>
            <w:r>
              <w:rPr>
                <w:rFonts w:ascii="Times New Roman" w:hAnsi="Times New Roman"/>
                <w:b w:val="0"/>
                <w:sz w:val="21"/>
              </w:rPr>
              <w:t>32 of 107 (29.9%)</w:t>
            </w:r>
          </w:p>
        </w:tc>
        <w:tc>
          <w:tcPr>
            <w:tcW w:type="dxa" w:w="3240"/>
          </w:tcPr>
          <w:p>
            <w:pPr>
              <w:spacing w:before="0" w:after="0" w:line="240" w:lineRule="auto"/>
              <w:jc w:val="center"/>
              <w:keepNext/>
            </w:pPr>
            <w:r>
              <w:rPr>
                <w:rFonts w:ascii="Times New Roman" w:hAnsi="Times New Roman"/>
                <w:sz w:val="21"/>
              </w:rPr>
            </w:r>
            <w:r>
              <w:rPr>
                <w:rFonts w:ascii="Times New Roman" w:hAnsi="Times New Roman"/>
                <w:b w:val="0"/>
                <w:sz w:val="21"/>
              </w:rPr>
              <w:t>Best correctness among evaluated systems while preserving SQL safety.</w:t>
            </w:r>
          </w:p>
        </w:tc>
      </w:tr>
    </w:tbl>
    <w:p>
      <w:pPr>
        <w:spacing w:after="80"/>
      </w:pPr>
    </w:p>
    <w:p>
      <w:pPr>
        <w:spacing w:after="200" w:before="0" w:line="360" w:lineRule="auto"/>
        <w:jc w:val="both"/>
      </w:pPr>
      <w:r>
        <w:rPr>
          <w:rFonts w:ascii="Times New Roman" w:hAnsi="Times New Roman"/>
          <w:b w:val="0"/>
          <w:i/>
          <w:sz w:val="22"/>
        </w:rPr>
        <w:t>As in Section 5.4, the AEGIS execution-validity and semantic-correctness figures above are the earlier baseline pipeline run and are superseded, for the abstention-handling behavior specifically, by the current measurements in Section 5.9.</w:t>
      </w:r>
    </w:p>
    <w:p>
      <w:pPr>
        <w:spacing w:before="200" w:after="80"/>
        <w:jc w:val="center"/>
        <w:keepNext/>
      </w:pPr>
      <w:r>
        <w:rPr>
          <w:rFonts w:ascii="Times New Roman" w:hAnsi="Times New Roman"/>
          <w:b/>
          <w:sz w:val="22"/>
        </w:rPr>
        <w:t>Table 5.8: Runtime evidence from benchmark replay and live LLM gateway.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088"/>
        <w:gridCol w:w="2736"/>
        <w:gridCol w:w="4104"/>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Measurement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AEGIS SQL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13.22 ms; median 2.59 ms; p95 72.55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Database execution and deterministic post-LLM stages are fast.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B2 SQL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6.88 ms; median 0.74 ms; p95 28.55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SQL execution time is small compared with LLM response time.</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B3 pipeline replay</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Mean 13.66 ms; median 3.80 ms; p95 59.17 ms</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Template-only classification, mapping, compilation, and execution are lightweight.</w:t>
            </w:r>
          </w:p>
        </w:tc>
      </w:tr>
      <w:tr>
        <w:trPr>
          <w:cantSplit/>
        </w:trPr>
        <w:tc>
          <w:tcPr>
            <w:tcW w:type="dxa" w:w="2088"/>
          </w:tcPr>
          <w:p>
            <w:pPr>
              <w:spacing w:before="0" w:after="0" w:line="240" w:lineRule="auto"/>
              <w:keepNext/>
            </w:pPr>
            <w:r>
              <w:rPr>
                <w:rFonts w:ascii="Times New Roman" w:hAnsi="Times New Roman"/>
                <w:sz w:val="21"/>
              </w:rPr>
            </w:r>
            <w:r>
              <w:rPr>
                <w:rFonts w:ascii="Times New Roman" w:hAnsi="Times New Roman"/>
                <w:b w:val="0"/>
                <w:sz w:val="21"/>
              </w:rPr>
              <w:t>Live LLM response</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Observed around 12-30 seconds per request in the gateway screenshot</w:t>
            </w:r>
          </w:p>
        </w:tc>
        <w:tc>
          <w:tcPr>
            <w:tcW w:type="dxa" w:w="4104"/>
          </w:tcPr>
          <w:p>
            <w:pPr>
              <w:spacing w:before="0" w:after="0" w:line="240" w:lineRule="auto"/>
              <w:jc w:val="center"/>
              <w:keepNext/>
            </w:pPr>
            <w:r>
              <w:rPr>
                <w:rFonts w:ascii="Times New Roman" w:hAnsi="Times New Roman"/>
                <w:sz w:val="21"/>
              </w:rPr>
            </w:r>
            <w:r>
              <w:rPr>
                <w:rFonts w:ascii="Times New Roman" w:hAnsi="Times New Roman"/>
                <w:b w:val="0"/>
                <w:sz w:val="21"/>
              </w:rPr>
              <w:t>User-visible runtime is dominated by model response duration.</w:t>
            </w:r>
          </w:p>
        </w:tc>
      </w:tr>
    </w:tbl>
    <w:p>
      <w:pPr>
        <w:spacing w:after="80"/>
      </w:pPr>
    </w:p>
    <w:p>
      <w:pPr>
        <w:spacing w:after="0" w:before="0" w:line="360" w:lineRule="auto"/>
        <w:jc w:val="both"/>
      </w:pPr>
      <w:r>
        <w:rPr>
          <w:rFonts w:ascii="Times New Roman" w:hAnsi="Times New Roman"/>
          <w:b w:val="0"/>
          <w:i w:val="0"/>
          <w:sz w:val="24"/>
        </w:rPr>
        <w:t>The runtime results show why end-to-end latency must be discussed separately from SQL execution time. Once the intent or SQL text exists, database replay takes milliseconds. The visible delay comes mainly from LLM calls. B2 is especially costly because each benchmark request uses two model calls: one for reasoning and one for SQL generation.</w:t>
      </w:r>
    </w:p>
    <w:p>
      <w:pPr>
        <w:spacing w:before="320" w:after="160"/>
        <w:jc w:val="left"/>
      </w:pPr>
      <w:r>
        <w:rPr>
          <w:rFonts w:ascii="Times New Roman" w:hAnsi="Times New Roman"/>
          <w:b/>
          <w:sz w:val="28"/>
        </w:rPr>
        <w:t>5.8  Comparative Discussion and Robustness</w:t>
      </w:r>
    </w:p>
    <w:p>
      <w:pPr>
        <w:spacing w:before="200" w:after="160"/>
        <w:jc w:val="left"/>
      </w:pPr>
      <w:r>
        <w:rPr>
          <w:rFonts w:ascii="Times New Roman" w:hAnsi="Times New Roman"/>
          <w:b/>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5.9: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pPr>
        <w:spacing w:before="320" w:after="160"/>
        <w:jc w:val="left"/>
      </w:pPr>
      <w:r>
        <w:rPr>
          <w:rFonts w:ascii="Times New Roman" w:hAnsi="Times New Roman"/>
          <w:b/>
          <w:sz w:val="28"/>
        </w:rPr>
        <w:t>5.9  Abstention-Aware Evaluation</w:t>
      </w:r>
    </w:p>
    <w:p>
      <w:pPr>
        <w:spacing w:after="200" w:before="0" w:line="360" w:lineRule="auto"/>
        <w:jc w:val="both"/>
      </w:pPr>
      <w:r>
        <w:rPr>
          <w:rFonts w:ascii="Times New Roman" w:hAnsi="Times New Roman"/>
          <w:b w:val="0"/>
          <w:i w:val="0"/>
          <w:sz w:val="24"/>
        </w:rPr>
        <w:t>Sections 5.4 through 5.7 score every request against a single pass/fail outcome. On this benchmark roughly half of the requests should not be answered at all: they are unsupported, vague, compound, or write-style, and the correct system behavior is to decline or ask for clarification rather than to produce an answer. A single aggregate accuracy figure over a set built this way is misleading in both directions: it counts a correct refusal as a failure, and it counts a confident wrong answer as a success. This section reports the refusal channel on its own terms, over the 55 requests that should be answered and the 52 that should be declined.</w:t>
      </w:r>
    </w:p>
    <w:p>
      <w:pPr>
        <w:spacing w:before="200" w:after="80"/>
        <w:jc w:val="center"/>
        <w:keepNext/>
      </w:pPr>
      <w:r>
        <w:rPr>
          <w:rFonts w:ascii="Times New Roman" w:hAnsi="Times New Roman"/>
          <w:b/>
          <w:sz w:val="22"/>
        </w:rPr>
        <w:t>Table 5.10: Abstention-aware evaluation metrics.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656"/>
        <w:gridCol w:w="3672"/>
        <w:gridCol w:w="18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Result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Definition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Translatability</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38.3% (41/107)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Produced executable SQL, over all requests</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Translation precision</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29.9% (32/107)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Produced the expected result, over labelled requests</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Not yet valid — requires re-annotation</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Abstention recall</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100.0% (52/52)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Correctly declined, over requests that should be declined</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False abstention rate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23.6% (13/55)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Wrongly declined, over requests that should be answered</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Silent error rate</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13.1% (14/107)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Answered confidently and wrongly, with no error raised</w:t>
            </w:r>
          </w:p>
        </w:tc>
        <w:tc>
          <w:tcPr>
            <w:tcW w:type="dxa" w:w="1872"/>
          </w:tcPr>
          <w:p>
            <w:pPr>
              <w:spacing w:before="0" w:after="0" w:line="240" w:lineRule="auto"/>
              <w:jc w:val="center"/>
              <w:keepNext/>
            </w:pPr>
            <w:r>
              <w:rPr>
                <w:rFonts w:ascii="Times New Roman" w:hAnsi="Times New Roman"/>
                <w:sz w:val="21"/>
              </w:rPr>
            </w:r>
            <w:r>
              <w:rPr>
                <w:rFonts w:ascii="Times New Roman" w:hAnsi="Times New Roman"/>
                <w:b w:val="0"/>
                <w:sz w:val="21"/>
              </w:rPr>
              <w:t>Not yet valid — requires re-annotation</w:t>
            </w:r>
          </w:p>
        </w:tc>
      </w:tr>
    </w:tbl>
    <w:p>
      <w:pPr>
        <w:spacing w:after="80"/>
      </w:pPr>
    </w:p>
    <w:p>
      <w:pPr>
        <w:spacing w:after="200" w:before="0" w:line="360" w:lineRule="auto"/>
        <w:jc w:val="both"/>
      </w:pPr>
      <w:r>
        <w:rPr>
          <w:rFonts w:ascii="Times New Roman" w:hAnsi="Times New Roman"/>
          <w:b w:val="0"/>
          <w:i w:val="0"/>
          <w:sz w:val="24"/>
        </w:rPr>
        <w:t xml:space="preserve">Translatability and translation precision follow </w:t>
      </w:r>
      <w:r>
        <w:rPr>
          <w:rFonts w:ascii="Times New Roman" w:hAnsi="Times New Roman"/>
          <w:b w:val="0"/>
          <w:i w:val="0"/>
          <w:sz w:val="24"/>
        </w:rPr>
        <w:t>[4]</w:t>
      </w:r>
      <w:r>
        <w:rPr>
          <w:rFonts w:ascii="Times New Roman" w:hAnsi="Times New Roman"/>
          <w:b w:val="0"/>
          <w:i w:val="0"/>
          <w:sz w:val="24"/>
        </w:rPr>
        <w:t xml:space="preserve"> canonicalisation of these metrics for natural-language database interfaces: translatability asks whether a request produced any executable artefact, and translation precision asks whether that artefact produced the expected result. High translatability with low precision is the signature of a system that always answers regardless of whether the answer is right.</w:t>
      </w:r>
    </w:p>
    <w:p>
      <w:pPr>
        <w:spacing w:after="200" w:before="0" w:line="360" w:lineRule="auto"/>
        <w:jc w:val="both"/>
      </w:pPr>
      <w:r>
        <w:rPr>
          <w:rFonts w:ascii="Times New Roman" w:hAnsi="Times New Roman"/>
          <w:b w:val="0"/>
          <w:i w:val="0"/>
          <w:sz w:val="24"/>
        </w:rPr>
        <w:t xml:space="preserve">Silent error rate matters because an unnoticed wrong answer is more damaging than a visible refusal. </w:t>
      </w:r>
      <w:r>
        <w:rPr>
          <w:rFonts w:ascii="Times New Roman" w:hAnsi="Times New Roman"/>
          <w:b w:val="0"/>
          <w:i w:val="0"/>
          <w:sz w:val="24"/>
        </w:rPr>
        <w:t>[5]</w:t>
      </w:r>
      <w:r>
        <w:rPr>
          <w:rFonts w:ascii="Times New Roman" w:hAnsi="Times New Roman"/>
          <w:b w:val="0"/>
          <w:i w:val="0"/>
          <w:sz w:val="24"/>
        </w:rPr>
        <w:t>, in the NaLIR user study, found that of 32 wrong answers produced without an interactive confirmation step, participants detected only 7 unaided. A governed reporting system that answers confidently and wrongly is therefore not a safe default merely because it avoids refusing; it is a failure mode that the person reading the report has little chance of catching without an independent check.</w:t>
      </w:r>
    </w:p>
    <w:p>
      <w:pPr>
        <w:spacing w:after="200" w:before="0" w:line="360" w:lineRule="auto"/>
        <w:jc w:val="both"/>
      </w:pPr>
      <w:r>
        <w:rPr>
          <w:rFonts w:ascii="Times New Roman" w:hAnsi="Times New Roman"/>
          <w:b w:val="0"/>
          <w:i w:val="0"/>
          <w:sz w:val="24"/>
        </w:rPr>
        <w:t>Abstention recall is reported here only beside false abstention rate, and this pairing is not optional. A system that refuses every request scores 100% on abstention recall alone, which would make the metric worthless on its own. No system in the reference corpus reviewed in Chapter 2 measures the refusal channel this way; reporting the two figures together, rather than the first in isolation, is the methodological contribution of this section.</w:t>
      </w:r>
    </w:p>
    <w:p>
      <w:pPr>
        <w:spacing w:after="0" w:before="0" w:line="360" w:lineRule="auto"/>
        <w:jc w:val="both"/>
      </w:pPr>
      <w:r>
        <w:rPr>
          <w:rFonts w:ascii="Times New Roman" w:hAnsi="Times New Roman"/>
          <w:b w:val="0"/>
          <w:i w:val="0"/>
          <w:sz w:val="24"/>
        </w:rPr>
        <w:t>Translation precision and silent error rate are not quotable as findings in this thesis. Both are scored against the aegis_correct labels in the semantic-correctness annotation file, and those labels describe the SQL produced by the pipeline version that existed before the interventions described below, not the current pipeline. The tell is that translation precision has read exactly 29.9% on every run: it is the same 32-of-107 label count being re-read rather than a fresh measurement of the current system. Both metrics are marked "Not yet valid — requires re-annotation" in Table 5.10 rather than reported as results, and re-annotating them against the current pipeline's SQL is listed as future work in Chapter 6.</w:t>
      </w:r>
    </w:p>
    <w:p>
      <w:pPr>
        <w:spacing w:before="200" w:after="160"/>
        <w:jc w:val="left"/>
      </w:pPr>
      <w:r>
        <w:rPr>
          <w:rFonts w:ascii="Times New Roman" w:hAnsi="Times New Roman"/>
          <w:b/>
          <w:sz w:val="25"/>
        </w:rPr>
        <w:t>5.9.1  The Abstention Improvement Trajectory</w:t>
      </w:r>
    </w:p>
    <w:p>
      <w:pPr>
        <w:spacing w:after="200" w:before="0" w:line="360" w:lineRule="auto"/>
        <w:jc w:val="both"/>
      </w:pPr>
      <w:r>
        <w:rPr>
          <w:rFonts w:ascii="Times New Roman" w:hAnsi="Times New Roman"/>
          <w:b w:val="0"/>
          <w:i w:val="0"/>
          <w:sz w:val="24"/>
        </w:rPr>
        <w:t>False abstention rate is the metric this project moved deliberately, and it is the central result of this section. Across three measured stages, false abstention fell from 61.8% to 40.0% to the current 23.6%, while abstention recall held at 100.0% throughout. No architectural change was required at any step: every improvement came from fixing an implementation defect or extending a configuration, not from redesigning the pipeline.</w:t>
      </w:r>
    </w:p>
    <w:p>
      <w:pPr>
        <w:spacing w:before="200" w:after="80"/>
        <w:jc w:val="center"/>
        <w:keepNext/>
      </w:pPr>
      <w:r>
        <w:rPr>
          <w:rFonts w:ascii="Times New Roman" w:hAnsi="Times New Roman"/>
          <w:b/>
          <w:sz w:val="22"/>
        </w:rPr>
        <w:t>Table 5.11: False-abstention improvement trajectory.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656"/>
        <w:gridCol w:w="1512"/>
        <w:gridCol w:w="403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Stage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False abstention rate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Abstention recall</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Intervention applied</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Initial measured run</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61.8%</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100.0%</w:t>
            </w:r>
          </w:p>
        </w:tc>
        <w:tc>
          <w:tcPr>
            <w:tcW w:type="dxa" w:w="4032"/>
          </w:tcPr>
          <w:p>
            <w:pPr>
              <w:spacing w:before="0" w:after="0" w:line="240" w:lineRule="auto"/>
              <w:jc w:val="center"/>
              <w:keepNext/>
            </w:pPr>
            <w:r>
              <w:rPr>
                <w:rFonts w:ascii="Times New Roman" w:hAnsi="Times New Roman"/>
                <w:sz w:val="21"/>
              </w:rPr>
            </w:r>
            <w:r>
              <w:rPr>
                <w:rFonts w:ascii="Times New Roman" w:hAnsi="Times New Roman"/>
                <w:b w:val="0"/>
                <w:sz w:val="21"/>
              </w:rPr>
              <w:t>— (baseline instrumentation)</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After validating unmapped terms</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40.0%</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100.0%</w:t>
            </w:r>
          </w:p>
        </w:tc>
        <w:tc>
          <w:tcPr>
            <w:tcW w:type="dxa" w:w="4032"/>
          </w:tcPr>
          <w:p>
            <w:pPr>
              <w:spacing w:before="0" w:after="0" w:line="240" w:lineRule="auto"/>
              <w:jc w:val="center"/>
              <w:keepNext/>
            </w:pPr>
            <w:r>
              <w:rPr>
                <w:rFonts w:ascii="Times New Roman" w:hAnsi="Times New Roman"/>
                <w:sz w:val="21"/>
              </w:rPr>
            </w:r>
            <w:r>
              <w:rPr>
                <w:rFonts w:ascii="Times New Roman" w:hAnsi="Times New Roman"/>
                <w:b w:val="0"/>
                <w:sz w:val="21"/>
              </w:rPr>
              <w:t>Validated the model's self-reported unmapped terms instead of trusting them</w:t>
            </w:r>
          </w:p>
        </w:tc>
      </w:tr>
      <w:tr>
        <w:trPr>
          <w:cantSplit/>
        </w:trPr>
        <w:tc>
          <w:tcPr>
            <w:tcW w:type="dxa" w:w="1872"/>
          </w:tcPr>
          <w:p>
            <w:pPr>
              <w:spacing w:before="0" w:after="0" w:line="240" w:lineRule="auto"/>
              <w:keepNext/>
            </w:pPr>
            <w:r>
              <w:rPr>
                <w:rFonts w:ascii="Times New Roman" w:hAnsi="Times New Roman"/>
                <w:sz w:val="21"/>
              </w:rPr>
            </w:r>
            <w:r>
              <w:rPr>
                <w:rFonts w:ascii="Times New Roman" w:hAnsi="Times New Roman"/>
                <w:b w:val="0"/>
                <w:sz w:val="21"/>
              </w:rPr>
              <w:t>Current</w:t>
            </w:r>
          </w:p>
        </w:tc>
        <w:tc>
          <w:tcPr>
            <w:tcW w:type="dxa" w:w="1656"/>
          </w:tcPr>
          <w:p>
            <w:pPr>
              <w:spacing w:before="0" w:after="0" w:line="240" w:lineRule="auto"/>
              <w:jc w:val="center"/>
              <w:keepNext/>
            </w:pPr>
            <w:r>
              <w:rPr>
                <w:rFonts w:ascii="Times New Roman" w:hAnsi="Times New Roman"/>
                <w:sz w:val="21"/>
              </w:rPr>
            </w:r>
            <w:r>
              <w:rPr>
                <w:rFonts w:ascii="Times New Roman" w:hAnsi="Times New Roman"/>
                <w:b w:val="0"/>
                <w:sz w:val="21"/>
              </w:rPr>
              <w:t>23.6%</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100.0%</w:t>
            </w:r>
          </w:p>
        </w:tc>
        <w:tc>
          <w:tcPr>
            <w:tcW w:type="dxa" w:w="4032"/>
          </w:tcPr>
          <w:p>
            <w:pPr>
              <w:spacing w:before="0" w:after="0" w:line="240" w:lineRule="auto"/>
              <w:jc w:val="center"/>
              <w:keepNext/>
            </w:pPr>
            <w:r>
              <w:rPr>
                <w:rFonts w:ascii="Times New Roman" w:hAnsi="Times New Roman"/>
                <w:sz w:val="21"/>
              </w:rPr>
            </w:r>
            <w:r>
              <w:rPr>
                <w:rFonts w:ascii="Times New Roman" w:hAnsi="Times New Roman"/>
                <w:b w:val="0"/>
                <w:sz w:val="21"/>
              </w:rPr>
              <w:t>Separated time granularity from time filtering; extended the semantic layer from 12 to 17 of the 126 available schema tables</w:t>
            </w:r>
          </w:p>
        </w:tc>
      </w:tr>
    </w:tbl>
    <w:p>
      <w:pPr>
        <w:spacing w:after="80"/>
      </w:pPr>
    </w:p>
    <w:p>
      <w:pPr>
        <w:spacing w:after="0" w:before="0" w:line="360" w:lineRule="auto"/>
        <w:jc w:val="both"/>
      </w:pPr>
      <w:r>
        <w:rPr>
          <w:rFonts w:ascii="Times New Roman" w:hAnsi="Times New Roman"/>
          <w:b w:val="0"/>
          <w:i w:val="0"/>
          <w:sz w:val="24"/>
        </w:rPr>
        <w:t>The interventions were configuration and implementation changes, not architectural ones: no new component was added to the pipeline, and the LLM's role remained restricted to intent extraction throughout. This supports the interpretation that semantic accuracy in this architecture is an implementation and configuration property rather than an architectural one — the ceiling is set by how much of the schema and vocabulary is exposed and how carefully the model's self-reported signals are checked, not by the constraint-based design itself.</w:t>
      </w:r>
    </w:p>
    <w:p>
      <w:pPr>
        <w:spacing w:before="200" w:after="160"/>
        <w:jc w:val="left"/>
      </w:pPr>
      <w:r>
        <w:rPr>
          <w:rFonts w:ascii="Times New Roman" w:hAnsi="Times New Roman"/>
          <w:b/>
          <w:sz w:val="25"/>
        </w:rPr>
        <w:t>5.9.2  Residual Analysis</w:t>
      </w:r>
    </w:p>
    <w:p>
      <w:pPr>
        <w:spacing w:after="0" w:before="0" w:line="360" w:lineRule="auto"/>
        <w:jc w:val="both"/>
      </w:pPr>
      <w:r>
        <w:rPr>
          <w:rFonts w:ascii="Times New Roman" w:hAnsi="Times New Roman"/>
          <w:b w:val="0"/>
          <w:i w:val="0"/>
          <w:sz w:val="24"/>
        </w:rPr>
        <w:t>Part of the remaining 23.6% false abstention rate is label error rather than system error. Several requests labelled "answer" in the annotation file are not, on inspection, answerable against the current semantic layer: a composite "health score" combining sales, stock levels, and refund rates into one number (request 53), abandoned-checkout events (request 96), and first-time-versus-returning customer cohorts as a dimension before that dimension existed in the semantic layer. These labels were assigned when the previous pipeline answered the corresponding requests by nearest-match substitution against an unrelated metric, so the annotation records that a query executed, not that the request was genuinely answerable. Correcting these labels is part of the re-annotation work noted above, and would place the true false-abstention rate somewhat below 23.6%.</w:t>
      </w:r>
    </w:p>
    <w:p>
      <w:pPr>
        <w:spacing w:before="320" w:after="160"/>
        <w:jc w:val="left"/>
      </w:pPr>
      <w:r>
        <w:rPr>
          <w:rFonts w:ascii="Times New Roman" w:hAnsi="Times New Roman"/>
          <w:b/>
          <w:sz w:val="28"/>
        </w:rPr>
        <w:t>5.10  Coverage Against the Platform's Native Report Suite</w:t>
      </w:r>
    </w:p>
    <w:p>
      <w:pPr>
        <w:spacing w:after="200" w:before="0" w:line="360" w:lineRule="auto"/>
        <w:jc w:val="both"/>
      </w:pPr>
      <w:r>
        <w:rPr>
          <w:rFonts w:ascii="Times New Roman" w:hAnsi="Times New Roman"/>
          <w:b w:val="0"/>
          <w:i w:val="0"/>
          <w:sz w:val="24"/>
        </w:rPr>
        <w:t>The 107-request benchmark used in the rest of this chapter was authored for this thesis, which raises an unavoidable question of annotation bias: a benchmark's author can, even unintentionally, phrase requests toward the system's known strengths. A benchmark whose question list is fixed by an outside party avoids this. nopCommerce, the e-commerce platform whose schema underlies the evaluation database, ships a fixed set of standard admin reports as a built-in reporting surface. AEGIS reproduces all 20 of these reports from natural-language requests, each producing compiled SQL and an automatically selected chart type.</w:t>
      </w:r>
    </w:p>
    <w:p>
      <w:pPr>
        <w:spacing w:before="200" w:after="80"/>
        <w:jc w:val="center"/>
        <w:keepNext/>
      </w:pPr>
      <w:r>
        <w:rPr>
          <w:rFonts w:ascii="Times New Roman" w:hAnsi="Times New Roman"/>
          <w:b/>
          <w:sz w:val="22"/>
        </w:rPr>
        <w:t>Table 5.12: Coverage of nopCommerce's standard admin reports (20 of 20).</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
        <w:gridCol w:w="3672"/>
        <w:gridCol w:w="504"/>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Report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Report</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1</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summary by month</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11</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 status breakdown</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summary today</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Incomplete orders</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Bestsellers by quantity</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Latest orders</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Bestsellers by amount</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by category</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Products never purchased</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Sales by manufacturer</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Country sales</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Average order value</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 customers by order total</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17</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Shipment count</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Best customers by order count</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Refund totals</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Registered customers</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Tax collected</w:t>
            </w:r>
          </w:p>
        </w:tc>
      </w:tr>
      <w:tr>
        <w:trPr>
          <w:cantSplit/>
        </w:trPr>
        <w:tc>
          <w:tcPr>
            <w:tcW w:type="dxa" w:w="504"/>
          </w:tcPr>
          <w:p>
            <w:pPr>
              <w:spacing w:before="0" w:after="0" w:line="240" w:lineRule="auto"/>
              <w:keepNext/>
            </w:pPr>
            <w:r>
              <w:rPr>
                <w:rFonts w:ascii="Times New Roman" w:hAnsi="Times New Roman"/>
                <w:sz w:val="21"/>
              </w:rPr>
            </w:r>
            <w:r>
              <w:rPr>
                <w:rFonts w:ascii="Times New Roman" w:hAnsi="Times New Roman"/>
                <w:b w:val="0"/>
                <w:sz w:val="21"/>
              </w:rPr>
              <w:t>10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 stock</w:t>
            </w:r>
          </w:p>
        </w:tc>
        <w:tc>
          <w:tcPr>
            <w:tcW w:type="dxa" w:w="504"/>
          </w:tcPr>
          <w:p>
            <w:pPr>
              <w:spacing w:before="0" w:after="0" w:line="240" w:lineRule="auto"/>
              <w:jc w:val="center"/>
              <w:keepNext/>
            </w:pPr>
            <w:r>
              <w:rPr>
                <w:rFonts w:ascii="Times New Roman" w:hAnsi="Times New Roman"/>
                <w:sz w:val="21"/>
              </w:rPr>
            </w:r>
            <w:r>
              <w:rPr>
                <w:rFonts w:ascii="Times New Roman" w:hAnsi="Times New Roman"/>
                <w:b w:val="0"/>
                <w:sz w:val="21"/>
              </w:rPr>
              <w:t>20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Daily revenue trend</w:t>
            </w:r>
          </w:p>
        </w:tc>
      </w:tr>
    </w:tbl>
    <w:p>
      <w:pPr>
        <w:spacing w:after="80"/>
      </w:pPr>
    </w:p>
    <w:p>
      <w:pPr>
        <w:spacing w:after="0" w:before="0" w:line="360" w:lineRule="auto"/>
        <w:jc w:val="both"/>
      </w:pPr>
      <w:r>
        <w:rPr>
          <w:rFonts w:ascii="Times New Roman" w:hAnsi="Times New Roman"/>
          <w:b w:val="0"/>
          <w:i w:val="0"/>
          <w:sz w:val="24"/>
        </w:rPr>
        <w:t>This is a stronger evaluation than the self-authored question set for a specific reason: the report list is defined by the host platform rather than by the thesis author, so there is no annotation bias in which requests were chosen, and reproducing it answers a direct question — can natural language reproduce the platform's own built-in reporting surface? — rather than a question shaped by the evaluator. AEGIS additionally supports parameterised variation of these reports, such as arbitrary date ranges, category filters, or customer segments, that the fixed admin panel screens have no control for.</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annotation: </w:t>
      </w:r>
      <w:r>
        <w:rPr>
          <w:rFonts w:ascii="Times New Roman" w:hAnsi="Times New Roman"/>
          <w:sz w:val="24"/>
        </w:rPr>
        <w:t>The first-pass annotation found that safe SQL can still answer the wrong business question, especially when requests are unsupported or vague.</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Metric currency: </w:t>
      </w:r>
      <w:r>
        <w:rPr>
          <w:rFonts w:ascii="Times New Roman" w:hAnsi="Times New Roman"/>
          <w:sz w:val="24"/>
        </w:rPr>
        <w:t>True database execution validity and the first-pass semantic-correctness annotation (Sections 5.4 and 5.6) were measured against the pipeline version that existed before the abstention-handling interventions in Section 5.9, and have not been re-measured against the current pipeline.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Re-annotation required: </w:t>
      </w:r>
      <w:r>
        <w:rPr>
          <w:rFonts w:ascii="Times New Roman" w:hAnsi="Times New Roman"/>
          <w:sz w:val="24"/>
        </w:rPr>
        <w:t>Translation precision and silent error rate (Section 5.9) are scored against correctness labels that describe the earlier pipeline's SQL and cannot be reported as current findings until the annotation file is redone against the current pipeline.</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engineering limits: </w:t>
      </w:r>
      <w:r>
        <w:rPr>
          <w:rFonts w:ascii="Times New Roman" w:hAnsi="Times New Roman"/>
          <w:sz w:val="24"/>
        </w:rPr>
        <w:t>The current version targets MySQL, uses prototype widget storage, and handles each request independently without multi-turn context.</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A guided interface should let business analysts define new metrics and dimensions, join paths, and approved vocabulary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Stronger evaluation: </w:t>
      </w:r>
      <w:r>
        <w:rPr>
          <w:rFonts w:ascii="Times New Roman" w:hAnsi="Times New Roman"/>
          <w:sz w:val="24"/>
        </w:rPr>
        <w:t>The machine-assisted correctness annotation should be reviewed manually, and future work should add stronger robustness tests and cross-schema evaluation.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Production hardening: </w:t>
      </w:r>
      <w:r>
        <w:rPr>
          <w:rFonts w:ascii="Times New Roman" w:hAnsi="Times New Roman"/>
          <w:sz w:val="24"/>
        </w:rPr>
        <w:t>Query-cost controls, database-backed widget storage, broader schema coverage, and multi-turn support should be added before production deployment.</w:t>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in the baseline pipeline run described in Section 5.4, successfully executed 100 of 107 generated queries against the seeded MySQL database. In contrast, the direct LLM-to-SQL baseline executed 27 of 107 queries successfully and produced one genuine unsafe write statement. A first-pass semantic-correctness annotation also showed stronger answerable-request correctness for AEGIS than for the evaluated baselines, though that annotation is scored against the same earlier pipeline and is not re-measured. These results support the main argument that deterministic compilation and semantic-layer constraints can improve SQL safety in natural-language reporting systems.</w:t>
      </w:r>
    </w:p>
    <w:p>
      <w:pPr>
        <w:spacing w:after="240" w:before="0" w:line="360" w:lineRule="auto"/>
        <w:jc w:val="both"/>
      </w:pPr>
      <w:r>
        <w:rPr>
          <w:rFonts w:ascii="Times New Roman" w:hAnsi="Times New Roman"/>
          <w:b w:val="0"/>
          <w:i w:val="0"/>
          <w:sz w:val="24"/>
        </w:rPr>
        <w:t>The abstention-aware evaluation in Section 5.9 is the thesis's central result on correctness rather than safety. Across three measured stages, false abstention fell from 61.8% to 40.0% to the current 23.6%, while abstention recall held at 100.0% throughout, and no architectural change was required at any step: each improvement came from validating a self-reported model signal, separating time granularity from time filtering, or extending the semantic layer's table coverage. This supports treating semantic accuracy in this architecture as an implementation and configuration property rather than an architectural one. Section 5.10 further shows that AEGIS reproduces all 20 of nopCommerce's own standard admin reports from natural language, a coverage check whose question list is fixed by the host platform rather than by the thesis author.</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 false abstention rate that has not reached zero, and the need for a separately re-annotated semantic-correctness benchmark against the current pipeline.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